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ind w:left="5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EXHIBITS</w:t>
      </w:r>
    </w:p>
    <w:p>
      <w:pPr>
        <w:spacing w:after="0" w:line="248" w:lineRule="exact"/>
        <w:rPr>
          <w:sz w:val="20"/>
          <w:szCs w:val="20"/>
          <w:color w:val="auto"/>
        </w:rPr>
      </w:pPr>
    </w:p>
    <w:p>
      <w:pPr>
        <w:spacing w:after="0"/>
        <w:tabs>
          <w:tab w:leader="none" w:pos="5560" w:val="left"/>
        </w:tabs>
        <w:rPr>
          <w:sz w:val="20"/>
          <w:szCs w:val="20"/>
          <w:color w:val="auto"/>
        </w:rPr>
      </w:pPr>
      <w:r>
        <w:rPr>
          <w:rFonts w:ascii="Arial" w:cs="Arial" w:eastAsia="Arial" w:hAnsi="Arial"/>
          <w:sz w:val="13"/>
          <w:szCs w:val="13"/>
          <w:b w:val="1"/>
          <w:bCs w:val="1"/>
          <w:u w:val="single" w:color="auto"/>
          <w:color w:val="auto"/>
        </w:rPr>
        <w:t>Exhibit</w:t>
      </w:r>
      <w:r>
        <w:rPr>
          <w:sz w:val="20"/>
          <w:szCs w:val="20"/>
          <w:color w:val="auto"/>
        </w:rPr>
        <w:tab/>
      </w:r>
      <w:r>
        <w:rPr>
          <w:rFonts w:ascii="Arial" w:cs="Arial" w:eastAsia="Arial" w:hAnsi="Arial"/>
          <w:sz w:val="13"/>
          <w:szCs w:val="13"/>
          <w:b w:val="1"/>
          <w:bCs w:val="1"/>
          <w:u w:val="single" w:color="auto"/>
          <w:color w:val="auto"/>
        </w:rPr>
        <w:t>Description</w:t>
      </w:r>
    </w:p>
    <w:p>
      <w:pPr>
        <w:spacing w:after="0" w:line="129"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Appendix 2A</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9">
        <w:r>
          <w:rPr>
            <w:rFonts w:ascii="Arial" w:cs="Arial" w:eastAsia="Arial" w:hAnsi="Arial"/>
            <w:sz w:val="16"/>
            <w:szCs w:val="16"/>
            <w:u w:val="single" w:color="auto"/>
            <w:color w:val="0000EE"/>
          </w:rPr>
          <w:t>Appendix 3G</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31">
        <w:r>
          <w:rPr>
            <w:rFonts w:ascii="Arial" w:cs="Arial" w:eastAsia="Arial" w:hAnsi="Arial"/>
            <w:sz w:val="16"/>
            <w:szCs w:val="16"/>
            <w:u w:val="single" w:color="auto"/>
            <w:color w:val="0000EE"/>
          </w:rPr>
          <w:t>Appendix 3Y for Dan Spiegelman</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w:anchor="page33">
        <w:r>
          <w:rPr>
            <w:rFonts w:ascii="Arial" w:cs="Arial" w:eastAsia="Arial" w:hAnsi="Arial"/>
            <w:sz w:val="16"/>
            <w:szCs w:val="16"/>
            <w:u w:val="single" w:color="auto"/>
            <w:color w:val="0000EE"/>
          </w:rPr>
          <w:t>Appendix 3Y for Jeremy Levin</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99.5</w:t>
      </w:r>
      <w:r>
        <w:rPr>
          <w:sz w:val="20"/>
          <w:szCs w:val="20"/>
          <w:color w:val="auto"/>
        </w:rPr>
        <w:tab/>
      </w:r>
      <w:hyperlink w:anchor="page35">
        <w:r>
          <w:rPr>
            <w:rFonts w:ascii="Arial" w:cs="Arial" w:eastAsia="Arial" w:hAnsi="Arial"/>
            <w:sz w:val="16"/>
            <w:szCs w:val="16"/>
            <w:u w:val="single" w:color="auto"/>
            <w:color w:val="0000EE"/>
          </w:rPr>
          <w:t>Appendix 3Y for Lawrence Gozlan</w:t>
        </w:r>
      </w:hyperlink>
    </w:p>
    <w:p>
      <w:pPr>
        <w:spacing w:after="0" w:line="117" w:lineRule="exact"/>
        <w:rPr>
          <w:sz w:val="20"/>
          <w:szCs w:val="20"/>
          <w:color w:val="auto"/>
        </w:rPr>
      </w:pPr>
    </w:p>
    <w:p>
      <w:pPr>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99.6</w:t>
      </w:r>
      <w:r>
        <w:rPr>
          <w:sz w:val="20"/>
          <w:szCs w:val="20"/>
          <w:color w:val="auto"/>
        </w:rPr>
        <w:tab/>
      </w:r>
      <w:hyperlink w:anchor="page37">
        <w:r>
          <w:rPr>
            <w:rFonts w:ascii="Arial" w:cs="Arial" w:eastAsia="Arial" w:hAnsi="Arial"/>
            <w:sz w:val="17"/>
            <w:szCs w:val="17"/>
            <w:u w:val="single" w:color="auto"/>
            <w:color w:val="0000EE"/>
          </w:rPr>
          <w:t>Appendix 3Y for Megan Baldwin</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99.7</w:t>
      </w:r>
      <w:r>
        <w:rPr>
          <w:sz w:val="20"/>
          <w:szCs w:val="20"/>
          <w:color w:val="auto"/>
        </w:rPr>
        <w:tab/>
      </w:r>
      <w:hyperlink w:anchor="page40">
        <w:r>
          <w:rPr>
            <w:rFonts w:ascii="Arial" w:cs="Arial" w:eastAsia="Arial" w:hAnsi="Arial"/>
            <w:sz w:val="16"/>
            <w:szCs w:val="16"/>
            <w:u w:val="single" w:color="auto"/>
            <w:color w:val="0000EE"/>
          </w:rPr>
          <w:t>Appendix 3Y for Michael Sistenich</w:t>
        </w:r>
      </w:hyperlink>
    </w:p>
    <w:p>
      <w:pPr>
        <w:sectPr>
          <w:pgSz w:w="11900" w:h="16838" w:orient="portrait"/>
          <w:cols w:equalWidth="0" w:num="1">
            <w:col w:w="10019"/>
          </w:cols>
          <w:pgMar w:left="440" w:top="270" w:right="1440"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OPTHEA LIMITED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Tonroe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Tonroe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Company Secretary</w:t>
      </w:r>
    </w:p>
    <w:p>
      <w:pPr>
        <w:sectPr>
          <w:pgSz w:w="11900" w:h="16838" w:orient="portrait"/>
          <w:cols w:equalWidth="0" w:num="1">
            <w:col w:w="10260"/>
          </w:cols>
          <w:pgMar w:left="440" w:top="270" w:right="119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6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441"/>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6640" w:type="dxa"/>
            <w:vAlign w:val="bottom"/>
          </w:tcPr>
          <w:p>
            <w:pPr>
              <w:spacing w:after="0"/>
              <w:rPr>
                <w:sz w:val="24"/>
                <w:szCs w:val="24"/>
                <w:color w:val="auto"/>
              </w:rPr>
            </w:pPr>
          </w:p>
        </w:tc>
      </w:tr>
      <w:tr>
        <w:trPr>
          <w:trHeight w:val="241"/>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6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+Rule 2.7</w:t>
            </w:r>
          </w:p>
        </w:tc>
      </w:tr>
      <w:tr>
        <w:trPr>
          <w:trHeight w:val="432"/>
        </w:trPr>
        <w:tc>
          <w:tcPr>
            <w:tcW w:w="4380" w:type="dxa"/>
            <w:vAlign w:val="bottom"/>
          </w:tcPr>
          <w:p>
            <w:pPr>
              <w:spacing w:after="0"/>
              <w:rPr>
                <w:sz w:val="24"/>
                <w:szCs w:val="24"/>
                <w:color w:val="auto"/>
              </w:rPr>
            </w:pPr>
          </w:p>
        </w:tc>
        <w:tc>
          <w:tcPr>
            <w:tcW w:w="6640" w:type="dxa"/>
            <w:vAlign w:val="bottom"/>
          </w:tcPr>
          <w:p>
            <w:pPr>
              <w:jc w:val="right"/>
              <w:ind w:right="4910"/>
              <w:spacing w:after="0"/>
              <w:rPr>
                <w:sz w:val="20"/>
                <w:szCs w:val="20"/>
                <w:color w:val="auto"/>
              </w:rPr>
            </w:pPr>
            <w:r>
              <w:rPr>
                <w:rFonts w:ascii="Arial" w:cs="Arial" w:eastAsia="Arial" w:hAnsi="Arial"/>
                <w:sz w:val="18"/>
                <w:szCs w:val="18"/>
                <w:b w:val="1"/>
                <w:bCs w:val="1"/>
                <w:color w:val="auto"/>
              </w:rPr>
              <w:t>Appendix 2A</w:t>
            </w:r>
          </w:p>
        </w:tc>
      </w:tr>
    </w:tbl>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Application for quotation of +securities</w:t>
      </w:r>
    </w:p>
    <w:p>
      <w:pPr>
        <w:spacing w:after="0" w:line="121"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62" w:lineRule="exact"/>
        <w:rPr>
          <w:sz w:val="20"/>
          <w:szCs w:val="20"/>
          <w:color w:val="auto"/>
        </w:rPr>
      </w:pPr>
    </w:p>
    <w:p>
      <w:pPr>
        <w:ind w:left="4" w:right="120"/>
        <w:spacing w:after="0" w:line="286" w:lineRule="auto"/>
        <w:rPr>
          <w:sz w:val="20"/>
          <w:szCs w:val="20"/>
          <w:color w:val="auto"/>
        </w:rPr>
      </w:pPr>
      <w:r>
        <w:rPr>
          <w:rFonts w:ascii="Arial" w:cs="Arial" w:eastAsia="Arial" w:hAnsi="Arial"/>
          <w:sz w:val="17"/>
          <w:szCs w:val="17"/>
          <w:i w:val="1"/>
          <w:iCs w:val="1"/>
          <w:color w:val="auto"/>
        </w:rPr>
        <w:t>If you are an entity incorporated outside Australia and you are seeking quotation of a new class of +securities other than CDIs, you will need to obtain and provide an International Securities Identification Number (ISIN) for that class. Further information on the requirement for the notification of an ISIN is available from the Create Online Forms page. ASX is unable to create the new ISIN for non-Australian issuers.</w:t>
      </w:r>
    </w:p>
    <w:p>
      <w:pPr>
        <w:spacing w:after="0" w:line="57"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 1 – Entity and announcement details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Question no</w:t>
            </w:r>
          </w:p>
        </w:tc>
        <w:tc>
          <w:tcPr>
            <w:tcW w:w="260" w:type="dxa"/>
            <w:vAlign w:val="bottom"/>
          </w:tcPr>
          <w:p>
            <w:pPr>
              <w:spacing w:after="0"/>
              <w:rPr>
                <w:sz w:val="16"/>
                <w:szCs w:val="16"/>
                <w:color w:val="auto"/>
              </w:rPr>
            </w:pPr>
          </w:p>
        </w:tc>
        <w:tc>
          <w:tcPr>
            <w:tcW w:w="49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Question</w:t>
            </w:r>
          </w:p>
        </w:tc>
        <w:tc>
          <w:tcPr>
            <w:tcW w:w="220" w:type="dxa"/>
            <w:vAlign w:val="bottom"/>
          </w:tcPr>
          <w:p>
            <w:pPr>
              <w:spacing w:after="0"/>
              <w:rPr>
                <w:sz w:val="16"/>
                <w:szCs w:val="16"/>
                <w:color w:val="auto"/>
              </w:rPr>
            </w:pPr>
          </w:p>
        </w:tc>
        <w:tc>
          <w:tcPr>
            <w:tcW w:w="490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Answer</w:t>
            </w:r>
          </w:p>
        </w:tc>
      </w:tr>
      <w:tr>
        <w:trPr>
          <w:trHeight w:val="221"/>
        </w:trPr>
        <w:tc>
          <w:tcPr>
            <w:tcW w:w="740" w:type="dxa"/>
            <w:vAlign w:val="bottom"/>
          </w:tcPr>
          <w:p>
            <w:pPr>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*Name of entity</w:t>
            </w:r>
          </w:p>
        </w:tc>
        <w:tc>
          <w:tcPr>
            <w:tcW w:w="2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Opthea Limited (</w:t>
            </w:r>
            <w:r>
              <w:rPr>
                <w:rFonts w:ascii="Arial" w:cs="Arial" w:eastAsia="Arial" w:hAnsi="Arial"/>
                <w:sz w:val="18"/>
                <w:szCs w:val="18"/>
                <w:b w:val="1"/>
                <w:bCs w:val="1"/>
                <w:color w:val="auto"/>
              </w:rPr>
              <w:t>Opthea</w:t>
            </w:r>
            <w:r>
              <w:rPr>
                <w:rFonts w:ascii="Arial" w:cs="Arial" w:eastAsia="Arial" w:hAnsi="Arial"/>
                <w:sz w:val="18"/>
                <w:szCs w:val="18"/>
                <w:color w:val="auto"/>
              </w:rPr>
              <w:t>)</w:t>
            </w:r>
          </w:p>
        </w:tc>
      </w:tr>
      <w:tr>
        <w:trPr>
          <w:trHeight w:val="291"/>
        </w:trPr>
        <w:tc>
          <w:tcPr>
            <w:tcW w:w="7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w w:val="96"/>
              </w:rPr>
              <w:t>We (the entity here named) apply for +quotation of the following</w:t>
            </w:r>
          </w:p>
        </w:tc>
        <w:tc>
          <w:tcPr>
            <w:tcW w:w="2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w w:val="93"/>
              </w:rPr>
              <w:t>+securities and agree to the matters set out in Appendix 2A of the</w:t>
            </w: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ASX Listing Rules.</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1.2</w:t>
            </w: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*Registration type and number</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ABN 32 006 340 567</w:t>
            </w:r>
          </w:p>
        </w:tc>
      </w:tr>
      <w:tr>
        <w:trPr>
          <w:trHeight w:val="310"/>
        </w:trPr>
        <w:tc>
          <w:tcPr>
            <w:tcW w:w="7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rPr>
              <w:t>Please supply your ABN, ARSN, ARBN, ACN or another</w:t>
            </w:r>
          </w:p>
        </w:tc>
        <w:tc>
          <w:tcPr>
            <w:tcW w:w="2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w w:val="97"/>
              </w:rPr>
              <w:t>registration type and number (if you supply another registration</w:t>
            </w: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rPr>
              <w:t>type, please specify both the type of registration and the</w:t>
            </w: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rPr>
              <w:t>registration number).</w:t>
            </w:r>
          </w:p>
        </w:tc>
        <w:tc>
          <w:tcPr>
            <w:tcW w:w="2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1.3</w:t>
            </w: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*ASX issuer code</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OPT</w:t>
            </w:r>
          </w:p>
        </w:tc>
      </w:tr>
      <w:tr>
        <w:trPr>
          <w:trHeight w:val="344"/>
        </w:trPr>
        <w:tc>
          <w:tcPr>
            <w:tcW w:w="740" w:type="dxa"/>
            <w:vAlign w:val="bottom"/>
          </w:tcPr>
          <w:p>
            <w:pPr>
              <w:spacing w:after="0"/>
              <w:rPr>
                <w:sz w:val="20"/>
                <w:szCs w:val="20"/>
                <w:color w:val="auto"/>
              </w:rPr>
            </w:pPr>
            <w:r>
              <w:rPr>
                <w:rFonts w:ascii="Arial" w:cs="Arial" w:eastAsia="Arial" w:hAnsi="Arial"/>
                <w:sz w:val="18"/>
                <w:szCs w:val="18"/>
                <w:color w:val="auto"/>
              </w:rPr>
              <w:t>1.4</w:t>
            </w: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*This announcement is</w:t>
            </w:r>
          </w:p>
        </w:tc>
        <w:tc>
          <w:tcPr>
            <w:tcW w:w="512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new announcement</w:t>
            </w:r>
          </w:p>
        </w:tc>
      </w:tr>
      <w:tr>
        <w:trPr>
          <w:trHeight w:val="324"/>
        </w:trPr>
        <w:tc>
          <w:tcPr>
            <w:tcW w:w="7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rPr>
              <w:t>Tick whichever is applicable.</w:t>
            </w:r>
          </w:p>
        </w:tc>
        <w:tc>
          <w:tcPr>
            <w:tcW w:w="512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update/amendment to a previous announcement</w:t>
            </w:r>
          </w:p>
        </w:tc>
      </w:tr>
      <w:tr>
        <w:trPr>
          <w:trHeight w:val="32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12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cancellation of a previous announcement</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1.4a</w:t>
            </w: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*Reason for update</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N/A</w:t>
            </w:r>
          </w:p>
        </w:tc>
      </w:tr>
      <w:tr>
        <w:trPr>
          <w:trHeight w:val="310"/>
        </w:trPr>
        <w:tc>
          <w:tcPr>
            <w:tcW w:w="7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w w:val="96"/>
              </w:rPr>
              <w:t>Mandatory only if “Update” ticked in Q1.4 above. A reason must</w:t>
            </w:r>
          </w:p>
        </w:tc>
        <w:tc>
          <w:tcPr>
            <w:tcW w:w="2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rPr>
              <w:t>be provided for an update.</w:t>
            </w:r>
          </w:p>
        </w:tc>
        <w:tc>
          <w:tcPr>
            <w:tcW w:w="2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1.4b</w:t>
            </w: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*Date of previous announcement to this update</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N/A</w:t>
            </w:r>
          </w:p>
        </w:tc>
      </w:tr>
      <w:tr>
        <w:trPr>
          <w:trHeight w:val="338"/>
        </w:trPr>
        <w:tc>
          <w:tcPr>
            <w:tcW w:w="7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rPr>
              <w:t>Mandatory only if “Update” ticked in Q1.4 above.</w:t>
            </w:r>
          </w:p>
        </w:tc>
        <w:tc>
          <w:tcPr>
            <w:tcW w:w="2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1.4c</w:t>
            </w: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*Reason for cancellation</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N/A</w:t>
            </w:r>
          </w:p>
        </w:tc>
      </w:tr>
      <w:tr>
        <w:trPr>
          <w:trHeight w:val="324"/>
        </w:trPr>
        <w:tc>
          <w:tcPr>
            <w:tcW w:w="7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rPr>
              <w:t>Mandatory only if “Cancellation” ticked in Q1.4 above.</w:t>
            </w:r>
          </w:p>
        </w:tc>
        <w:tc>
          <w:tcPr>
            <w:tcW w:w="2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1.4d</w:t>
            </w: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*Date of previous announcement to this cancellation</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N/A</w:t>
            </w:r>
          </w:p>
        </w:tc>
      </w:tr>
      <w:tr>
        <w:trPr>
          <w:trHeight w:val="324"/>
        </w:trPr>
        <w:tc>
          <w:tcPr>
            <w:tcW w:w="7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rPr>
              <w:t>Mandatory only if “Cancellation” ticked in Q1.4 above.</w:t>
            </w:r>
          </w:p>
        </w:tc>
        <w:tc>
          <w:tcPr>
            <w:tcW w:w="2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1.5</w:t>
            </w:r>
          </w:p>
        </w:tc>
        <w:tc>
          <w:tcPr>
            <w:tcW w:w="5160" w:type="dxa"/>
            <w:vAlign w:val="bottom"/>
            <w:gridSpan w:val="2"/>
          </w:tcPr>
          <w:p>
            <w:pPr>
              <w:ind w:left="260"/>
              <w:spacing w:after="0"/>
              <w:rPr>
                <w:sz w:val="20"/>
                <w:szCs w:val="20"/>
                <w:color w:val="auto"/>
              </w:rPr>
            </w:pPr>
            <w:r>
              <w:rPr>
                <w:rFonts w:ascii="Arial" w:cs="Arial" w:eastAsia="Arial" w:hAnsi="Arial"/>
                <w:sz w:val="18"/>
                <w:szCs w:val="18"/>
                <w:i w:val="1"/>
                <w:iCs w:val="1"/>
                <w:color w:val="auto"/>
              </w:rPr>
              <w:t>*Date of this announcement</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5 March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40" w:hanging="424"/>
        <w:spacing w:after="0" w:line="257" w:lineRule="auto"/>
        <w:tabs>
          <w:tab w:leader="none" w:pos="424" w:val="left"/>
        </w:tabs>
        <w:numPr>
          <w:ilvl w:val="0"/>
          <w:numId w:val="1"/>
        </w:numPr>
        <w:rPr>
          <w:rFonts w:ascii="Arial" w:cs="Arial" w:eastAsia="Arial" w:hAnsi="Arial"/>
          <w:sz w:val="15"/>
          <w:szCs w:val="15"/>
          <w:color w:val="auto"/>
        </w:rPr>
      </w:pPr>
      <w:r>
        <w:rPr>
          <w:rFonts w:ascii="Arial" w:cs="Arial" w:eastAsia="Arial" w:hAnsi="Arial"/>
          <w:sz w:val="18"/>
          <w:szCs w:val="18"/>
          <w:color w:val="auto"/>
        </w:rPr>
        <w:t xml:space="preserve">Appendix 2A of the Listing Rules includes a warranty that an offer of the securities for sale within 12 months after their issue will not require disclosure under section 707(3) or 1012C(6) of the Corporations Act. If the securities to be quoted have been issued by way of a pro rata offer, to give this warranty, you will generally need to have lodged a cleansing notice with ASX under section 708AA(2)(f) or 1012DAA(2)(f) of the Corporations Act within 24 hours before the securities are offered (see ASIC Regulatory Guide 189 </w:t>
      </w:r>
      <w:r>
        <w:rPr>
          <w:rFonts w:ascii="Arial" w:cs="Arial" w:eastAsia="Arial" w:hAnsi="Arial"/>
          <w:sz w:val="18"/>
          <w:szCs w:val="18"/>
          <w:i w:val="1"/>
          <w:iCs w:val="1"/>
          <w:color w:val="auto"/>
        </w:rPr>
        <w:t>Disclosure relief for rights issues</w:t>
      </w:r>
      <w:r>
        <w:rPr>
          <w:rFonts w:ascii="Arial" w:cs="Arial" w:eastAsia="Arial" w:hAnsi="Arial"/>
          <w:sz w:val="18"/>
          <w:szCs w:val="18"/>
          <w:color w:val="auto"/>
        </w:rPr>
        <w:t>). If in doubt, please consult your legal adviser.</w:t>
      </w:r>
    </w:p>
    <w:p>
      <w:pPr>
        <w:sectPr>
          <w:pgSz w:w="11900" w:h="16838" w:orient="portrait"/>
          <w:cols w:equalWidth="0" w:num="1">
            <w:col w:w="11024"/>
          </w:cols>
          <w:pgMar w:left="436" w:top="121" w:right="439" w:bottom="1440" w:gutter="0" w:footer="0" w:header="0"/>
        </w:sectPr>
      </w:pPr>
    </w:p>
    <w:p>
      <w:pPr>
        <w:spacing w:after="0" w:line="377" w:lineRule="exact"/>
        <w:rPr>
          <w:sz w:val="20"/>
          <w:szCs w:val="20"/>
          <w:color w:val="auto"/>
        </w:rPr>
      </w:pPr>
    </w:p>
    <w:p>
      <w:pPr>
        <w:ind w:left="4"/>
        <w:spacing w:after="0"/>
        <w:rPr>
          <w:sz w:val="20"/>
          <w:szCs w:val="20"/>
          <w:color w:val="auto"/>
        </w:rPr>
      </w:pPr>
      <w:r>
        <w:rPr>
          <w:rFonts w:ascii="Arial" w:cs="Arial" w:eastAsia="Arial" w:hAnsi="Arial"/>
          <w:sz w:val="16"/>
          <w:szCs w:val="16"/>
          <w:color w:val="auto"/>
        </w:rPr>
        <w:t>+ See chapter 19 for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31 January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Page 1</w:t>
      </w:r>
    </w:p>
    <w:p>
      <w:pPr>
        <w:sectPr>
          <w:pgSz w:w="11900" w:h="16838" w:orient="portrait"/>
          <w:cols w:equalWidth="0" w:num="2">
            <w:col w:w="9804" w:space="720"/>
            <w:col w:w="500"/>
          </w:cols>
          <w:pgMar w:left="436" w:top="121" w:right="4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16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r>
        <w:trPr>
          <w:trHeight w:val="405"/>
        </w:trPr>
        <w:tc>
          <w:tcPr>
            <w:tcW w:w="5860" w:type="dxa"/>
            <w:vAlign w:val="bottom"/>
          </w:tcPr>
          <w:p>
            <w:pPr>
              <w:spacing w:after="0"/>
              <w:rPr>
                <w:sz w:val="20"/>
                <w:szCs w:val="20"/>
                <w:color w:val="auto"/>
              </w:rPr>
            </w:pPr>
            <w:r>
              <w:rPr>
                <w:rFonts w:ascii="Arial" w:cs="Arial" w:eastAsia="Arial" w:hAnsi="Arial"/>
                <w:sz w:val="18"/>
                <w:szCs w:val="18"/>
                <w:color w:val="auto"/>
              </w:rPr>
              <w:t>Part 2 – Type of issue</w:t>
            </w:r>
          </w:p>
        </w:tc>
        <w:tc>
          <w:tcPr>
            <w:tcW w:w="5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Question No.</w:t>
            </w:r>
          </w:p>
        </w:tc>
        <w:tc>
          <w:tcPr>
            <w:tcW w:w="200" w:type="dxa"/>
            <w:vAlign w:val="bottom"/>
          </w:tcPr>
          <w:p>
            <w:pPr>
              <w:spacing w:after="0"/>
              <w:rPr>
                <w:sz w:val="16"/>
                <w:szCs w:val="16"/>
                <w:color w:val="auto"/>
              </w:rPr>
            </w:pPr>
          </w:p>
        </w:tc>
        <w:tc>
          <w:tcPr>
            <w:tcW w:w="494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Question</w:t>
            </w:r>
          </w:p>
        </w:tc>
      </w:t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*The +securities to be quoted are:</w:t>
            </w:r>
          </w:p>
        </w:tc>
      </w:tr>
      <w:tr>
        <w:trPr>
          <w:trHeight w:val="32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Select whichever item is applicable.</w:t>
            </w:r>
          </w:p>
        </w:tc>
      </w:tr>
      <w:tr>
        <w:trPr>
          <w:trHeight w:val="32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9"/>
              </w:rPr>
              <w:t>If you wish to apply for quotation of different types of issues of</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0"/>
              </w:rPr>
              <w:t>securities, please complete a separate Appendix 2A for each type of</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issue.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 w:lineRule="exact"/>
        <w:rPr>
          <w:sz w:val="20"/>
          <w:szCs w:val="20"/>
          <w:color w:val="auto"/>
        </w:rPr>
      </w:pPr>
    </w:p>
    <w:p>
      <w:pPr>
        <w:ind w:left="363" w:right="140" w:hanging="363"/>
        <w:spacing w:after="0" w:line="274" w:lineRule="auto"/>
        <w:tabs>
          <w:tab w:leader="none" w:pos="32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Being issued as part of a transaction or transactions previously announced to the market in an Appendix 3B</w:t>
      </w:r>
    </w:p>
    <w:p>
      <w:pPr>
        <w:spacing w:after="0" w:line="78" w:lineRule="exact"/>
        <w:rPr>
          <w:rFonts w:ascii="MS PGothic" w:cs="MS PGothic" w:eastAsia="MS PGothic" w:hAnsi="MS PGothic"/>
          <w:sz w:val="18"/>
          <w:szCs w:val="18"/>
          <w:color w:val="auto"/>
        </w:rPr>
      </w:pPr>
    </w:p>
    <w:p>
      <w:pPr>
        <w:ind w:left="323" w:hanging="323"/>
        <w:spacing w:after="0"/>
        <w:tabs>
          <w:tab w:leader="none" w:pos="3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Being issued under a +dividend or distribution plan</w:t>
      </w:r>
    </w:p>
    <w:p>
      <w:pPr>
        <w:spacing w:after="0" w:line="131" w:lineRule="exact"/>
        <w:rPr>
          <w:sz w:val="20"/>
          <w:szCs w:val="20"/>
          <w:color w:val="auto"/>
        </w:rPr>
      </w:pPr>
    </w:p>
    <w:p>
      <w:pPr>
        <w:ind w:left="363" w:right="400" w:hanging="363"/>
        <w:spacing w:after="0" w:line="277" w:lineRule="auto"/>
        <w:tabs>
          <w:tab w:leader="none" w:pos="327"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Being issued as a result of options being exercised or other +convertible securities being converted</w:t>
      </w:r>
    </w:p>
    <w:p>
      <w:pPr>
        <w:spacing w:after="0" w:line="76" w:lineRule="exact"/>
        <w:rPr>
          <w:sz w:val="20"/>
          <w:szCs w:val="20"/>
          <w:color w:val="auto"/>
        </w:rPr>
      </w:pPr>
    </w:p>
    <w:p>
      <w:pPr>
        <w:ind w:left="363" w:right="60" w:hanging="363"/>
        <w:spacing w:after="0" w:line="277" w:lineRule="auto"/>
        <w:tabs>
          <w:tab w:leader="none" w:pos="327"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Unquoted partly paid +securities that have been paid up and are now quoted fully paid +securities</w:t>
      </w:r>
    </w:p>
    <w:p>
      <w:pPr>
        <w:spacing w:after="0" w:line="75" w:lineRule="exact"/>
        <w:rPr>
          <w:rFonts w:ascii="MS PGothic" w:cs="MS PGothic" w:eastAsia="MS PGothic" w:hAnsi="MS PGothic"/>
          <w:sz w:val="18"/>
          <w:szCs w:val="18"/>
          <w:color w:val="auto"/>
        </w:rPr>
      </w:pPr>
    </w:p>
    <w:p>
      <w:pPr>
        <w:ind w:left="363" w:right="40" w:hanging="363"/>
        <w:spacing w:after="0" w:line="277" w:lineRule="auto"/>
        <w:tabs>
          <w:tab w:leader="none" w:pos="327"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+Restricted securities where the escrow period has expired or is about to expire</w:t>
      </w:r>
    </w:p>
    <w:p>
      <w:pPr>
        <w:spacing w:after="0" w:line="75" w:lineRule="exact"/>
        <w:rPr>
          <w:rFonts w:ascii="MS PGothic" w:cs="MS PGothic" w:eastAsia="MS PGothic" w:hAnsi="MS PGothic"/>
          <w:sz w:val="18"/>
          <w:szCs w:val="18"/>
          <w:color w:val="auto"/>
        </w:rPr>
      </w:pPr>
    </w:p>
    <w:p>
      <w:pPr>
        <w:jc w:val="both"/>
        <w:ind w:left="363" w:right="280" w:hanging="363"/>
        <w:spacing w:after="0" w:line="263" w:lineRule="auto"/>
        <w:tabs>
          <w:tab w:leader="none" w:pos="327"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+Securities previously issued under an +employee incentive scheme where the restrictions on transfer have ceased or are about to cease</w:t>
      </w:r>
    </w:p>
    <w:p>
      <w:pPr>
        <w:spacing w:after="0" w:line="89" w:lineRule="exact"/>
        <w:rPr>
          <w:rFonts w:ascii="MS PGothic" w:cs="MS PGothic" w:eastAsia="MS PGothic" w:hAnsi="MS PGothic"/>
          <w:sz w:val="18"/>
          <w:szCs w:val="18"/>
          <w:color w:val="auto"/>
        </w:rPr>
      </w:pPr>
    </w:p>
    <w:p>
      <w:pPr>
        <w:ind w:left="363" w:right="220" w:hanging="363"/>
        <w:spacing w:after="0" w:line="311" w:lineRule="auto"/>
        <w:tabs>
          <w:tab w:leader="none" w:pos="327"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+Securities issued under an +employee incentive scheme that are not subject to a restriction on transfer or that are to be quoted notwithstanding there is a restriction on transfer</w:t>
      </w:r>
    </w:p>
    <w:p>
      <w:pPr>
        <w:spacing w:after="0" w:line="22" w:lineRule="exact"/>
        <w:rPr>
          <w:sz w:val="20"/>
          <w:szCs w:val="20"/>
          <w:color w:val="auto"/>
        </w:rPr>
      </w:pPr>
    </w:p>
    <w:p>
      <w:pPr>
        <w:sectPr>
          <w:pgSz w:w="11900" w:h="16838" w:orient="portrait"/>
          <w:cols w:equalWidth="0" w:num="2">
            <w:col w:w="5940" w:space="117"/>
            <w:col w:w="4963"/>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04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w:t>
            </w: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2.2a.1</w:t>
            </w:r>
          </w:p>
        </w:tc>
        <w:tc>
          <w:tcPr>
            <w:tcW w:w="5260" w:type="dxa"/>
            <w:vAlign w:val="bottom"/>
          </w:tcPr>
          <w:p>
            <w:pPr>
              <w:ind w:left="280"/>
              <w:spacing w:after="0"/>
              <w:rPr>
                <w:sz w:val="20"/>
                <w:szCs w:val="20"/>
                <w:color w:val="auto"/>
              </w:rPr>
            </w:pPr>
            <w:r>
              <w:rPr>
                <w:rFonts w:ascii="Arial" w:cs="Arial" w:eastAsia="Arial" w:hAnsi="Arial"/>
                <w:sz w:val="18"/>
                <w:szCs w:val="18"/>
                <w:color w:val="auto"/>
                <w:w w:val="93"/>
              </w:rPr>
              <w:t>*Date of Appendix 3B notifying the market of the proposed issue of</w:t>
            </w:r>
          </w:p>
        </w:tc>
        <w:tc>
          <w:tcPr>
            <w:tcW w:w="504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30"/>
        </w:trPr>
        <w:tc>
          <w:tcPr>
            <w:tcW w:w="72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+securities for which quotation is now being sought</w:t>
            </w:r>
          </w:p>
        </w:tc>
        <w:tc>
          <w:tcPr>
            <w:tcW w:w="5040" w:type="dxa"/>
            <w:vAlign w:val="bottom"/>
          </w:tcPr>
          <w:p>
            <w:pPr>
              <w:spacing w:after="0"/>
              <w:rPr>
                <w:sz w:val="20"/>
                <w:szCs w:val="20"/>
                <w:color w:val="auto"/>
              </w:rPr>
            </w:pPr>
          </w:p>
        </w:tc>
      </w:tr>
      <w:tr>
        <w:trPr>
          <w:trHeight w:val="323"/>
        </w:trPr>
        <w:tc>
          <w:tcPr>
            <w:tcW w:w="720" w:type="dxa"/>
            <w:vAlign w:val="bottom"/>
          </w:tcPr>
          <w:p>
            <w:pPr>
              <w:spacing w:after="0"/>
              <w:rPr>
                <w:sz w:val="24"/>
                <w:szCs w:val="24"/>
                <w:color w:val="auto"/>
              </w:rPr>
            </w:pPr>
          </w:p>
        </w:tc>
        <w:tc>
          <w:tcPr>
            <w:tcW w:w="5260" w:type="dxa"/>
            <w:vAlign w:val="bottom"/>
          </w:tcPr>
          <w:p>
            <w:pPr>
              <w:ind w:left="280"/>
              <w:spacing w:after="0"/>
              <w:rPr>
                <w:sz w:val="20"/>
                <w:szCs w:val="20"/>
                <w:color w:val="auto"/>
              </w:rPr>
            </w:pPr>
            <w:r>
              <w:rPr>
                <w:rFonts w:ascii="Arial" w:cs="Arial" w:eastAsia="Arial" w:hAnsi="Arial"/>
                <w:sz w:val="18"/>
                <w:szCs w:val="18"/>
                <w:i w:val="1"/>
                <w:iCs w:val="1"/>
                <w:color w:val="auto"/>
                <w:w w:val="95"/>
              </w:rPr>
              <w:t>Answer this question if your response to Q2.1 is “Being issued as</w:t>
            </w:r>
          </w:p>
        </w:tc>
        <w:tc>
          <w:tcPr>
            <w:tcW w:w="504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260" w:type="dxa"/>
            <w:vAlign w:val="bottom"/>
          </w:tcPr>
          <w:p>
            <w:pPr>
              <w:ind w:left="280"/>
              <w:spacing w:after="0"/>
              <w:rPr>
                <w:sz w:val="20"/>
                <w:szCs w:val="20"/>
                <w:color w:val="auto"/>
              </w:rPr>
            </w:pPr>
            <w:r>
              <w:rPr>
                <w:rFonts w:ascii="Arial" w:cs="Arial" w:eastAsia="Arial" w:hAnsi="Arial"/>
                <w:sz w:val="18"/>
                <w:szCs w:val="18"/>
                <w:i w:val="1"/>
                <w:iCs w:val="1"/>
                <w:color w:val="auto"/>
                <w:w w:val="96"/>
              </w:rPr>
              <w:t>part of a transaction or transactions previously announced to the</w:t>
            </w:r>
          </w:p>
        </w:tc>
        <w:tc>
          <w:tcPr>
            <w:tcW w:w="50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i w:val="1"/>
                <w:iCs w:val="1"/>
                <w:color w:val="auto"/>
              </w:rPr>
              <w:t>market in an Appendix 3B”</w:t>
            </w:r>
          </w:p>
        </w:tc>
        <w:tc>
          <w:tcPr>
            <w:tcW w:w="5040" w:type="dxa"/>
            <w:vAlign w:val="bottom"/>
          </w:tcPr>
          <w:p>
            <w:pPr>
              <w:spacing w:after="0"/>
              <w:rPr>
                <w:sz w:val="20"/>
                <w:szCs w:val="20"/>
                <w:color w:val="auto"/>
              </w:rPr>
            </w:pPr>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rPr>
              <w:t>2.2a.2</w:t>
            </w:r>
          </w:p>
        </w:tc>
        <w:tc>
          <w:tcPr>
            <w:tcW w:w="5260" w:type="dxa"/>
            <w:vAlign w:val="bottom"/>
          </w:tcPr>
          <w:p>
            <w:pPr>
              <w:ind w:left="280"/>
              <w:spacing w:after="0"/>
              <w:rPr>
                <w:sz w:val="20"/>
                <w:szCs w:val="20"/>
                <w:color w:val="auto"/>
              </w:rPr>
            </w:pPr>
            <w:r>
              <w:rPr>
                <w:rFonts w:ascii="Arial" w:cs="Arial" w:eastAsia="Arial" w:hAnsi="Arial"/>
                <w:sz w:val="18"/>
                <w:szCs w:val="18"/>
                <w:color w:val="auto"/>
              </w:rPr>
              <w:t>*Are there any further issues of +securities yet to take place to</w:t>
            </w:r>
          </w:p>
        </w:tc>
        <w:tc>
          <w:tcPr>
            <w:tcW w:w="5040" w:type="dxa"/>
            <w:vAlign w:val="bottom"/>
          </w:tcPr>
          <w:p>
            <w:pPr>
              <w:ind w:left="80"/>
              <w:spacing w:after="0"/>
              <w:rPr>
                <w:sz w:val="20"/>
                <w:szCs w:val="20"/>
                <w:color w:val="auto"/>
              </w:rPr>
            </w:pPr>
            <w:r>
              <w:rPr>
                <w:rFonts w:ascii="Arial" w:cs="Arial" w:eastAsia="Arial" w:hAnsi="Arial"/>
                <w:sz w:val="18"/>
                <w:szCs w:val="18"/>
                <w:color w:val="auto"/>
              </w:rPr>
              <w:t>No</w:t>
            </w:r>
          </w:p>
        </w:tc>
      </w:tr>
      <w:tr>
        <w:trPr>
          <w:trHeight w:val="230"/>
        </w:trPr>
        <w:tc>
          <w:tcPr>
            <w:tcW w:w="72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complete the transaction(s) referred to in the Appendix 3B?</w:t>
            </w:r>
          </w:p>
        </w:tc>
        <w:tc>
          <w:tcPr>
            <w:tcW w:w="5040" w:type="dxa"/>
            <w:vAlign w:val="bottom"/>
          </w:tcPr>
          <w:p>
            <w:pPr>
              <w:spacing w:after="0"/>
              <w:rPr>
                <w:sz w:val="20"/>
                <w:szCs w:val="20"/>
                <w:color w:val="auto"/>
              </w:rPr>
            </w:pPr>
          </w:p>
        </w:tc>
      </w:tr>
      <w:tr>
        <w:trPr>
          <w:trHeight w:val="323"/>
        </w:trPr>
        <w:tc>
          <w:tcPr>
            <w:tcW w:w="720" w:type="dxa"/>
            <w:vAlign w:val="bottom"/>
          </w:tcPr>
          <w:p>
            <w:pPr>
              <w:spacing w:after="0"/>
              <w:rPr>
                <w:sz w:val="24"/>
                <w:szCs w:val="24"/>
                <w:color w:val="auto"/>
              </w:rPr>
            </w:pPr>
          </w:p>
        </w:tc>
        <w:tc>
          <w:tcPr>
            <w:tcW w:w="5260" w:type="dxa"/>
            <w:vAlign w:val="bottom"/>
          </w:tcPr>
          <w:p>
            <w:pPr>
              <w:ind w:left="280"/>
              <w:spacing w:after="0"/>
              <w:rPr>
                <w:sz w:val="20"/>
                <w:szCs w:val="20"/>
                <w:color w:val="auto"/>
              </w:rPr>
            </w:pPr>
            <w:r>
              <w:rPr>
                <w:rFonts w:ascii="Arial" w:cs="Arial" w:eastAsia="Arial" w:hAnsi="Arial"/>
                <w:sz w:val="18"/>
                <w:szCs w:val="18"/>
                <w:i w:val="1"/>
                <w:iCs w:val="1"/>
                <w:color w:val="auto"/>
                <w:w w:val="95"/>
              </w:rPr>
              <w:t>Answer this question if your response to Q2.1 is “Being issued as</w:t>
            </w:r>
          </w:p>
        </w:tc>
        <w:tc>
          <w:tcPr>
            <w:tcW w:w="504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260" w:type="dxa"/>
            <w:vAlign w:val="bottom"/>
          </w:tcPr>
          <w:p>
            <w:pPr>
              <w:ind w:left="280"/>
              <w:spacing w:after="0"/>
              <w:rPr>
                <w:sz w:val="20"/>
                <w:szCs w:val="20"/>
                <w:color w:val="auto"/>
              </w:rPr>
            </w:pPr>
            <w:r>
              <w:rPr>
                <w:rFonts w:ascii="Arial" w:cs="Arial" w:eastAsia="Arial" w:hAnsi="Arial"/>
                <w:sz w:val="18"/>
                <w:szCs w:val="18"/>
                <w:i w:val="1"/>
                <w:iCs w:val="1"/>
                <w:color w:val="auto"/>
                <w:w w:val="96"/>
              </w:rPr>
              <w:t>part of a transaction or transactions previously announced to the</w:t>
            </w:r>
          </w:p>
        </w:tc>
        <w:tc>
          <w:tcPr>
            <w:tcW w:w="50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i w:val="1"/>
                <w:iCs w:val="1"/>
                <w:color w:val="auto"/>
              </w:rPr>
              <w:t>market in an Appendix 3B”.</w:t>
            </w:r>
          </w:p>
        </w:tc>
        <w:tc>
          <w:tcPr>
            <w:tcW w:w="5040" w:type="dxa"/>
            <w:vAlign w:val="bottom"/>
          </w:tcPr>
          <w:p>
            <w:pPr>
              <w:spacing w:after="0"/>
              <w:rPr>
                <w:sz w:val="20"/>
                <w:szCs w:val="20"/>
                <w:color w:val="auto"/>
              </w:rPr>
            </w:pPr>
          </w:p>
        </w:tc>
      </w:tr>
      <w:tr>
        <w:trPr>
          <w:trHeight w:val="162"/>
        </w:trPr>
        <w:tc>
          <w:tcPr>
            <w:tcW w:w="5980" w:type="dxa"/>
            <w:vAlign w:val="bottom"/>
            <w:tcBorders>
              <w:bottom w:val="single" w:sz="8" w:color="auto"/>
            </w:tcBorders>
            <w:gridSpan w:val="2"/>
          </w:tcPr>
          <w:p>
            <w:pPr>
              <w:spacing w:after="0"/>
              <w:rPr>
                <w:sz w:val="14"/>
                <w:szCs w:val="14"/>
                <w:color w:val="auto"/>
              </w:rPr>
            </w:pPr>
          </w:p>
        </w:tc>
        <w:tc>
          <w:tcPr>
            <w:tcW w:w="5040" w:type="dxa"/>
            <w:vAlign w:val="bottom"/>
            <w:tcBorders>
              <w:bottom w:val="single" w:sz="8" w:color="auto"/>
            </w:tcBorders>
          </w:tcPr>
          <w:p>
            <w:pPr>
              <w:spacing w:after="0"/>
              <w:rPr>
                <w:sz w:val="14"/>
                <w:szCs w:val="14"/>
                <w:color w:val="auto"/>
              </w:rPr>
            </w:pPr>
          </w:p>
        </w:tc>
      </w:tr>
      <w:tr>
        <w:trPr>
          <w:trHeight w:val="195"/>
        </w:trPr>
        <w:tc>
          <w:tcPr>
            <w:tcW w:w="598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5040" w:type="dxa"/>
            <w:vAlign w:val="bottom"/>
          </w:tcPr>
          <w:p>
            <w:pPr>
              <w:spacing w:after="0"/>
              <w:rPr>
                <w:sz w:val="16"/>
                <w:szCs w:val="16"/>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31 January 2020</w:t>
            </w:r>
          </w:p>
        </w:tc>
        <w:tc>
          <w:tcPr>
            <w:tcW w:w="5040" w:type="dxa"/>
            <w:vAlign w:val="bottom"/>
          </w:tcPr>
          <w:p>
            <w:pPr>
              <w:ind w:left="4540"/>
              <w:spacing w:after="0"/>
              <w:rPr>
                <w:sz w:val="20"/>
                <w:szCs w:val="20"/>
                <w:color w:val="auto"/>
              </w:rPr>
            </w:pPr>
            <w:r>
              <w:rPr>
                <w:rFonts w:ascii="Arial" w:cs="Arial" w:eastAsia="Arial" w:hAnsi="Arial"/>
                <w:sz w:val="18"/>
                <w:szCs w:val="18"/>
                <w:color w:val="auto"/>
                <w:w w:val="84"/>
              </w:rPr>
              <w:t>Page 2</w:t>
            </w:r>
          </w:p>
        </w:tc>
      </w:tr>
    </w:tbl>
    <w:p>
      <w:pPr>
        <w:sectPr>
          <w:pgSz w:w="11900" w:h="16838" w:orient="portrait"/>
          <w:cols w:equalWidth="0" w:num="1">
            <w:col w:w="11020"/>
          </w:cols>
          <w:pgMar w:left="440" w:top="270" w:right="439" w:bottom="1440" w:gutter="0" w:footer="0" w:header="0"/>
          <w:type w:val="continuous"/>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02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r>
        <w:trPr>
          <w:trHeight w:val="499"/>
        </w:trPr>
        <w:tc>
          <w:tcPr>
            <w:tcW w:w="780" w:type="dxa"/>
            <w:vAlign w:val="bottom"/>
          </w:tcPr>
          <w:p>
            <w:pPr>
              <w:spacing w:after="0"/>
              <w:rPr>
                <w:sz w:val="20"/>
                <w:szCs w:val="20"/>
                <w:color w:val="auto"/>
              </w:rPr>
            </w:pPr>
            <w:r>
              <w:rPr>
                <w:rFonts w:ascii="Arial" w:cs="Arial" w:eastAsia="Arial" w:hAnsi="Arial"/>
                <w:sz w:val="18"/>
                <w:szCs w:val="18"/>
                <w:color w:val="auto"/>
              </w:rPr>
              <w:t>2.2a.2.1</w:t>
            </w:r>
          </w:p>
        </w:tc>
        <w:tc>
          <w:tcPr>
            <w:tcW w:w="5220" w:type="dxa"/>
            <w:vAlign w:val="bottom"/>
          </w:tcPr>
          <w:p>
            <w:pPr>
              <w:ind w:left="220"/>
              <w:spacing w:after="0"/>
              <w:rPr>
                <w:sz w:val="20"/>
                <w:szCs w:val="20"/>
                <w:color w:val="auto"/>
              </w:rPr>
            </w:pPr>
            <w:r>
              <w:rPr>
                <w:rFonts w:ascii="Arial" w:cs="Arial" w:eastAsia="Arial" w:hAnsi="Arial"/>
                <w:sz w:val="18"/>
                <w:szCs w:val="18"/>
                <w:color w:val="auto"/>
                <w:w w:val="91"/>
              </w:rPr>
              <w:t>*Please provide details of the further issues of +securities yet to take</w:t>
            </w:r>
          </w:p>
        </w:tc>
        <w:tc>
          <w:tcPr>
            <w:tcW w:w="502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w w:val="94"/>
              </w:rPr>
              <w:t>place to complete the transaction(s) referred to in the Appendix 3B</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5"/>
              </w:rPr>
              <w:t>Answer this question if your response to Q2.1 is “Being issued as</w:t>
            </w:r>
          </w:p>
        </w:tc>
        <w:tc>
          <w:tcPr>
            <w:tcW w:w="50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7"/>
              </w:rPr>
              <w:t>part of a transaction or transactions previously announced to the</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4"/>
              </w:rPr>
              <w:t>market in an Appendix 3B” and your response to Q2.2a.2 is “Yes”.</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Please provide details of the proposed dates and number of</w:t>
            </w:r>
          </w:p>
        </w:tc>
        <w:tc>
          <w:tcPr>
            <w:tcW w:w="50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0"/>
              </w:rPr>
              <w:t>securities for the further issues. This may be the case, for example, if</w:t>
            </w:r>
          </w:p>
        </w:tc>
        <w:tc>
          <w:tcPr>
            <w:tcW w:w="50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8"/>
              </w:rPr>
              <w:t>the Appendix 3B related to an accelerated pro rata offer with an</w:t>
            </w:r>
          </w:p>
        </w:tc>
        <w:tc>
          <w:tcPr>
            <w:tcW w:w="50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institutional component being quoted on one date and a retail</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component being quoted on a later date.</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2.2b.1</w:t>
            </w:r>
          </w:p>
        </w:tc>
        <w:tc>
          <w:tcPr>
            <w:tcW w:w="5220" w:type="dxa"/>
            <w:vAlign w:val="bottom"/>
          </w:tcPr>
          <w:p>
            <w:pPr>
              <w:ind w:left="220"/>
              <w:spacing w:after="0"/>
              <w:rPr>
                <w:sz w:val="20"/>
                <w:szCs w:val="20"/>
                <w:color w:val="auto"/>
              </w:rPr>
            </w:pPr>
            <w:r>
              <w:rPr>
                <w:rFonts w:ascii="Arial" w:cs="Arial" w:eastAsia="Arial" w:hAnsi="Arial"/>
                <w:sz w:val="18"/>
                <w:szCs w:val="18"/>
                <w:color w:val="auto"/>
              </w:rPr>
              <w:t>*Date of Appendix 3A.1 lodged with ASX in relation to the</w:t>
            </w:r>
          </w:p>
        </w:tc>
        <w:tc>
          <w:tcPr>
            <w:tcW w:w="502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underlying +dividend or distribution</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Answer this question if your response to Q2.1 is “Being issued</w:t>
            </w:r>
          </w:p>
        </w:tc>
        <w:tc>
          <w:tcPr>
            <w:tcW w:w="502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under a dividend or distribution plan”.</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2.2b.2</w:t>
            </w:r>
          </w:p>
        </w:tc>
        <w:tc>
          <w:tcPr>
            <w:tcW w:w="5220" w:type="dxa"/>
            <w:vAlign w:val="bottom"/>
          </w:tcPr>
          <w:p>
            <w:pPr>
              <w:ind w:left="220"/>
              <w:spacing w:after="0"/>
              <w:rPr>
                <w:sz w:val="20"/>
                <w:szCs w:val="20"/>
                <w:color w:val="auto"/>
              </w:rPr>
            </w:pPr>
            <w:r>
              <w:rPr>
                <w:rFonts w:ascii="Arial" w:cs="Arial" w:eastAsia="Arial" w:hAnsi="Arial"/>
                <w:sz w:val="18"/>
                <w:szCs w:val="18"/>
                <w:color w:val="auto"/>
                <w:w w:val="97"/>
              </w:rPr>
              <w:t>*Does the +dividend or distribution plan meet the requirement of</w:t>
            </w:r>
          </w:p>
        </w:tc>
        <w:tc>
          <w:tcPr>
            <w:tcW w:w="502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listing rule 7.2 exception 4 that it does not impose a limit on</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participation?</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Answer this question if your response to Q2.1 is “Being issued</w:t>
            </w:r>
          </w:p>
        </w:tc>
        <w:tc>
          <w:tcPr>
            <w:tcW w:w="502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under a dividend or distribution plan”.</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6"/>
              </w:rPr>
              <w:t>Note: Exception 4 only applies where security holders are able to</w:t>
            </w:r>
          </w:p>
        </w:tc>
        <w:tc>
          <w:tcPr>
            <w:tcW w:w="50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3"/>
              </w:rPr>
              <w:t>elect to receive all of their dividend or distribution as securities. For</w:t>
            </w:r>
          </w:p>
        </w:tc>
        <w:tc>
          <w:tcPr>
            <w:tcW w:w="50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example, Exception 4 would not apply in the following</w:t>
            </w:r>
          </w:p>
        </w:tc>
        <w:tc>
          <w:tcPr>
            <w:tcW w:w="50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3"/>
              </w:rPr>
              <w:t>circumstances: 1) The entity has specified a dollar limit on the level</w:t>
            </w:r>
          </w:p>
        </w:tc>
        <w:tc>
          <w:tcPr>
            <w:tcW w:w="50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of participation e.g. security holders can only participate to a</w:t>
            </w:r>
          </w:p>
        </w:tc>
        <w:tc>
          <w:tcPr>
            <w:tcW w:w="50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2"/>
              </w:rPr>
              <w:t>maximum value of $x in respect of their entitlement, or 2) The entity</w:t>
            </w:r>
          </w:p>
        </w:tc>
        <w:tc>
          <w:tcPr>
            <w:tcW w:w="50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4"/>
              </w:rPr>
              <w:t>has specified a maximum number of securities that can participate</w:t>
            </w:r>
          </w:p>
        </w:tc>
        <w:tc>
          <w:tcPr>
            <w:tcW w:w="50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2"/>
              </w:rPr>
              <w:t>in the plan e.g. security holders can only receive securities in lieu of</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dividend payable for x number of securities.</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2.2c.1</w:t>
            </w:r>
          </w:p>
        </w:tc>
        <w:tc>
          <w:tcPr>
            <w:tcW w:w="5220" w:type="dxa"/>
            <w:vAlign w:val="bottom"/>
          </w:tcPr>
          <w:p>
            <w:pPr>
              <w:ind w:left="220"/>
              <w:spacing w:after="0"/>
              <w:rPr>
                <w:sz w:val="20"/>
                <w:szCs w:val="20"/>
                <w:color w:val="auto"/>
              </w:rPr>
            </w:pPr>
            <w:r>
              <w:rPr>
                <w:rFonts w:ascii="Arial" w:cs="Arial" w:eastAsia="Arial" w:hAnsi="Arial"/>
                <w:sz w:val="18"/>
                <w:szCs w:val="18"/>
                <w:color w:val="auto"/>
                <w:w w:val="93"/>
              </w:rPr>
              <w:t>Please state the number and type of options that were exercised or</w:t>
            </w:r>
          </w:p>
        </w:tc>
        <w:tc>
          <w:tcPr>
            <w:tcW w:w="5020" w:type="dxa"/>
            <w:vAlign w:val="bottom"/>
          </w:tcPr>
          <w:p>
            <w:pPr>
              <w:ind w:left="60"/>
              <w:spacing w:after="0"/>
              <w:rPr>
                <w:sz w:val="20"/>
                <w:szCs w:val="20"/>
                <w:color w:val="auto"/>
              </w:rPr>
            </w:pPr>
            <w:r>
              <w:rPr>
                <w:rFonts w:ascii="Arial" w:cs="Arial" w:eastAsia="Arial" w:hAnsi="Arial"/>
                <w:sz w:val="18"/>
                <w:szCs w:val="18"/>
                <w:color w:val="auto"/>
              </w:rPr>
              <w:t>OPTAB: 7,000,000 unquoted options</w:t>
            </w: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w w:val="97"/>
              </w:rPr>
              <w:t>other +convertible securities that were converted (including their</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ASX security code)</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3"/>
              </w:rPr>
              <w:t>Answer this question if your response to Q2.1 is “Being issued as a</w:t>
            </w:r>
          </w:p>
        </w:tc>
        <w:tc>
          <w:tcPr>
            <w:tcW w:w="50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9"/>
              </w:rPr>
              <w:t>result of options being exercised or other convertible securities</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being converted”.</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2.2c.2</w:t>
            </w:r>
          </w:p>
        </w:tc>
        <w:tc>
          <w:tcPr>
            <w:tcW w:w="5220" w:type="dxa"/>
            <w:vAlign w:val="bottom"/>
          </w:tcPr>
          <w:p>
            <w:pPr>
              <w:ind w:left="220"/>
              <w:spacing w:after="0"/>
              <w:rPr>
                <w:sz w:val="20"/>
                <w:szCs w:val="20"/>
                <w:color w:val="auto"/>
              </w:rPr>
            </w:pPr>
            <w:r>
              <w:rPr>
                <w:rFonts w:ascii="Arial" w:cs="Arial" w:eastAsia="Arial" w:hAnsi="Arial"/>
                <w:sz w:val="18"/>
                <w:szCs w:val="18"/>
                <w:color w:val="auto"/>
              </w:rPr>
              <w:t>And the date the options were exercised or other +convertible</w:t>
            </w:r>
          </w:p>
        </w:tc>
        <w:tc>
          <w:tcPr>
            <w:tcW w:w="5020" w:type="dxa"/>
            <w:vAlign w:val="bottom"/>
          </w:tcPr>
          <w:p>
            <w:pPr>
              <w:ind w:left="60"/>
              <w:spacing w:after="0"/>
              <w:rPr>
                <w:sz w:val="20"/>
                <w:szCs w:val="20"/>
                <w:color w:val="auto"/>
              </w:rPr>
            </w:pPr>
            <w:r>
              <w:rPr>
                <w:rFonts w:ascii="Arial" w:cs="Arial" w:eastAsia="Arial" w:hAnsi="Arial"/>
                <w:sz w:val="18"/>
                <w:szCs w:val="18"/>
                <w:color w:val="auto"/>
              </w:rPr>
              <w:t>4 March 2021</w:t>
            </w: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securities were converted</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3"/>
              </w:rPr>
              <w:t>Answer this question if your response to Q2.1 is “Being issued as a</w:t>
            </w:r>
          </w:p>
        </w:tc>
        <w:tc>
          <w:tcPr>
            <w:tcW w:w="50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9"/>
              </w:rPr>
              <w:t>result of options being exercised or other convertible securities</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being converted”.</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4"/>
              </w:rPr>
              <w:t>Note: If this occurred over a range of dates, enter the date the last</w:t>
            </w:r>
          </w:p>
        </w:tc>
        <w:tc>
          <w:tcPr>
            <w:tcW w:w="502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0"/>
              </w:rPr>
              <w:t>of the options was exercised or convertible securities was converted.</w:t>
            </w: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2.2d.1</w:t>
            </w:r>
          </w:p>
        </w:tc>
        <w:tc>
          <w:tcPr>
            <w:tcW w:w="5220" w:type="dxa"/>
            <w:vAlign w:val="bottom"/>
          </w:tcPr>
          <w:p>
            <w:pPr>
              <w:ind w:left="220"/>
              <w:spacing w:after="0"/>
              <w:rPr>
                <w:sz w:val="20"/>
                <w:szCs w:val="20"/>
                <w:color w:val="auto"/>
              </w:rPr>
            </w:pPr>
            <w:r>
              <w:rPr>
                <w:rFonts w:ascii="Arial" w:cs="Arial" w:eastAsia="Arial" w:hAnsi="Arial"/>
                <w:sz w:val="18"/>
                <w:szCs w:val="18"/>
                <w:color w:val="auto"/>
              </w:rPr>
              <w:t>Please state the number and type of partly paid +securities</w:t>
            </w:r>
          </w:p>
        </w:tc>
        <w:tc>
          <w:tcPr>
            <w:tcW w:w="502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(including their ASX security code) that were fully paid up</w:t>
            </w:r>
          </w:p>
        </w:tc>
        <w:tc>
          <w:tcPr>
            <w:tcW w:w="5020" w:type="dxa"/>
            <w:vAlign w:val="bottom"/>
          </w:tcPr>
          <w:p>
            <w:pPr>
              <w:spacing w:after="0"/>
              <w:rPr>
                <w:sz w:val="20"/>
                <w:szCs w:val="20"/>
                <w:color w:val="auto"/>
              </w:rPr>
            </w:pPr>
          </w:p>
        </w:tc>
      </w:tr>
      <w:tr>
        <w:trPr>
          <w:trHeight w:val="323"/>
        </w:trPr>
        <w:tc>
          <w:tcPr>
            <w:tcW w:w="78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5"/>
              </w:rPr>
              <w:t>Answer this question if your response to Q2.1 is “Unquoted partly</w:t>
            </w:r>
          </w:p>
        </w:tc>
        <w:tc>
          <w:tcPr>
            <w:tcW w:w="50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w w:val="91"/>
              </w:rPr>
              <w:t>paid securities that have been paid up and are now quoted fully paid</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i w:val="1"/>
                <w:iCs w:val="1"/>
                <w:color w:val="auto"/>
              </w:rPr>
              <w:t>securities”.</w:t>
            </w:r>
          </w:p>
        </w:tc>
        <w:tc>
          <w:tcPr>
            <w:tcW w:w="5020" w:type="dxa"/>
            <w:vAlign w:val="bottom"/>
          </w:tcPr>
          <w:p>
            <w:pPr>
              <w:spacing w:after="0"/>
              <w:rPr>
                <w:sz w:val="20"/>
                <w:szCs w:val="20"/>
                <w:color w:val="auto"/>
              </w:rPr>
            </w:pPr>
          </w:p>
        </w:tc>
      </w:tr>
      <w:tr>
        <w:trPr>
          <w:trHeight w:val="162"/>
        </w:trPr>
        <w:tc>
          <w:tcPr>
            <w:tcW w:w="6000" w:type="dxa"/>
            <w:vAlign w:val="bottom"/>
            <w:tcBorders>
              <w:bottom w:val="single" w:sz="8" w:color="auto"/>
            </w:tcBorders>
            <w:gridSpan w:val="2"/>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195"/>
        </w:trPr>
        <w:tc>
          <w:tcPr>
            <w:tcW w:w="600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5020" w:type="dxa"/>
            <w:vAlign w:val="bottom"/>
          </w:tcPr>
          <w:p>
            <w:pPr>
              <w:spacing w:after="0"/>
              <w:rPr>
                <w:sz w:val="16"/>
                <w:szCs w:val="16"/>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i w:val="1"/>
                <w:iCs w:val="1"/>
                <w:color w:val="auto"/>
              </w:rPr>
              <w:t>31 January 2020</w:t>
            </w:r>
          </w:p>
        </w:tc>
        <w:tc>
          <w:tcPr>
            <w:tcW w:w="5020" w:type="dxa"/>
            <w:vAlign w:val="bottom"/>
          </w:tcPr>
          <w:p>
            <w:pPr>
              <w:jc w:val="right"/>
              <w:spacing w:after="0"/>
              <w:rPr>
                <w:sz w:val="20"/>
                <w:szCs w:val="20"/>
                <w:color w:val="auto"/>
              </w:rPr>
            </w:pPr>
            <w:r>
              <w:rPr>
                <w:rFonts w:ascii="Arial" w:cs="Arial" w:eastAsia="Arial" w:hAnsi="Arial"/>
                <w:sz w:val="18"/>
                <w:szCs w:val="18"/>
                <w:color w:val="auto"/>
              </w:rPr>
              <w:t>Page 3</w:t>
            </w: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02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6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r>
        <w:trPr>
          <w:trHeight w:val="405"/>
        </w:trPr>
        <w:tc>
          <w:tcPr>
            <w:tcW w:w="720" w:type="dxa"/>
            <w:vAlign w:val="bottom"/>
          </w:tcPr>
          <w:p>
            <w:pPr>
              <w:spacing w:after="0"/>
              <w:rPr>
                <w:sz w:val="20"/>
                <w:szCs w:val="20"/>
                <w:color w:val="auto"/>
              </w:rPr>
            </w:pPr>
            <w:r>
              <w:rPr>
                <w:rFonts w:ascii="Arial" w:cs="Arial" w:eastAsia="Arial" w:hAnsi="Arial"/>
                <w:sz w:val="18"/>
                <w:szCs w:val="18"/>
                <w:color w:val="auto"/>
              </w:rPr>
              <w:t>2.2d.2</w:t>
            </w:r>
          </w:p>
        </w:tc>
        <w:tc>
          <w:tcPr>
            <w:tcW w:w="5280" w:type="dxa"/>
            <w:vAlign w:val="bottom"/>
          </w:tcPr>
          <w:p>
            <w:pPr>
              <w:ind w:left="280"/>
              <w:spacing w:after="0"/>
              <w:rPr>
                <w:sz w:val="20"/>
                <w:szCs w:val="20"/>
                <w:color w:val="auto"/>
              </w:rPr>
            </w:pPr>
            <w:r>
              <w:rPr>
                <w:rFonts w:ascii="Arial" w:cs="Arial" w:eastAsia="Arial" w:hAnsi="Arial"/>
                <w:sz w:val="18"/>
                <w:szCs w:val="18"/>
                <w:color w:val="auto"/>
              </w:rPr>
              <w:t xml:space="preserve">And the date the </w:t>
            </w:r>
            <w:r>
              <w:rPr>
                <w:rFonts w:ascii="Arial" w:cs="Arial" w:eastAsia="Arial" w:hAnsi="Arial"/>
                <w:sz w:val="15"/>
                <w:szCs w:val="15"/>
                <w:color w:val="auto"/>
              </w:rPr>
              <w:t>+</w:t>
            </w:r>
            <w:r>
              <w:rPr>
                <w:rFonts w:ascii="Arial" w:cs="Arial" w:eastAsia="Arial" w:hAnsi="Arial"/>
                <w:sz w:val="18"/>
                <w:szCs w:val="18"/>
                <w:color w:val="auto"/>
              </w:rPr>
              <w:t>securities were fully paid up</w:t>
            </w:r>
          </w:p>
        </w:tc>
        <w:tc>
          <w:tcPr>
            <w:tcW w:w="502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310"/>
        </w:trPr>
        <w:tc>
          <w:tcPr>
            <w:tcW w:w="720" w:type="dxa"/>
            <w:vAlign w:val="bottom"/>
          </w:tcPr>
          <w:p>
            <w:pPr>
              <w:spacing w:after="0"/>
              <w:rPr>
                <w:sz w:val="24"/>
                <w:szCs w:val="24"/>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w w:val="95"/>
              </w:rPr>
              <w:t>Answer this question if your response to Q2.1 is “Unquoted partly</w:t>
            </w:r>
          </w:p>
        </w:tc>
        <w:tc>
          <w:tcPr>
            <w:tcW w:w="50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w w:val="91"/>
              </w:rPr>
              <w:t>paid securities that have been paid up and are now quoted fully paid</w:t>
            </w:r>
          </w:p>
        </w:tc>
        <w:tc>
          <w:tcPr>
            <w:tcW w:w="50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securities”.</w:t>
            </w:r>
          </w:p>
        </w:tc>
        <w:tc>
          <w:tcPr>
            <w:tcW w:w="5020" w:type="dxa"/>
            <w:vAlign w:val="bottom"/>
          </w:tcPr>
          <w:p>
            <w:pPr>
              <w:spacing w:after="0"/>
              <w:rPr>
                <w:sz w:val="20"/>
                <w:szCs w:val="20"/>
                <w:color w:val="auto"/>
              </w:rPr>
            </w:pPr>
          </w:p>
        </w:tc>
      </w:tr>
      <w:tr>
        <w:trPr>
          <w:trHeight w:val="323"/>
        </w:trPr>
        <w:tc>
          <w:tcPr>
            <w:tcW w:w="720" w:type="dxa"/>
            <w:vAlign w:val="bottom"/>
          </w:tcPr>
          <w:p>
            <w:pPr>
              <w:spacing w:after="0"/>
              <w:rPr>
                <w:sz w:val="24"/>
                <w:szCs w:val="24"/>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w w:val="94"/>
              </w:rPr>
              <w:t>Note: If this occurred over a range of dates, enter the date the last</w:t>
            </w:r>
          </w:p>
        </w:tc>
        <w:tc>
          <w:tcPr>
            <w:tcW w:w="502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of the securities was fully paid up.</w:t>
            </w:r>
          </w:p>
        </w:tc>
        <w:tc>
          <w:tcPr>
            <w:tcW w:w="5020" w:type="dxa"/>
            <w:vAlign w:val="bottom"/>
          </w:tcPr>
          <w:p>
            <w:pPr>
              <w:spacing w:after="0"/>
              <w:rPr>
                <w:sz w:val="20"/>
                <w:szCs w:val="20"/>
                <w:color w:val="auto"/>
              </w:rPr>
            </w:pPr>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rPr>
              <w:t>2.2e.1</w:t>
            </w:r>
          </w:p>
        </w:tc>
        <w:tc>
          <w:tcPr>
            <w:tcW w:w="5280" w:type="dxa"/>
            <w:vAlign w:val="bottom"/>
          </w:tcPr>
          <w:p>
            <w:pPr>
              <w:ind w:left="280"/>
              <w:spacing w:after="0"/>
              <w:rPr>
                <w:sz w:val="20"/>
                <w:szCs w:val="20"/>
                <w:color w:val="auto"/>
              </w:rPr>
            </w:pPr>
            <w:r>
              <w:rPr>
                <w:rFonts w:ascii="Arial" w:cs="Arial" w:eastAsia="Arial" w:hAnsi="Arial"/>
                <w:sz w:val="18"/>
                <w:szCs w:val="18"/>
                <w:color w:val="auto"/>
                <w:w w:val="91"/>
              </w:rPr>
              <w:t>Please state the number and type of +restricted securities (including</w:t>
            </w:r>
          </w:p>
        </w:tc>
        <w:tc>
          <w:tcPr>
            <w:tcW w:w="502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w w:val="93"/>
              </w:rPr>
              <w:t>their ASX security code) where the escrow period has expired or is</w:t>
            </w:r>
          </w:p>
        </w:tc>
        <w:tc>
          <w:tcPr>
            <w:tcW w:w="50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about to expire</w:t>
            </w:r>
          </w:p>
        </w:tc>
        <w:tc>
          <w:tcPr>
            <w:tcW w:w="502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Answer this question if your response to Q2.1 is “Restricted</w:t>
            </w:r>
          </w:p>
        </w:tc>
        <w:tc>
          <w:tcPr>
            <w:tcW w:w="50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securities where the escrow period has expired or is about to</w:t>
            </w:r>
          </w:p>
        </w:tc>
        <w:tc>
          <w:tcPr>
            <w:tcW w:w="50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expire”.</w:t>
            </w:r>
          </w:p>
        </w:tc>
        <w:tc>
          <w:tcPr>
            <w:tcW w:w="5020" w:type="dxa"/>
            <w:vAlign w:val="bottom"/>
          </w:tcPr>
          <w:p>
            <w:pPr>
              <w:spacing w:after="0"/>
              <w:rPr>
                <w:sz w:val="20"/>
                <w:szCs w:val="20"/>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2.2e.2</w:t>
            </w:r>
          </w:p>
        </w:tc>
        <w:tc>
          <w:tcPr>
            <w:tcW w:w="5280" w:type="dxa"/>
            <w:vAlign w:val="bottom"/>
          </w:tcPr>
          <w:p>
            <w:pPr>
              <w:ind w:left="280"/>
              <w:spacing w:after="0"/>
              <w:rPr>
                <w:sz w:val="20"/>
                <w:szCs w:val="20"/>
                <w:color w:val="auto"/>
              </w:rPr>
            </w:pPr>
            <w:r>
              <w:rPr>
                <w:rFonts w:ascii="Arial" w:cs="Arial" w:eastAsia="Arial" w:hAnsi="Arial"/>
                <w:sz w:val="18"/>
                <w:szCs w:val="18"/>
                <w:color w:val="auto"/>
              </w:rPr>
              <w:t>And the date the escrow restrictions have ceased or will cease</w:t>
            </w:r>
          </w:p>
        </w:tc>
        <w:tc>
          <w:tcPr>
            <w:tcW w:w="502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310"/>
        </w:trPr>
        <w:tc>
          <w:tcPr>
            <w:tcW w:w="720" w:type="dxa"/>
            <w:vAlign w:val="bottom"/>
          </w:tcPr>
          <w:p>
            <w:pPr>
              <w:spacing w:after="0"/>
              <w:rPr>
                <w:sz w:val="24"/>
                <w:szCs w:val="24"/>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Answer this question if your response to Q2.1 is “Restricted</w:t>
            </w:r>
          </w:p>
        </w:tc>
        <w:tc>
          <w:tcPr>
            <w:tcW w:w="50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securities where the escrow period has expired or is about to</w:t>
            </w:r>
          </w:p>
        </w:tc>
        <w:tc>
          <w:tcPr>
            <w:tcW w:w="50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expire”.</w:t>
            </w:r>
          </w:p>
        </w:tc>
        <w:tc>
          <w:tcPr>
            <w:tcW w:w="5020" w:type="dxa"/>
            <w:vAlign w:val="bottom"/>
          </w:tcPr>
          <w:p>
            <w:pPr>
              <w:spacing w:after="0"/>
              <w:rPr>
                <w:sz w:val="20"/>
                <w:szCs w:val="20"/>
                <w:color w:val="auto"/>
              </w:rPr>
            </w:pPr>
          </w:p>
        </w:tc>
      </w:tr>
      <w:tr>
        <w:trPr>
          <w:trHeight w:val="323"/>
        </w:trPr>
        <w:tc>
          <w:tcPr>
            <w:tcW w:w="720" w:type="dxa"/>
            <w:vAlign w:val="bottom"/>
          </w:tcPr>
          <w:p>
            <w:pPr>
              <w:spacing w:after="0"/>
              <w:rPr>
                <w:sz w:val="24"/>
                <w:szCs w:val="24"/>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w w:val="94"/>
              </w:rPr>
              <w:t>Note: If this occurred over a range of dates, enter the date the last</w:t>
            </w:r>
          </w:p>
        </w:tc>
        <w:tc>
          <w:tcPr>
            <w:tcW w:w="502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of the escrow restrictions has ceased or will cease.</w:t>
            </w:r>
          </w:p>
        </w:tc>
        <w:tc>
          <w:tcPr>
            <w:tcW w:w="5020" w:type="dxa"/>
            <w:vAlign w:val="bottom"/>
          </w:tcPr>
          <w:p>
            <w:pPr>
              <w:spacing w:after="0"/>
              <w:rPr>
                <w:sz w:val="20"/>
                <w:szCs w:val="20"/>
                <w:color w:val="auto"/>
              </w:rPr>
            </w:pPr>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rPr>
              <w:t>2.2f.1</w:t>
            </w:r>
          </w:p>
        </w:tc>
        <w:tc>
          <w:tcPr>
            <w:tcW w:w="5280" w:type="dxa"/>
            <w:vAlign w:val="bottom"/>
          </w:tcPr>
          <w:p>
            <w:pPr>
              <w:ind w:left="280"/>
              <w:spacing w:after="0"/>
              <w:rPr>
                <w:sz w:val="20"/>
                <w:szCs w:val="20"/>
                <w:color w:val="auto"/>
              </w:rPr>
            </w:pPr>
            <w:r>
              <w:rPr>
                <w:rFonts w:ascii="Arial" w:cs="Arial" w:eastAsia="Arial" w:hAnsi="Arial"/>
                <w:sz w:val="18"/>
                <w:szCs w:val="18"/>
                <w:color w:val="auto"/>
                <w:w w:val="91"/>
              </w:rPr>
              <w:t>Please state the number and type of +securities (including their ASX</w:t>
            </w:r>
          </w:p>
        </w:tc>
        <w:tc>
          <w:tcPr>
            <w:tcW w:w="502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w w:val="98"/>
              </w:rPr>
              <w:t>security code) previously issued under the +employee incentive</w:t>
            </w:r>
          </w:p>
        </w:tc>
        <w:tc>
          <w:tcPr>
            <w:tcW w:w="50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w w:val="89"/>
              </w:rPr>
              <w:t>scheme where the restrictions on transfer have ceased or are about to</w:t>
            </w:r>
          </w:p>
        </w:tc>
        <w:tc>
          <w:tcPr>
            <w:tcW w:w="50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cease</w:t>
            </w:r>
          </w:p>
        </w:tc>
        <w:tc>
          <w:tcPr>
            <w:tcW w:w="502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Answer this question if your response to Q2.1 is “Securities</w:t>
            </w:r>
          </w:p>
        </w:tc>
        <w:tc>
          <w:tcPr>
            <w:tcW w:w="50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w w:val="94"/>
              </w:rPr>
              <w:t>previously issued under an employee incentive scheme where the</w:t>
            </w:r>
          </w:p>
        </w:tc>
        <w:tc>
          <w:tcPr>
            <w:tcW w:w="50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restrictions on transfer have ceased or are about to cease”.</w:t>
            </w:r>
          </w:p>
        </w:tc>
        <w:tc>
          <w:tcPr>
            <w:tcW w:w="5020" w:type="dxa"/>
            <w:vAlign w:val="bottom"/>
          </w:tcPr>
          <w:p>
            <w:pPr>
              <w:spacing w:after="0"/>
              <w:rPr>
                <w:sz w:val="20"/>
                <w:szCs w:val="20"/>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2.2f.2</w:t>
            </w:r>
          </w:p>
        </w:tc>
        <w:tc>
          <w:tcPr>
            <w:tcW w:w="5280" w:type="dxa"/>
            <w:vAlign w:val="bottom"/>
          </w:tcPr>
          <w:p>
            <w:pPr>
              <w:ind w:left="280"/>
              <w:spacing w:after="0"/>
              <w:rPr>
                <w:sz w:val="20"/>
                <w:szCs w:val="20"/>
                <w:color w:val="auto"/>
              </w:rPr>
            </w:pPr>
            <w:r>
              <w:rPr>
                <w:rFonts w:ascii="Arial" w:cs="Arial" w:eastAsia="Arial" w:hAnsi="Arial"/>
                <w:sz w:val="18"/>
                <w:szCs w:val="18"/>
                <w:color w:val="auto"/>
                <w:w w:val="93"/>
              </w:rPr>
              <w:t>And the date the restrictions on transfer have ceased or will cease:</w:t>
            </w:r>
          </w:p>
        </w:tc>
        <w:tc>
          <w:tcPr>
            <w:tcW w:w="502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310"/>
        </w:trPr>
        <w:tc>
          <w:tcPr>
            <w:tcW w:w="720" w:type="dxa"/>
            <w:vAlign w:val="bottom"/>
          </w:tcPr>
          <w:p>
            <w:pPr>
              <w:spacing w:after="0"/>
              <w:rPr>
                <w:sz w:val="24"/>
                <w:szCs w:val="24"/>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Answer this question if your response to Q2.1 is “Securities</w:t>
            </w:r>
          </w:p>
        </w:tc>
        <w:tc>
          <w:tcPr>
            <w:tcW w:w="50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w w:val="94"/>
              </w:rPr>
              <w:t>previously issued under an employee incentive scheme where the</w:t>
            </w:r>
          </w:p>
        </w:tc>
        <w:tc>
          <w:tcPr>
            <w:tcW w:w="50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w w:val="93"/>
              </w:rPr>
              <w:t>restrictions on transfer have ceased or are about to cease”. Note: If</w:t>
            </w:r>
          </w:p>
        </w:tc>
        <w:tc>
          <w:tcPr>
            <w:tcW w:w="50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w w:val="97"/>
              </w:rPr>
              <w:t>this occurred over a range of dates, enter the date the last of the</w:t>
            </w:r>
          </w:p>
        </w:tc>
        <w:tc>
          <w:tcPr>
            <w:tcW w:w="50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restrictions on transfer has ceased or will cease.</w:t>
            </w:r>
          </w:p>
        </w:tc>
        <w:tc>
          <w:tcPr>
            <w:tcW w:w="5020" w:type="dxa"/>
            <w:vAlign w:val="bottom"/>
          </w:tcPr>
          <w:p>
            <w:pPr>
              <w:spacing w:after="0"/>
              <w:rPr>
                <w:sz w:val="20"/>
                <w:szCs w:val="20"/>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2.2g.1</w:t>
            </w:r>
          </w:p>
        </w:tc>
        <w:tc>
          <w:tcPr>
            <w:tcW w:w="5280" w:type="dxa"/>
            <w:vAlign w:val="bottom"/>
          </w:tcPr>
          <w:p>
            <w:pPr>
              <w:ind w:left="280"/>
              <w:spacing w:after="0"/>
              <w:rPr>
                <w:sz w:val="20"/>
                <w:szCs w:val="20"/>
                <w:color w:val="auto"/>
              </w:rPr>
            </w:pPr>
            <w:r>
              <w:rPr>
                <w:rFonts w:ascii="Arial" w:cs="Arial" w:eastAsia="Arial" w:hAnsi="Arial"/>
                <w:sz w:val="18"/>
                <w:szCs w:val="18"/>
                <w:color w:val="auto"/>
                <w:w w:val="91"/>
              </w:rPr>
              <w:t>Please state the number and type of +securities (including their ASX</w:t>
            </w:r>
          </w:p>
        </w:tc>
        <w:tc>
          <w:tcPr>
            <w:tcW w:w="502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w w:val="90"/>
              </w:rPr>
              <w:t>security code) issued under an +employee incentive scheme that are</w:t>
            </w:r>
          </w:p>
        </w:tc>
        <w:tc>
          <w:tcPr>
            <w:tcW w:w="50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not subject to a restriction on transfer or that are to be quoted</w:t>
            </w:r>
          </w:p>
        </w:tc>
        <w:tc>
          <w:tcPr>
            <w:tcW w:w="50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notwithstanding there is a restriction on transfer</w:t>
            </w:r>
          </w:p>
        </w:tc>
        <w:tc>
          <w:tcPr>
            <w:tcW w:w="502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w w:val="94"/>
              </w:rPr>
              <w:t>Answer this question if your response to Q2.1 is “Securities issued</w:t>
            </w:r>
          </w:p>
        </w:tc>
        <w:tc>
          <w:tcPr>
            <w:tcW w:w="50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under an employee incentive scheme that are not subject to a</w:t>
            </w:r>
          </w:p>
        </w:tc>
        <w:tc>
          <w:tcPr>
            <w:tcW w:w="50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w w:val="92"/>
              </w:rPr>
              <w:t>restriction on transfer or that are to be quoted notwithstanding there</w:t>
            </w:r>
          </w:p>
        </w:tc>
        <w:tc>
          <w:tcPr>
            <w:tcW w:w="50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is a restriction on transfer”.</w:t>
            </w:r>
          </w:p>
        </w:tc>
        <w:tc>
          <w:tcPr>
            <w:tcW w:w="5020" w:type="dxa"/>
            <w:vAlign w:val="bottom"/>
          </w:tcPr>
          <w:p>
            <w:pPr>
              <w:spacing w:after="0"/>
              <w:rPr>
                <w:sz w:val="20"/>
                <w:szCs w:val="20"/>
                <w:color w:val="auto"/>
              </w:rPr>
            </w:pPr>
          </w:p>
        </w:tc>
      </w:tr>
      <w:tr>
        <w:trPr>
          <w:trHeight w:val="148"/>
        </w:trPr>
        <w:tc>
          <w:tcPr>
            <w:tcW w:w="6000" w:type="dxa"/>
            <w:vAlign w:val="bottom"/>
            <w:tcBorders>
              <w:bottom w:val="single" w:sz="8" w:color="auto"/>
            </w:tcBorders>
            <w:gridSpan w:val="2"/>
          </w:tcPr>
          <w:p>
            <w:pPr>
              <w:spacing w:after="0"/>
              <w:rPr>
                <w:sz w:val="12"/>
                <w:szCs w:val="12"/>
                <w:color w:val="auto"/>
              </w:rPr>
            </w:pPr>
          </w:p>
        </w:tc>
        <w:tc>
          <w:tcPr>
            <w:tcW w:w="5020" w:type="dxa"/>
            <w:vAlign w:val="bottom"/>
            <w:tcBorders>
              <w:bottom w:val="single" w:sz="8" w:color="auto"/>
            </w:tcBorders>
          </w:tcPr>
          <w:p>
            <w:pPr>
              <w:spacing w:after="0"/>
              <w:rPr>
                <w:sz w:val="12"/>
                <w:szCs w:val="12"/>
                <w:color w:val="auto"/>
              </w:rPr>
            </w:pPr>
          </w:p>
        </w:tc>
      </w:tr>
      <w:tr>
        <w:trPr>
          <w:trHeight w:val="195"/>
        </w:trPr>
        <w:tc>
          <w:tcPr>
            <w:tcW w:w="600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5020" w:type="dxa"/>
            <w:vAlign w:val="bottom"/>
          </w:tcPr>
          <w:p>
            <w:pPr>
              <w:spacing w:after="0"/>
              <w:rPr>
                <w:sz w:val="16"/>
                <w:szCs w:val="16"/>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i w:val="1"/>
                <w:iCs w:val="1"/>
                <w:color w:val="auto"/>
              </w:rPr>
              <w:t>31 January 2020</w:t>
            </w:r>
          </w:p>
        </w:tc>
        <w:tc>
          <w:tcPr>
            <w:tcW w:w="5020" w:type="dxa"/>
            <w:vAlign w:val="bottom"/>
          </w:tcPr>
          <w:p>
            <w:pPr>
              <w:jc w:val="right"/>
              <w:spacing w:after="0"/>
              <w:rPr>
                <w:sz w:val="20"/>
                <w:szCs w:val="20"/>
                <w:color w:val="auto"/>
              </w:rPr>
            </w:pPr>
            <w:r>
              <w:rPr>
                <w:rFonts w:ascii="Arial" w:cs="Arial" w:eastAsia="Arial" w:hAnsi="Arial"/>
                <w:sz w:val="18"/>
                <w:szCs w:val="18"/>
                <w:color w:val="auto"/>
              </w:rPr>
              <w:t>Page 4</w:t>
            </w: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1180" w:type="dxa"/>
            <w:vAlign w:val="bottom"/>
          </w:tcPr>
          <w:p>
            <w:pPr>
              <w:spacing w:after="0"/>
              <w:rPr>
                <w:sz w:val="18"/>
                <w:szCs w:val="18"/>
                <w:color w:val="auto"/>
              </w:rPr>
            </w:pPr>
          </w:p>
        </w:tc>
        <w:tc>
          <w:tcPr>
            <w:tcW w:w="502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4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118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2.2g.2</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w w:val="98"/>
              </w:rPr>
              <w:t>*Please attach a document or provide details of a URL link for a</w:t>
            </w:r>
          </w:p>
        </w:tc>
        <w:tc>
          <w:tcPr>
            <w:tcW w:w="5020" w:type="dxa"/>
            <w:vAlign w:val="bottom"/>
          </w:tcPr>
          <w:p>
            <w:pPr>
              <w:jc w:val="right"/>
              <w:ind w:right="4570"/>
              <w:spacing w:after="0"/>
              <w:rPr>
                <w:sz w:val="20"/>
                <w:szCs w:val="20"/>
                <w:color w:val="auto"/>
              </w:rPr>
            </w:pPr>
            <w:r>
              <w:rPr>
                <w:rFonts w:ascii="Arial" w:cs="Arial" w:eastAsia="Arial" w:hAnsi="Arial"/>
                <w:sz w:val="18"/>
                <w:szCs w:val="18"/>
                <w:color w:val="auto"/>
              </w:rPr>
              <w:t>N/A</w:t>
            </w:r>
          </w:p>
        </w:tc>
      </w:tr>
      <w:tr>
        <w:trPr>
          <w:trHeight w:val="216"/>
        </w:trPr>
        <w:tc>
          <w:tcPr>
            <w:tcW w:w="780" w:type="dxa"/>
            <w:vAlign w:val="bottom"/>
          </w:tcPr>
          <w:p>
            <w:pPr>
              <w:spacing w:after="0"/>
              <w:rPr>
                <w:sz w:val="18"/>
                <w:szCs w:val="18"/>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w w:val="97"/>
              </w:rPr>
              <w:t>document lodged with ASX detailing the terms of the +employee</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incentive scheme or a summary of the terms.</w:t>
            </w:r>
          </w:p>
        </w:tc>
        <w:tc>
          <w:tcPr>
            <w:tcW w:w="11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4"/>
                <w:szCs w:val="24"/>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i w:val="1"/>
                <w:iCs w:val="1"/>
                <w:color w:val="auto"/>
                <w:w w:val="94"/>
              </w:rPr>
              <w:t>Answer this question if your response to Q2.1 is “Securities issued</w:t>
            </w:r>
          </w:p>
        </w:tc>
        <w:tc>
          <w:tcPr>
            <w:tcW w:w="50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i w:val="1"/>
                <w:iCs w:val="1"/>
                <w:color w:val="auto"/>
              </w:rPr>
              <w:t>under an employee incentive scheme that are not subject to a</w:t>
            </w:r>
          </w:p>
        </w:tc>
        <w:tc>
          <w:tcPr>
            <w:tcW w:w="50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i w:val="1"/>
                <w:iCs w:val="1"/>
                <w:color w:val="auto"/>
                <w:w w:val="92"/>
              </w:rPr>
              <w:t>restriction on transfer or that are to be quoted notwithstanding there</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i w:val="1"/>
                <w:iCs w:val="1"/>
                <w:color w:val="auto"/>
              </w:rPr>
              <w:t>is a restriction on transfer”.</w:t>
            </w:r>
          </w:p>
        </w:tc>
        <w:tc>
          <w:tcPr>
            <w:tcW w:w="11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2.2g.3</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w w:val="97"/>
              </w:rPr>
              <w:t>*Are any of these +securities being issued to +key management</w:t>
            </w:r>
          </w:p>
        </w:tc>
        <w:tc>
          <w:tcPr>
            <w:tcW w:w="5020" w:type="dxa"/>
            <w:vAlign w:val="bottom"/>
          </w:tcPr>
          <w:p>
            <w:pPr>
              <w:jc w:val="right"/>
              <w:ind w:right="4570"/>
              <w:spacing w:after="0"/>
              <w:rPr>
                <w:sz w:val="20"/>
                <w:szCs w:val="20"/>
                <w:color w:val="auto"/>
              </w:rPr>
            </w:pPr>
            <w:r>
              <w:rPr>
                <w:rFonts w:ascii="Arial" w:cs="Arial" w:eastAsia="Arial" w:hAnsi="Arial"/>
                <w:sz w:val="18"/>
                <w:szCs w:val="18"/>
                <w:color w:val="auto"/>
              </w:rPr>
              <w:t>N/A</w:t>
            </w:r>
          </w:p>
        </w:tc>
      </w:tr>
      <w:tr>
        <w:trPr>
          <w:trHeight w:val="230"/>
        </w:trPr>
        <w:tc>
          <w:tcPr>
            <w:tcW w:w="780" w:type="dxa"/>
            <w:vAlign w:val="bottom"/>
          </w:tcPr>
          <w:p>
            <w:pPr>
              <w:spacing w:after="0"/>
              <w:rPr>
                <w:sz w:val="20"/>
                <w:szCs w:val="20"/>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personnel (KMP) or an +associate</w:t>
            </w:r>
          </w:p>
        </w:tc>
        <w:tc>
          <w:tcPr>
            <w:tcW w:w="11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10"/>
        </w:trPr>
        <w:tc>
          <w:tcPr>
            <w:tcW w:w="780" w:type="dxa"/>
            <w:vAlign w:val="bottom"/>
          </w:tcPr>
          <w:p>
            <w:pPr>
              <w:spacing w:after="0"/>
              <w:rPr>
                <w:sz w:val="24"/>
                <w:szCs w:val="24"/>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i w:val="1"/>
                <w:iCs w:val="1"/>
                <w:color w:val="auto"/>
                <w:w w:val="94"/>
              </w:rPr>
              <w:t>Answer this question if your response to Q2.1 is “Securities issued</w:t>
            </w:r>
          </w:p>
        </w:tc>
        <w:tc>
          <w:tcPr>
            <w:tcW w:w="50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i w:val="1"/>
                <w:iCs w:val="1"/>
                <w:color w:val="auto"/>
              </w:rPr>
              <w:t>under an employee incentive scheme that are not subject to a</w:t>
            </w:r>
          </w:p>
        </w:tc>
        <w:tc>
          <w:tcPr>
            <w:tcW w:w="50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i w:val="1"/>
                <w:iCs w:val="1"/>
                <w:color w:val="auto"/>
                <w:w w:val="92"/>
              </w:rPr>
              <w:t>restriction on transfer or that are to be quoted notwithstanding there</w:t>
            </w:r>
          </w:p>
        </w:tc>
        <w:tc>
          <w:tcPr>
            <w:tcW w:w="50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i w:val="1"/>
                <w:iCs w:val="1"/>
                <w:color w:val="auto"/>
              </w:rPr>
              <w:t>is a restriction on transfer”.</w:t>
            </w:r>
          </w:p>
        </w:tc>
        <w:tc>
          <w:tcPr>
            <w:tcW w:w="11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2.2g.3.a</w:t>
            </w:r>
          </w:p>
        </w:tc>
        <w:tc>
          <w:tcPr>
            <w:tcW w:w="10240" w:type="dxa"/>
            <w:vAlign w:val="bottom"/>
            <w:gridSpan w:val="4"/>
          </w:tcPr>
          <w:p>
            <w:pPr>
              <w:ind w:left="220"/>
              <w:spacing w:after="0"/>
              <w:rPr>
                <w:sz w:val="20"/>
                <w:szCs w:val="20"/>
                <w:color w:val="auto"/>
              </w:rPr>
            </w:pPr>
            <w:r>
              <w:rPr>
                <w:rFonts w:ascii="Arial" w:cs="Arial" w:eastAsia="Arial" w:hAnsi="Arial"/>
                <w:sz w:val="18"/>
                <w:szCs w:val="18"/>
                <w:color w:val="auto"/>
              </w:rPr>
              <w:t>*Provide details of the recipients and the number of +securities issued to each of them.</w:t>
            </w:r>
          </w:p>
        </w:tc>
      </w:tr>
      <w:tr>
        <w:trPr>
          <w:trHeight w:val="310"/>
        </w:trPr>
        <w:tc>
          <w:tcPr>
            <w:tcW w:w="780" w:type="dxa"/>
            <w:vAlign w:val="bottom"/>
          </w:tcPr>
          <w:p>
            <w:pPr>
              <w:spacing w:after="0"/>
              <w:rPr>
                <w:sz w:val="24"/>
                <w:szCs w:val="24"/>
                <w:color w:val="auto"/>
              </w:rPr>
            </w:pPr>
          </w:p>
        </w:tc>
        <w:tc>
          <w:tcPr>
            <w:tcW w:w="10240" w:type="dxa"/>
            <w:vAlign w:val="bottom"/>
            <w:gridSpan w:val="4"/>
          </w:tcPr>
          <w:p>
            <w:pPr>
              <w:ind w:left="220"/>
              <w:spacing w:after="0"/>
              <w:rPr>
                <w:sz w:val="20"/>
                <w:szCs w:val="20"/>
                <w:color w:val="auto"/>
              </w:rPr>
            </w:pPr>
            <w:r>
              <w:rPr>
                <w:rFonts w:ascii="Arial" w:cs="Arial" w:eastAsia="Arial" w:hAnsi="Arial"/>
                <w:sz w:val="18"/>
                <w:szCs w:val="18"/>
                <w:i w:val="1"/>
                <w:iCs w:val="1"/>
                <w:color w:val="auto"/>
                <w:w w:val="97"/>
              </w:rPr>
              <w:t>Answer this question if your response to Q2.1 is “Securities issued under an employee incentive scheme that are not subject to a</w:t>
            </w:r>
          </w:p>
        </w:tc>
      </w:tr>
      <w:tr>
        <w:trPr>
          <w:trHeight w:val="216"/>
        </w:trPr>
        <w:tc>
          <w:tcPr>
            <w:tcW w:w="780" w:type="dxa"/>
            <w:vAlign w:val="bottom"/>
          </w:tcPr>
          <w:p>
            <w:pPr>
              <w:spacing w:after="0"/>
              <w:rPr>
                <w:sz w:val="18"/>
                <w:szCs w:val="18"/>
                <w:color w:val="auto"/>
              </w:rPr>
            </w:pPr>
          </w:p>
        </w:tc>
        <w:tc>
          <w:tcPr>
            <w:tcW w:w="10240" w:type="dxa"/>
            <w:vAlign w:val="bottom"/>
            <w:gridSpan w:val="4"/>
          </w:tcPr>
          <w:p>
            <w:pPr>
              <w:ind w:left="220"/>
              <w:spacing w:after="0"/>
              <w:rPr>
                <w:sz w:val="20"/>
                <w:szCs w:val="20"/>
                <w:color w:val="auto"/>
              </w:rPr>
            </w:pPr>
            <w:r>
              <w:rPr>
                <w:rFonts w:ascii="Arial" w:cs="Arial" w:eastAsia="Arial" w:hAnsi="Arial"/>
                <w:sz w:val="18"/>
                <w:szCs w:val="18"/>
                <w:i w:val="1"/>
                <w:iCs w:val="1"/>
                <w:color w:val="auto"/>
                <w:w w:val="93"/>
              </w:rPr>
              <w:t>restriction on transfer or that are to be quoted notwithstanding there is a restriction on transfer” and your response to Q2.2g.3 is “Yes”.</w:t>
            </w:r>
          </w:p>
        </w:tc>
      </w:tr>
      <w:tr>
        <w:trPr>
          <w:trHeight w:val="216"/>
        </w:trPr>
        <w:tc>
          <w:tcPr>
            <w:tcW w:w="780" w:type="dxa"/>
            <w:vAlign w:val="bottom"/>
          </w:tcPr>
          <w:p>
            <w:pPr>
              <w:spacing w:after="0"/>
              <w:rPr>
                <w:sz w:val="18"/>
                <w:szCs w:val="18"/>
                <w:color w:val="auto"/>
              </w:rPr>
            </w:pPr>
          </w:p>
        </w:tc>
        <w:tc>
          <w:tcPr>
            <w:tcW w:w="10240" w:type="dxa"/>
            <w:vAlign w:val="bottom"/>
            <w:gridSpan w:val="4"/>
          </w:tcPr>
          <w:p>
            <w:pPr>
              <w:ind w:left="220"/>
              <w:spacing w:after="0"/>
              <w:rPr>
                <w:sz w:val="20"/>
                <w:szCs w:val="20"/>
                <w:color w:val="auto"/>
              </w:rPr>
            </w:pPr>
            <w:r>
              <w:rPr>
                <w:rFonts w:ascii="Arial" w:cs="Arial" w:eastAsia="Arial" w:hAnsi="Arial"/>
                <w:sz w:val="18"/>
                <w:szCs w:val="18"/>
                <w:i w:val="1"/>
                <w:iCs w:val="1"/>
                <w:color w:val="auto"/>
                <w:w w:val="92"/>
              </w:rPr>
              <w:t>Repeat the detail in the table below for each KMP involved in the issue. If the securities are being issued to the KMP, repeat the name of</w:t>
            </w:r>
          </w:p>
        </w:tc>
      </w:tr>
      <w:tr>
        <w:trPr>
          <w:trHeight w:val="216"/>
        </w:trPr>
        <w:tc>
          <w:tcPr>
            <w:tcW w:w="780" w:type="dxa"/>
            <w:vAlign w:val="bottom"/>
          </w:tcPr>
          <w:p>
            <w:pPr>
              <w:spacing w:after="0"/>
              <w:rPr>
                <w:sz w:val="18"/>
                <w:szCs w:val="18"/>
                <w:color w:val="auto"/>
              </w:rPr>
            </w:pPr>
          </w:p>
        </w:tc>
        <w:tc>
          <w:tcPr>
            <w:tcW w:w="10240" w:type="dxa"/>
            <w:vAlign w:val="bottom"/>
            <w:gridSpan w:val="4"/>
          </w:tcPr>
          <w:p>
            <w:pPr>
              <w:ind w:left="220"/>
              <w:spacing w:after="0"/>
              <w:rPr>
                <w:sz w:val="20"/>
                <w:szCs w:val="20"/>
                <w:color w:val="auto"/>
              </w:rPr>
            </w:pPr>
            <w:r>
              <w:rPr>
                <w:rFonts w:ascii="Arial" w:cs="Arial" w:eastAsia="Arial" w:hAnsi="Arial"/>
                <w:sz w:val="18"/>
                <w:szCs w:val="18"/>
                <w:i w:val="1"/>
                <w:iCs w:val="1"/>
                <w:color w:val="auto"/>
                <w:w w:val="93"/>
              </w:rPr>
              <w:t>the KMP or insert “Same” in “Name of registered holder”. If the securities are being issued to an associate of a KMP, insert the name of</w:t>
            </w:r>
          </w:p>
        </w:tc>
      </w:tr>
      <w:tr>
        <w:trPr>
          <w:trHeight w:val="230"/>
        </w:trPr>
        <w:tc>
          <w:tcPr>
            <w:tcW w:w="780" w:type="dxa"/>
            <w:vAlign w:val="bottom"/>
          </w:tcPr>
          <w:p>
            <w:pPr>
              <w:spacing w:after="0"/>
              <w:rPr>
                <w:sz w:val="20"/>
                <w:szCs w:val="20"/>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i w:val="1"/>
                <w:iCs w:val="1"/>
                <w:color w:val="auto"/>
              </w:rPr>
              <w:t>the associate in “Name of registered holder”.</w:t>
            </w:r>
          </w:p>
        </w:tc>
        <w:tc>
          <w:tcPr>
            <w:tcW w:w="11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24"/>
        </w:trPr>
        <w:tc>
          <w:tcPr>
            <w:tcW w:w="780" w:type="dxa"/>
            <w:vAlign w:val="bottom"/>
          </w:tcPr>
          <w:p>
            <w:pPr>
              <w:spacing w:after="0"/>
              <w:rPr>
                <w:sz w:val="24"/>
                <w:szCs w:val="24"/>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N/A</w:t>
            </w:r>
          </w:p>
        </w:tc>
        <w:tc>
          <w:tcPr>
            <w:tcW w:w="2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24"/>
        </w:trPr>
        <w:tc>
          <w:tcPr>
            <w:tcW w:w="780" w:type="dxa"/>
            <w:vAlign w:val="bottom"/>
          </w:tcPr>
          <w:p>
            <w:pPr>
              <w:spacing w:after="0"/>
              <w:rPr>
                <w:sz w:val="24"/>
                <w:szCs w:val="24"/>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Name of KMP</w:t>
            </w:r>
          </w:p>
        </w:tc>
        <w:tc>
          <w:tcPr>
            <w:tcW w:w="2480" w:type="dxa"/>
            <w:vAlign w:val="bottom"/>
          </w:tcPr>
          <w:p>
            <w:pPr>
              <w:ind w:left="300"/>
              <w:spacing w:after="0"/>
              <w:rPr>
                <w:sz w:val="20"/>
                <w:szCs w:val="20"/>
                <w:color w:val="auto"/>
              </w:rPr>
            </w:pPr>
            <w:r>
              <w:rPr>
                <w:rFonts w:ascii="Arial" w:cs="Arial" w:eastAsia="Arial" w:hAnsi="Arial"/>
                <w:sz w:val="18"/>
                <w:szCs w:val="18"/>
                <w:color w:val="auto"/>
              </w:rPr>
              <w:t>Name of registered holder</w:t>
            </w:r>
          </w:p>
        </w:tc>
        <w:tc>
          <w:tcPr>
            <w:tcW w:w="6200" w:type="dxa"/>
            <w:vAlign w:val="bottom"/>
            <w:gridSpan w:val="2"/>
          </w:tcPr>
          <w:p>
            <w:pPr>
              <w:jc w:val="right"/>
              <w:ind w:right="4210"/>
              <w:spacing w:after="0"/>
              <w:rPr>
                <w:sz w:val="20"/>
                <w:szCs w:val="20"/>
                <w:color w:val="auto"/>
              </w:rPr>
            </w:pPr>
            <w:r>
              <w:rPr>
                <w:rFonts w:ascii="Arial" w:cs="Arial" w:eastAsia="Arial" w:hAnsi="Arial"/>
                <w:sz w:val="18"/>
                <w:szCs w:val="18"/>
                <w:color w:val="auto"/>
              </w:rPr>
              <w:t>Number of +securities</w:t>
            </w:r>
          </w:p>
        </w:tc>
      </w:tr>
    </w:tbl>
    <w:p>
      <w:pPr>
        <w:spacing w:after="0" w:line="94" w:lineRule="exact"/>
        <w:rPr>
          <w:sz w:val="20"/>
          <w:szCs w:val="20"/>
          <w:color w:val="auto"/>
        </w:rPr>
      </w:pPr>
    </w:p>
    <w:p>
      <w:pPr>
        <w:sectPr>
          <w:pgSz w:w="11900" w:h="16838" w:orient="portrait"/>
          <w:cols w:equalWidth="0" w:num="1">
            <w:col w:w="11020"/>
          </w:cols>
          <w:pgMar w:left="440" w:top="270" w:right="439" w:bottom="1440" w:gutter="0" w:footer="0" w:header="0"/>
        </w:sectPr>
      </w:pPr>
    </w:p>
    <w:p>
      <w:pPr>
        <w:spacing w:after="0"/>
        <w:tabs>
          <w:tab w:leader="none" w:pos="980" w:val="left"/>
        </w:tabs>
        <w:rPr>
          <w:sz w:val="20"/>
          <w:szCs w:val="20"/>
          <w:color w:val="auto"/>
        </w:rPr>
      </w:pPr>
      <w:r>
        <w:rPr>
          <w:rFonts w:ascii="Arial" w:cs="Arial" w:eastAsia="Arial" w:hAnsi="Arial"/>
          <w:sz w:val="18"/>
          <w:szCs w:val="18"/>
          <w:color w:val="auto"/>
        </w:rPr>
        <w:t>2.2h.1</w:t>
      </w:r>
      <w:r>
        <w:rPr>
          <w:sz w:val="20"/>
          <w:szCs w:val="20"/>
          <w:color w:val="auto"/>
        </w:rPr>
        <w:tab/>
      </w:r>
      <w:r>
        <w:rPr>
          <w:rFonts w:ascii="Arial" w:cs="Arial" w:eastAsia="Arial" w:hAnsi="Arial"/>
          <w:sz w:val="16"/>
          <w:szCs w:val="16"/>
          <w:color w:val="auto"/>
        </w:rPr>
        <w:t>*The purpose(s) for which the entity is issuing the +securities is:</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Answer this question if your response to Q2.1 is “Other”.</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You may select one or more of the items in the list.</w:t>
      </w:r>
    </w:p>
    <w:p>
      <w:pPr>
        <w:spacing w:after="0" w:line="20" w:lineRule="exact"/>
        <w:rPr>
          <w:sz w:val="20"/>
          <w:szCs w:val="20"/>
          <w:color w:val="auto"/>
        </w:rPr>
      </w:pPr>
      <w:r>
        <w:rPr>
          <w:sz w:val="20"/>
          <w:szCs w:val="20"/>
          <w:color w:val="auto"/>
        </w:rPr>
        <w:br w:type="column"/>
      </w:r>
    </w:p>
    <w:p>
      <w:pPr>
        <w:ind w:left="323" w:hanging="323"/>
        <w:spacing w:after="0"/>
        <w:tabs>
          <w:tab w:leader="none" w:pos="323"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To raise additional working capital</w:t>
      </w:r>
    </w:p>
    <w:p>
      <w:pPr>
        <w:spacing w:after="0" w:line="130" w:lineRule="exact"/>
        <w:rPr>
          <w:rFonts w:ascii="MS PGothic" w:cs="MS PGothic" w:eastAsia="MS PGothic" w:hAnsi="MS PGothic"/>
          <w:sz w:val="18"/>
          <w:szCs w:val="18"/>
          <w:color w:val="auto"/>
        </w:rPr>
      </w:pPr>
    </w:p>
    <w:p>
      <w:pPr>
        <w:ind w:left="323" w:hanging="323"/>
        <w:spacing w:after="0"/>
        <w:tabs>
          <w:tab w:leader="none" w:pos="323"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To fund the retirement of debt</w:t>
      </w:r>
    </w:p>
    <w:p>
      <w:pPr>
        <w:spacing w:after="0" w:line="130" w:lineRule="exact"/>
        <w:rPr>
          <w:rFonts w:ascii="MS PGothic" w:cs="MS PGothic" w:eastAsia="MS PGothic" w:hAnsi="MS PGothic"/>
          <w:sz w:val="18"/>
          <w:szCs w:val="18"/>
          <w:color w:val="auto"/>
        </w:rPr>
      </w:pPr>
    </w:p>
    <w:p>
      <w:pPr>
        <w:ind w:left="323" w:hanging="323"/>
        <w:spacing w:after="0"/>
        <w:tabs>
          <w:tab w:leader="none" w:pos="323"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To pay for the acquisition of an asset [</w:t>
      </w:r>
      <w:r>
        <w:rPr>
          <w:rFonts w:ascii="Arial" w:cs="Arial" w:eastAsia="Arial" w:hAnsi="Arial"/>
          <w:sz w:val="16"/>
          <w:szCs w:val="16"/>
          <w:i w:val="1"/>
          <w:iCs w:val="1"/>
          <w:color w:val="auto"/>
        </w:rPr>
        <w:t>provide details below</w:t>
      </w:r>
      <w:r>
        <w:rPr>
          <w:rFonts w:ascii="Arial" w:cs="Arial" w:eastAsia="Arial" w:hAnsi="Arial"/>
          <w:sz w:val="16"/>
          <w:szCs w:val="16"/>
          <w:color w:val="auto"/>
        </w:rPr>
        <w:t>]</w:t>
      </w:r>
    </w:p>
    <w:p>
      <w:pPr>
        <w:spacing w:after="0" w:line="153" w:lineRule="exact"/>
        <w:rPr>
          <w:rFonts w:ascii="MS PGothic" w:cs="MS PGothic" w:eastAsia="MS PGothic" w:hAnsi="MS PGothic"/>
          <w:sz w:val="16"/>
          <w:szCs w:val="16"/>
          <w:color w:val="auto"/>
        </w:rPr>
      </w:pPr>
    </w:p>
    <w:p>
      <w:pPr>
        <w:ind w:left="323" w:hanging="323"/>
        <w:spacing w:after="0"/>
        <w:tabs>
          <w:tab w:leader="none" w:pos="323"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To pay for services rendered [</w:t>
      </w:r>
      <w:r>
        <w:rPr>
          <w:rFonts w:ascii="Arial" w:cs="Arial" w:eastAsia="Arial" w:hAnsi="Arial"/>
          <w:sz w:val="18"/>
          <w:szCs w:val="18"/>
          <w:i w:val="1"/>
          <w:iCs w:val="1"/>
          <w:color w:val="auto"/>
        </w:rPr>
        <w:t>provide details below</w:t>
      </w:r>
      <w:r>
        <w:rPr>
          <w:rFonts w:ascii="Arial" w:cs="Arial" w:eastAsia="Arial" w:hAnsi="Arial"/>
          <w:sz w:val="18"/>
          <w:szCs w:val="18"/>
          <w:color w:val="auto"/>
        </w:rPr>
        <w:t>]</w:t>
      </w:r>
    </w:p>
    <w:p>
      <w:pPr>
        <w:spacing w:after="0" w:line="130" w:lineRule="exact"/>
        <w:rPr>
          <w:rFonts w:ascii="MS PGothic" w:cs="MS PGothic" w:eastAsia="MS PGothic" w:hAnsi="MS PGothic"/>
          <w:sz w:val="18"/>
          <w:szCs w:val="18"/>
          <w:color w:val="auto"/>
        </w:rPr>
      </w:pPr>
    </w:p>
    <w:p>
      <w:pPr>
        <w:ind w:left="323" w:hanging="323"/>
        <w:spacing w:after="0"/>
        <w:tabs>
          <w:tab w:leader="none" w:pos="323"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Other [p</w:t>
      </w:r>
      <w:r>
        <w:rPr>
          <w:rFonts w:ascii="Arial" w:cs="Arial" w:eastAsia="Arial" w:hAnsi="Arial"/>
          <w:sz w:val="18"/>
          <w:szCs w:val="18"/>
          <w:i w:val="1"/>
          <w:iCs w:val="1"/>
          <w:color w:val="auto"/>
        </w:rPr>
        <w:t>rovide details below</w:t>
      </w: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5660" w:space="397"/>
            <w:col w:w="4963"/>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i w:val="1"/>
                <w:iCs w:val="1"/>
                <w:color w:val="auto"/>
              </w:rPr>
              <w:t>Additional details:</w:t>
            </w:r>
          </w:p>
        </w:tc>
      </w:tr>
      <w:tr>
        <w:trPr>
          <w:trHeight w:val="338"/>
        </w:trPr>
        <w:tc>
          <w:tcPr>
            <w:tcW w:w="7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N/A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2.2h.2</w:t>
            </w:r>
          </w:p>
        </w:tc>
        <w:tc>
          <w:tcPr>
            <w:tcW w:w="5220" w:type="dxa"/>
            <w:vAlign w:val="bottom"/>
          </w:tcPr>
          <w:p>
            <w:pPr>
              <w:ind w:left="280"/>
              <w:spacing w:after="0"/>
              <w:rPr>
                <w:sz w:val="20"/>
                <w:szCs w:val="20"/>
                <w:color w:val="auto"/>
              </w:rPr>
            </w:pPr>
            <w:r>
              <w:rPr>
                <w:rFonts w:ascii="Arial" w:cs="Arial" w:eastAsia="Arial" w:hAnsi="Arial"/>
                <w:sz w:val="18"/>
                <w:szCs w:val="18"/>
                <w:color w:val="auto"/>
                <w:w w:val="94"/>
              </w:rPr>
              <w:t>*Please provide any further information needed to understand the</w:t>
            </w:r>
          </w:p>
        </w:tc>
        <w:tc>
          <w:tcPr>
            <w:tcW w:w="5080" w:type="dxa"/>
            <w:vAlign w:val="bottom"/>
          </w:tcPr>
          <w:p>
            <w:pPr>
              <w:ind w:left="120"/>
              <w:spacing w:after="0"/>
              <w:rPr>
                <w:sz w:val="20"/>
                <w:szCs w:val="20"/>
                <w:color w:val="auto"/>
              </w:rPr>
            </w:pPr>
            <w:r>
              <w:rPr>
                <w:rFonts w:ascii="Arial" w:cs="Arial" w:eastAsia="Arial" w:hAnsi="Arial"/>
                <w:sz w:val="18"/>
                <w:szCs w:val="18"/>
                <w:color w:val="auto"/>
              </w:rPr>
              <w:t>N/A</w:t>
            </w:r>
          </w:p>
        </w:tc>
      </w:tr>
      <w:tr>
        <w:trPr>
          <w:trHeight w:val="216"/>
        </w:trPr>
        <w:tc>
          <w:tcPr>
            <w:tcW w:w="72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w w:val="93"/>
              </w:rPr>
              <w:t>circumstances in which you are applying to have these +securities</w:t>
            </w:r>
          </w:p>
        </w:tc>
        <w:tc>
          <w:tcPr>
            <w:tcW w:w="508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quoted on ASX, including (if applicable) why the issue of the</w:t>
            </w:r>
          </w:p>
        </w:tc>
        <w:tc>
          <w:tcPr>
            <w:tcW w:w="508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w w:val="92"/>
              </w:rPr>
              <w:t>+securities has not been previously announced to the market in an</w:t>
            </w:r>
          </w:p>
        </w:tc>
        <w:tc>
          <w:tcPr>
            <w:tcW w:w="508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Appendix 3B</w:t>
            </w:r>
          </w:p>
        </w:tc>
        <w:tc>
          <w:tcPr>
            <w:tcW w:w="508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5220" w:type="dxa"/>
            <w:vAlign w:val="bottom"/>
          </w:tcPr>
          <w:p>
            <w:pPr>
              <w:ind w:left="280"/>
              <w:spacing w:after="0"/>
              <w:rPr>
                <w:sz w:val="20"/>
                <w:szCs w:val="20"/>
                <w:color w:val="auto"/>
              </w:rPr>
            </w:pPr>
            <w:r>
              <w:rPr>
                <w:rFonts w:ascii="Arial" w:cs="Arial" w:eastAsia="Arial" w:hAnsi="Arial"/>
                <w:sz w:val="18"/>
                <w:szCs w:val="18"/>
                <w:i w:val="1"/>
                <w:iCs w:val="1"/>
                <w:color w:val="auto"/>
                <w:w w:val="93"/>
              </w:rPr>
              <w:t>You must answer this question if your response to Q2.1 is “Other”.</w:t>
            </w:r>
          </w:p>
        </w:tc>
        <w:tc>
          <w:tcPr>
            <w:tcW w:w="508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i w:val="1"/>
                <w:iCs w:val="1"/>
                <w:color w:val="auto"/>
              </w:rPr>
              <w:t>If there is no other information to provide, please answer “Not</w:t>
            </w:r>
          </w:p>
        </w:tc>
        <w:tc>
          <w:tcPr>
            <w:tcW w:w="508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20" w:type="dxa"/>
            <w:vAlign w:val="bottom"/>
          </w:tcPr>
          <w:p>
            <w:pPr>
              <w:ind w:left="280"/>
              <w:spacing w:after="0"/>
              <w:rPr>
                <w:sz w:val="20"/>
                <w:szCs w:val="20"/>
                <w:color w:val="auto"/>
              </w:rPr>
            </w:pPr>
            <w:r>
              <w:rPr>
                <w:rFonts w:ascii="Arial" w:cs="Arial" w:eastAsia="Arial" w:hAnsi="Arial"/>
                <w:sz w:val="18"/>
                <w:szCs w:val="18"/>
                <w:i w:val="1"/>
                <w:iCs w:val="1"/>
                <w:color w:val="auto"/>
              </w:rPr>
              <w:t>applicable” or “N/A”.</w:t>
            </w:r>
          </w:p>
        </w:tc>
        <w:tc>
          <w:tcPr>
            <w:tcW w:w="5080" w:type="dxa"/>
            <w:vAlign w:val="bottom"/>
          </w:tcPr>
          <w:p>
            <w:pPr>
              <w:spacing w:after="0"/>
              <w:rPr>
                <w:sz w:val="20"/>
                <w:szCs w:val="20"/>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2.2i</w:t>
            </w:r>
          </w:p>
        </w:tc>
        <w:tc>
          <w:tcPr>
            <w:tcW w:w="5220" w:type="dxa"/>
            <w:vAlign w:val="bottom"/>
          </w:tcPr>
          <w:p>
            <w:pPr>
              <w:ind w:left="280"/>
              <w:spacing w:after="0"/>
              <w:rPr>
                <w:sz w:val="20"/>
                <w:szCs w:val="20"/>
                <w:color w:val="auto"/>
              </w:rPr>
            </w:pPr>
            <w:r>
              <w:rPr>
                <w:rFonts w:ascii="Arial" w:cs="Arial" w:eastAsia="Arial" w:hAnsi="Arial"/>
                <w:sz w:val="18"/>
                <w:szCs w:val="18"/>
                <w:color w:val="auto"/>
                <w:w w:val="92"/>
              </w:rPr>
              <w:t>*Are these +securities being offered under a +disclosure document</w:t>
            </w:r>
          </w:p>
        </w:tc>
        <w:tc>
          <w:tcPr>
            <w:tcW w:w="508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230"/>
        </w:trPr>
        <w:tc>
          <w:tcPr>
            <w:tcW w:w="720" w:type="dxa"/>
            <w:vAlign w:val="bottom"/>
          </w:tcPr>
          <w:p>
            <w:pPr>
              <w:spacing w:after="0"/>
              <w:rPr>
                <w:sz w:val="20"/>
                <w:szCs w:val="20"/>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or +PDS?</w:t>
            </w:r>
          </w:p>
        </w:tc>
        <w:tc>
          <w:tcPr>
            <w:tcW w:w="508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5220" w:type="dxa"/>
            <w:vAlign w:val="bottom"/>
          </w:tcPr>
          <w:p>
            <w:pPr>
              <w:ind w:left="280"/>
              <w:spacing w:after="0"/>
              <w:rPr>
                <w:sz w:val="20"/>
                <w:szCs w:val="20"/>
                <w:color w:val="auto"/>
              </w:rPr>
            </w:pPr>
            <w:r>
              <w:rPr>
                <w:rFonts w:ascii="Arial" w:cs="Arial" w:eastAsia="Arial" w:hAnsi="Arial"/>
                <w:sz w:val="18"/>
                <w:szCs w:val="18"/>
                <w:i w:val="1"/>
                <w:iCs w:val="1"/>
                <w:color w:val="auto"/>
                <w:w w:val="95"/>
              </w:rPr>
              <w:t>Answer this question if your response to Q2.1 is any option other</w:t>
            </w:r>
          </w:p>
        </w:tc>
        <w:tc>
          <w:tcPr>
            <w:tcW w:w="508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5220" w:type="dxa"/>
            <w:vAlign w:val="bottom"/>
          </w:tcPr>
          <w:p>
            <w:pPr>
              <w:ind w:left="280"/>
              <w:spacing w:after="0"/>
              <w:rPr>
                <w:sz w:val="20"/>
                <w:szCs w:val="20"/>
                <w:color w:val="auto"/>
              </w:rPr>
            </w:pPr>
            <w:r>
              <w:rPr>
                <w:rFonts w:ascii="Arial" w:cs="Arial" w:eastAsia="Arial" w:hAnsi="Arial"/>
                <w:sz w:val="18"/>
                <w:szCs w:val="18"/>
                <w:i w:val="1"/>
                <w:iCs w:val="1"/>
                <w:color w:val="auto"/>
              </w:rPr>
              <w:t>than “Being issued as part of a transaction or transactions</w:t>
            </w:r>
          </w:p>
        </w:tc>
        <w:tc>
          <w:tcPr>
            <w:tcW w:w="508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5220" w:type="dxa"/>
            <w:vAlign w:val="bottom"/>
          </w:tcPr>
          <w:p>
            <w:pPr>
              <w:ind w:left="280"/>
              <w:spacing w:after="0"/>
              <w:rPr>
                <w:sz w:val="20"/>
                <w:szCs w:val="20"/>
                <w:color w:val="auto"/>
              </w:rPr>
            </w:pPr>
            <w:r>
              <w:rPr>
                <w:rFonts w:ascii="Arial" w:cs="Arial" w:eastAsia="Arial" w:hAnsi="Arial"/>
                <w:sz w:val="18"/>
                <w:szCs w:val="18"/>
                <w:i w:val="1"/>
                <w:iCs w:val="1"/>
                <w:color w:val="auto"/>
              </w:rPr>
              <w:t>previously announced to the market in an Appendix 3B”.</w:t>
            </w:r>
          </w:p>
        </w:tc>
        <w:tc>
          <w:tcPr>
            <w:tcW w:w="5080" w:type="dxa"/>
            <w:vAlign w:val="bottom"/>
          </w:tcPr>
          <w:p>
            <w:pPr>
              <w:spacing w:after="0"/>
              <w:rPr>
                <w:sz w:val="20"/>
                <w:szCs w:val="20"/>
                <w:color w:val="auto"/>
              </w:rPr>
            </w:pPr>
          </w:p>
        </w:tc>
      </w:tr>
      <w:tr>
        <w:trPr>
          <w:trHeight w:val="149"/>
        </w:trPr>
        <w:tc>
          <w:tcPr>
            <w:tcW w:w="5940" w:type="dxa"/>
            <w:vAlign w:val="bottom"/>
            <w:tcBorders>
              <w:bottom w:val="single" w:sz="8" w:color="auto"/>
            </w:tcBorders>
            <w:gridSpan w:val="2"/>
          </w:tcPr>
          <w:p>
            <w:pPr>
              <w:spacing w:after="0"/>
              <w:rPr>
                <w:sz w:val="12"/>
                <w:szCs w:val="12"/>
                <w:color w:val="auto"/>
              </w:rPr>
            </w:pPr>
          </w:p>
        </w:tc>
        <w:tc>
          <w:tcPr>
            <w:tcW w:w="5080" w:type="dxa"/>
            <w:vAlign w:val="bottom"/>
            <w:tcBorders>
              <w:bottom w:val="single" w:sz="8" w:color="auto"/>
            </w:tcBorders>
          </w:tcPr>
          <w:p>
            <w:pPr>
              <w:spacing w:after="0"/>
              <w:rPr>
                <w:sz w:val="12"/>
                <w:szCs w:val="12"/>
                <w:color w:val="auto"/>
              </w:rPr>
            </w:pPr>
          </w:p>
        </w:tc>
      </w:tr>
      <w:tr>
        <w:trPr>
          <w:trHeight w:val="195"/>
        </w:trPr>
        <w:tc>
          <w:tcPr>
            <w:tcW w:w="594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5080" w:type="dxa"/>
            <w:vAlign w:val="bottom"/>
          </w:tcPr>
          <w:p>
            <w:pPr>
              <w:spacing w:after="0"/>
              <w:rPr>
                <w:sz w:val="16"/>
                <w:szCs w:val="16"/>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i w:val="1"/>
                <w:iCs w:val="1"/>
                <w:color w:val="auto"/>
              </w:rPr>
              <w:t>31 January 2020</w:t>
            </w:r>
          </w:p>
        </w:tc>
        <w:tc>
          <w:tcPr>
            <w:tcW w:w="5080" w:type="dxa"/>
            <w:vAlign w:val="bottom"/>
          </w:tcPr>
          <w:p>
            <w:pPr>
              <w:ind w:left="4580"/>
              <w:spacing w:after="0"/>
              <w:rPr>
                <w:sz w:val="20"/>
                <w:szCs w:val="20"/>
                <w:color w:val="auto"/>
              </w:rPr>
            </w:pPr>
            <w:r>
              <w:rPr>
                <w:rFonts w:ascii="Arial" w:cs="Arial" w:eastAsia="Arial" w:hAnsi="Arial"/>
                <w:sz w:val="18"/>
                <w:szCs w:val="18"/>
                <w:color w:val="auto"/>
                <w:w w:val="84"/>
              </w:rPr>
              <w:t>Page 5</w:t>
            </w:r>
          </w:p>
        </w:tc>
      </w:tr>
    </w:tbl>
    <w:p>
      <w:pPr>
        <w:sectPr>
          <w:pgSz w:w="11900" w:h="16838" w:orient="portrait"/>
          <w:cols w:equalWidth="0" w:num="1">
            <w:col w:w="11020"/>
          </w:cols>
          <w:pgMar w:left="440" w:top="270" w:right="439" w:bottom="1440" w:gutter="0" w:footer="0" w:header="0"/>
          <w:type w:val="continuous"/>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16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bl>
    <w:p>
      <w:pPr>
        <w:spacing w:after="0" w:line="175" w:lineRule="exact"/>
        <w:rPr>
          <w:sz w:val="20"/>
          <w:szCs w:val="20"/>
          <w:color w:val="auto"/>
        </w:rPr>
      </w:pPr>
    </w:p>
    <w:p>
      <w:pPr>
        <w:sectPr>
          <w:pgSz w:w="11900" w:h="16838" w:orient="portrait"/>
          <w:cols w:equalWidth="0" w:num="1">
            <w:col w:w="11020"/>
          </w:cols>
          <w:pgMar w:left="440" w:top="270" w:right="439" w:bottom="1440" w:gutter="0" w:footer="0" w:header="0"/>
        </w:sectPr>
      </w:pPr>
    </w:p>
    <w:p>
      <w:pPr>
        <w:spacing w:after="0"/>
        <w:tabs>
          <w:tab w:leader="none" w:pos="980" w:val="left"/>
        </w:tabs>
        <w:rPr>
          <w:sz w:val="20"/>
          <w:szCs w:val="20"/>
          <w:color w:val="auto"/>
        </w:rPr>
      </w:pPr>
      <w:r>
        <w:rPr>
          <w:rFonts w:ascii="Arial" w:cs="Arial" w:eastAsia="Arial" w:hAnsi="Arial"/>
          <w:sz w:val="18"/>
          <w:szCs w:val="18"/>
          <w:color w:val="auto"/>
        </w:rPr>
        <w:t>2.2i.1</w:t>
      </w:r>
      <w:r>
        <w:rPr>
          <w:sz w:val="20"/>
          <w:szCs w:val="20"/>
          <w:color w:val="auto"/>
        </w:rPr>
        <w:tab/>
      </w:r>
      <w:r>
        <w:rPr>
          <w:rFonts w:ascii="Arial" w:cs="Arial" w:eastAsia="Arial" w:hAnsi="Arial"/>
          <w:sz w:val="16"/>
          <w:szCs w:val="16"/>
          <w:color w:val="auto"/>
        </w:rPr>
        <w:t>*Date of +disclosure document or +PDS?</w:t>
      </w:r>
    </w:p>
    <w:p>
      <w:pPr>
        <w:spacing w:after="0" w:line="117" w:lineRule="exact"/>
        <w:rPr>
          <w:sz w:val="20"/>
          <w:szCs w:val="20"/>
          <w:color w:val="auto"/>
        </w:rPr>
      </w:pPr>
    </w:p>
    <w:p>
      <w:pPr>
        <w:ind w:left="1000" w:right="200"/>
        <w:spacing w:after="0" w:line="259" w:lineRule="auto"/>
        <w:rPr>
          <w:sz w:val="20"/>
          <w:szCs w:val="20"/>
          <w:color w:val="auto"/>
        </w:rPr>
      </w:pPr>
      <w:r>
        <w:rPr>
          <w:rFonts w:ascii="Arial" w:cs="Arial" w:eastAsia="Arial" w:hAnsi="Arial"/>
          <w:sz w:val="18"/>
          <w:szCs w:val="18"/>
          <w:i w:val="1"/>
          <w:iCs w:val="1"/>
          <w:color w:val="auto"/>
        </w:rPr>
        <w:t>Answer this question if your response to Q2.1 is any option other than “Being issued as part of a transaction or transactions previously announced to the market in an Appendix 3B” and your response to Q2.2i is “Yes”.</w:t>
      </w:r>
    </w:p>
    <w:p>
      <w:pPr>
        <w:spacing w:after="0" w:line="92" w:lineRule="exact"/>
        <w:rPr>
          <w:sz w:val="20"/>
          <w:szCs w:val="20"/>
          <w:color w:val="auto"/>
        </w:rPr>
      </w:pPr>
    </w:p>
    <w:p>
      <w:pPr>
        <w:ind w:left="1000"/>
        <w:spacing w:after="0" w:line="263" w:lineRule="auto"/>
        <w:rPr>
          <w:sz w:val="20"/>
          <w:szCs w:val="20"/>
          <w:color w:val="auto"/>
        </w:rPr>
      </w:pPr>
      <w:r>
        <w:rPr>
          <w:rFonts w:ascii="Arial" w:cs="Arial" w:eastAsia="Arial" w:hAnsi="Arial"/>
          <w:sz w:val="18"/>
          <w:szCs w:val="18"/>
          <w:i w:val="1"/>
          <w:iCs w:val="1"/>
          <w:color w:val="auto"/>
        </w:rPr>
        <w:t>Under the Corporations Act, the entity must apply for quotation of the securities within 7 days of the date of the disclosure document or PDS.</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+securities to be quoted are:</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Tick whichever is applicable</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3" w:right="120" w:hanging="363"/>
        <w:spacing w:after="0" w:line="277" w:lineRule="auto"/>
        <w:tabs>
          <w:tab w:leader="none" w:pos="317"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Additional +securities in a class that is already quoted on ASX (“existing class”)</w:t>
      </w:r>
    </w:p>
    <w:p>
      <w:pPr>
        <w:spacing w:after="0" w:line="76" w:lineRule="exact"/>
        <w:rPr>
          <w:sz w:val="20"/>
          <w:szCs w:val="20"/>
          <w:color w:val="auto"/>
        </w:rPr>
      </w:pPr>
    </w:p>
    <w:p>
      <w:pPr>
        <w:ind w:left="363" w:right="100" w:hanging="363"/>
        <w:spacing w:after="0" w:line="277" w:lineRule="auto"/>
        <w:tabs>
          <w:tab w:leader="none" w:pos="327"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New +securities in a class that is not yet quoted on ASX (“new class”)</w:t>
      </w:r>
    </w:p>
    <w:p>
      <w:pPr>
        <w:spacing w:after="0" w:line="200" w:lineRule="exact"/>
        <w:rPr>
          <w:sz w:val="20"/>
          <w:szCs w:val="20"/>
          <w:color w:val="auto"/>
        </w:rPr>
      </w:pPr>
    </w:p>
    <w:p>
      <w:pPr>
        <w:sectPr>
          <w:pgSz w:w="11900" w:h="16838" w:orient="portrait"/>
          <w:cols w:equalWidth="0" w:num="2">
            <w:col w:w="5940" w:space="117"/>
            <w:col w:w="4963"/>
          </w:cols>
          <w:pgMar w:left="440" w:top="270" w:right="439" w:bottom="1440" w:gutter="0" w:footer="0" w:header="0"/>
          <w:type w:val="continuous"/>
        </w:sectPr>
      </w:pPr>
    </w:p>
    <w:p>
      <w:pPr>
        <w:spacing w:after="0" w:line="11" w:lineRule="exact"/>
        <w:rPr>
          <w:sz w:val="20"/>
          <w:szCs w:val="20"/>
          <w:color w:val="auto"/>
        </w:rPr>
      </w:pPr>
    </w:p>
    <w:p>
      <w:pPr>
        <w:ind w:left="1080" w:right="740" w:hanging="1092"/>
        <w:spacing w:after="0" w:line="277" w:lineRule="auto"/>
        <w:tabs>
          <w:tab w:leader="none" w:pos="1060" w:val="left"/>
        </w:tabs>
        <w:rPr>
          <w:sz w:val="20"/>
          <w:szCs w:val="20"/>
          <w:color w:val="auto"/>
        </w:rPr>
      </w:pPr>
      <w:r>
        <w:rPr>
          <w:rFonts w:ascii="Arial" w:cs="Arial" w:eastAsia="Arial" w:hAnsi="Arial"/>
          <w:sz w:val="18"/>
          <w:szCs w:val="18"/>
          <w:color w:val="auto"/>
        </w:rPr>
        <w:t>Part 3A –</w:t>
      </w:r>
      <w:r>
        <w:rPr>
          <w:sz w:val="20"/>
          <w:szCs w:val="20"/>
          <w:color w:val="auto"/>
        </w:rPr>
        <w:tab/>
      </w:r>
      <w:r>
        <w:rPr>
          <w:rFonts w:ascii="Arial" w:cs="Arial" w:eastAsia="Arial" w:hAnsi="Arial"/>
          <w:sz w:val="18"/>
          <w:szCs w:val="18"/>
          <w:color w:val="auto"/>
        </w:rPr>
        <w:t>number and type of +securities to be quoted (existing class or new class) where issue has previously been notified to ASX in an Appendix 3B</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Answer the questions in this Part if your response to Q2.1 is “Being issued as part of a transaction or transactions previously announced to the market in an Appendix 3B” and your response to Q2.3 is “existing class” or “new class”.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Question No.</w:t>
            </w:r>
          </w:p>
        </w:tc>
        <w:tc>
          <w:tcPr>
            <w:tcW w:w="200" w:type="dxa"/>
            <w:vAlign w:val="bottom"/>
          </w:tcPr>
          <w:p>
            <w:pPr>
              <w:spacing w:after="0"/>
              <w:rPr>
                <w:sz w:val="16"/>
                <w:szCs w:val="16"/>
                <w:color w:val="auto"/>
              </w:rPr>
            </w:pPr>
          </w:p>
        </w:tc>
        <w:tc>
          <w:tcPr>
            <w:tcW w:w="5060" w:type="dxa"/>
            <w:vAlign w:val="bottom"/>
            <w:gridSpan w:val="2"/>
          </w:tcPr>
          <w:p>
            <w:pPr>
              <w:ind w:left="2200"/>
              <w:spacing w:after="0"/>
              <w:rPr>
                <w:sz w:val="20"/>
                <w:szCs w:val="20"/>
                <w:color w:val="auto"/>
              </w:rPr>
            </w:pPr>
            <w:r>
              <w:rPr>
                <w:rFonts w:ascii="Arial" w:cs="Arial" w:eastAsia="Arial" w:hAnsi="Arial"/>
                <w:sz w:val="14"/>
                <w:szCs w:val="14"/>
                <w:b w:val="1"/>
                <w:bCs w:val="1"/>
                <w:color w:val="auto"/>
              </w:rPr>
              <w:t>Question</w:t>
            </w:r>
          </w:p>
        </w:tc>
        <w:tc>
          <w:tcPr>
            <w:tcW w:w="4960" w:type="dxa"/>
            <w:vAlign w:val="bottom"/>
          </w:tcPr>
          <w:p>
            <w:pPr>
              <w:ind w:left="2240"/>
              <w:spacing w:after="0"/>
              <w:rPr>
                <w:sz w:val="20"/>
                <w:szCs w:val="20"/>
                <w:color w:val="auto"/>
              </w:rPr>
            </w:pPr>
            <w:r>
              <w:rPr>
                <w:rFonts w:ascii="Arial" w:cs="Arial" w:eastAsia="Arial" w:hAnsi="Arial"/>
                <w:sz w:val="14"/>
                <w:szCs w:val="14"/>
                <w:b w:val="1"/>
                <w:bCs w:val="1"/>
                <w:color w:val="auto"/>
              </w:rPr>
              <w:t>Answer</w:t>
            </w:r>
          </w:p>
        </w:tc>
      </w:t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3A.1</w:t>
            </w:r>
          </w:p>
        </w:tc>
        <w:tc>
          <w:tcPr>
            <w:tcW w:w="20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*ASX security code &amp; description</w:t>
            </w:r>
          </w:p>
        </w:tc>
        <w:tc>
          <w:tcPr>
            <w:tcW w:w="120" w:type="dxa"/>
            <w:vAlign w:val="bottom"/>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3A.2</w:t>
            </w:r>
          </w:p>
        </w:tc>
        <w:tc>
          <w:tcPr>
            <w:tcW w:w="2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*Number of +securities to be quoted</w:t>
            </w:r>
          </w:p>
        </w:tc>
        <w:tc>
          <w:tcPr>
            <w:tcW w:w="49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Part 3B – number and type of +securities to be quoted (existing class) where issue has not previously been notified to ASX in an Appendix 3B</w:t>
      </w:r>
    </w:p>
    <w:p>
      <w:pPr>
        <w:spacing w:after="0" w:line="2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Answer the questions in this Part if your response to Q2.1 is anything other than “Being issued as part of a transaction or transactions previously announced to the market in an Appendix 3B” and your response to Q2.3 is “existing class”.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Question No.</w:t>
            </w:r>
          </w:p>
        </w:tc>
        <w:tc>
          <w:tcPr>
            <w:tcW w:w="200" w:type="dxa"/>
            <w:vAlign w:val="bottom"/>
          </w:tcPr>
          <w:p>
            <w:pPr>
              <w:spacing w:after="0"/>
              <w:rPr>
                <w:sz w:val="16"/>
                <w:szCs w:val="16"/>
                <w:color w:val="auto"/>
              </w:rPr>
            </w:pPr>
          </w:p>
        </w:tc>
        <w:tc>
          <w:tcPr>
            <w:tcW w:w="4940" w:type="dxa"/>
            <w:vAlign w:val="bottom"/>
          </w:tcPr>
          <w:p>
            <w:pPr>
              <w:ind w:left="2200"/>
              <w:spacing w:after="0"/>
              <w:rPr>
                <w:sz w:val="20"/>
                <w:szCs w:val="20"/>
                <w:color w:val="auto"/>
              </w:rPr>
            </w:pPr>
            <w:r>
              <w:rPr>
                <w:rFonts w:ascii="Arial" w:cs="Arial" w:eastAsia="Arial" w:hAnsi="Arial"/>
                <w:sz w:val="14"/>
                <w:szCs w:val="14"/>
                <w:b w:val="1"/>
                <w:bCs w:val="1"/>
                <w:color w:val="auto"/>
              </w:rPr>
              <w:t>Question</w:t>
            </w:r>
          </w:p>
        </w:tc>
        <w:tc>
          <w:tcPr>
            <w:tcW w:w="120" w:type="dxa"/>
            <w:vAlign w:val="bottom"/>
          </w:tcPr>
          <w:p>
            <w:pPr>
              <w:spacing w:after="0"/>
              <w:rPr>
                <w:sz w:val="16"/>
                <w:szCs w:val="16"/>
                <w:color w:val="auto"/>
              </w:rPr>
            </w:pPr>
          </w:p>
        </w:tc>
        <w:tc>
          <w:tcPr>
            <w:tcW w:w="4980" w:type="dxa"/>
            <w:vAlign w:val="bottom"/>
            <w:gridSpan w:val="2"/>
          </w:tcPr>
          <w:p>
            <w:pPr>
              <w:ind w:left="2240"/>
              <w:spacing w:after="0"/>
              <w:rPr>
                <w:sz w:val="20"/>
                <w:szCs w:val="20"/>
                <w:color w:val="auto"/>
              </w:rPr>
            </w:pPr>
            <w:r>
              <w:rPr>
                <w:rFonts w:ascii="Arial" w:cs="Arial" w:eastAsia="Arial" w:hAnsi="Arial"/>
                <w:sz w:val="14"/>
                <w:szCs w:val="14"/>
                <w:b w:val="1"/>
                <w:bCs w:val="1"/>
                <w:color w:val="auto"/>
              </w:rPr>
              <w:t>Answer</w:t>
            </w:r>
          </w:p>
        </w:tc>
      </w:tr>
      <w:tr>
        <w:trPr>
          <w:trHeight w:val="185"/>
        </w:trPr>
        <w:tc>
          <w:tcPr>
            <w:tcW w:w="800" w:type="dxa"/>
            <w:vAlign w:val="bottom"/>
          </w:tcPr>
          <w:p>
            <w:pPr>
              <w:spacing w:after="0" w:line="185" w:lineRule="exact"/>
              <w:rPr>
                <w:sz w:val="20"/>
                <w:szCs w:val="20"/>
                <w:color w:val="auto"/>
              </w:rPr>
            </w:pPr>
            <w:r>
              <w:rPr>
                <w:rFonts w:ascii="Arial" w:cs="Arial" w:eastAsia="Arial" w:hAnsi="Arial"/>
                <w:sz w:val="18"/>
                <w:szCs w:val="18"/>
                <w:color w:val="auto"/>
              </w:rPr>
              <w:t>3B.1</w:t>
            </w:r>
          </w:p>
        </w:tc>
        <w:tc>
          <w:tcPr>
            <w:tcW w:w="200" w:type="dxa"/>
            <w:vAlign w:val="bottom"/>
          </w:tcPr>
          <w:p>
            <w:pPr>
              <w:spacing w:after="0"/>
              <w:rPr>
                <w:sz w:val="16"/>
                <w:szCs w:val="16"/>
                <w:color w:val="auto"/>
              </w:rPr>
            </w:pPr>
          </w:p>
        </w:tc>
        <w:tc>
          <w:tcPr>
            <w:tcW w:w="4940" w:type="dxa"/>
            <w:vAlign w:val="bottom"/>
            <w:tcBorders>
              <w:top w:val="single" w:sz="8" w:color="auto"/>
            </w:tcBorders>
          </w:tcPr>
          <w:p>
            <w:pPr>
              <w:spacing w:after="0" w:line="185" w:lineRule="exact"/>
              <w:rPr>
                <w:sz w:val="20"/>
                <w:szCs w:val="20"/>
                <w:color w:val="auto"/>
              </w:rPr>
            </w:pPr>
            <w:r>
              <w:rPr>
                <w:rFonts w:ascii="Arial" w:cs="Arial" w:eastAsia="Arial" w:hAnsi="Arial"/>
                <w:sz w:val="18"/>
                <w:szCs w:val="18"/>
                <w:color w:val="auto"/>
              </w:rPr>
              <w:t>*ASX security code &amp; description</w:t>
            </w:r>
          </w:p>
        </w:tc>
        <w:tc>
          <w:tcPr>
            <w:tcW w:w="120" w:type="dxa"/>
            <w:vAlign w:val="bottom"/>
          </w:tcPr>
          <w:p>
            <w:pPr>
              <w:spacing w:after="0"/>
              <w:rPr>
                <w:sz w:val="16"/>
                <w:szCs w:val="16"/>
                <w:color w:val="auto"/>
              </w:rPr>
            </w:pPr>
          </w:p>
        </w:tc>
        <w:tc>
          <w:tcPr>
            <w:tcW w:w="4960" w:type="dxa"/>
            <w:vAlign w:val="bottom"/>
            <w:tcBorders>
              <w:top w:val="single" w:sz="8" w:color="auto"/>
            </w:tcBorders>
          </w:tcPr>
          <w:p>
            <w:pPr>
              <w:spacing w:after="0" w:line="185" w:lineRule="exact"/>
              <w:rPr>
                <w:sz w:val="20"/>
                <w:szCs w:val="20"/>
                <w:color w:val="auto"/>
              </w:rPr>
            </w:pPr>
            <w:r>
              <w:rPr>
                <w:rFonts w:ascii="Arial" w:cs="Arial" w:eastAsia="Arial" w:hAnsi="Arial"/>
                <w:sz w:val="18"/>
                <w:szCs w:val="18"/>
                <w:color w:val="auto"/>
              </w:rPr>
              <w:t>ASX:OPT fully paid ordinary shares</w:t>
            </w:r>
          </w:p>
        </w:tc>
        <w:tc>
          <w:tcPr>
            <w:tcW w:w="20" w:type="dxa"/>
            <w:vAlign w:val="bottom"/>
          </w:tcPr>
          <w:p>
            <w:pPr>
              <w:spacing w:after="0"/>
              <w:rPr>
                <w:sz w:val="16"/>
                <w:szCs w:val="16"/>
                <w:color w:val="auto"/>
              </w:rPr>
            </w:pPr>
          </w:p>
        </w:tc>
      </w:tr>
      <w:tr>
        <w:trPr>
          <w:trHeight w:val="234"/>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3B.2</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*Number of +securities to be quoted</w:t>
            </w: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4,990,431 Shares</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3B.3a</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4"/>
              </w:rPr>
              <w:t>*Will the +securities to be quoted rank equally in all respects from</w:t>
            </w: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Yes</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5"/>
              </w:rPr>
              <w:t>their issue date with the existing issued +securities in that class?</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3B.3b</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*Is the actual date from which the +securities will rank equally</w:t>
            </w: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N/A</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(non-ranking end date) known?</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Answer this question if your response to Q3B.3a is “No”.</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3B.3c</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*Provide the actual non-ranking end date</w:t>
            </w: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N/A</w:t>
            </w:r>
          </w:p>
        </w:tc>
      </w:tr>
      <w:tr>
        <w:trPr>
          <w:trHeight w:val="32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4"/>
              </w:rPr>
              <w:t>Answer this question if your response to Q3B.3a is “No” and your</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response to Q3B.3b is “Yes”.</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800" w:type="dxa"/>
            <w:vAlign w:val="bottom"/>
          </w:tcPr>
          <w:p>
            <w:pPr>
              <w:spacing w:after="0"/>
              <w:rPr>
                <w:sz w:val="20"/>
                <w:szCs w:val="20"/>
                <w:color w:val="auto"/>
              </w:rPr>
            </w:pPr>
            <w:r>
              <w:rPr>
                <w:rFonts w:ascii="Arial" w:cs="Arial" w:eastAsia="Arial" w:hAnsi="Arial"/>
                <w:sz w:val="18"/>
                <w:szCs w:val="18"/>
                <w:color w:val="auto"/>
              </w:rPr>
              <w:t>3B.3d</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*Provide the estimated non-ranking end period</w:t>
            </w: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N/A</w:t>
            </w:r>
          </w:p>
        </w:tc>
      </w:tr>
      <w:tr>
        <w:trPr>
          <w:trHeight w:val="32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4"/>
              </w:rPr>
              <w:t>Answer this question if your response to Q3B.3a is “No” and your</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response to Q3B.3b is “No”.</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2"/>
        </w:trPr>
        <w:tc>
          <w:tcPr>
            <w:tcW w:w="5940" w:type="dxa"/>
            <w:vAlign w:val="bottom"/>
            <w:tcBorders>
              <w:bottom w:val="single" w:sz="8" w:color="auto"/>
            </w:tcBorders>
            <w:gridSpan w:val="3"/>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5940" w:type="dxa"/>
            <w:vAlign w:val="bottom"/>
            <w:gridSpan w:val="3"/>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1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940" w:type="dxa"/>
            <w:vAlign w:val="bottom"/>
            <w:gridSpan w:val="3"/>
          </w:tcPr>
          <w:p>
            <w:pPr>
              <w:spacing w:after="0"/>
              <w:rPr>
                <w:sz w:val="20"/>
                <w:szCs w:val="20"/>
                <w:color w:val="auto"/>
              </w:rPr>
            </w:pPr>
            <w:r>
              <w:rPr>
                <w:rFonts w:ascii="Arial" w:cs="Arial" w:eastAsia="Arial" w:hAnsi="Arial"/>
                <w:sz w:val="18"/>
                <w:szCs w:val="18"/>
                <w:i w:val="1"/>
                <w:iCs w:val="1"/>
                <w:color w:val="auto"/>
              </w:rPr>
              <w:t>31 January 2020</w:t>
            </w:r>
          </w:p>
        </w:tc>
        <w:tc>
          <w:tcPr>
            <w:tcW w:w="120" w:type="dxa"/>
            <w:vAlign w:val="bottom"/>
          </w:tcPr>
          <w:p>
            <w:pPr>
              <w:spacing w:after="0"/>
              <w:rPr>
                <w:sz w:val="20"/>
                <w:szCs w:val="20"/>
                <w:color w:val="auto"/>
              </w:rPr>
            </w:pPr>
          </w:p>
        </w:tc>
        <w:tc>
          <w:tcPr>
            <w:tcW w:w="4980" w:type="dxa"/>
            <w:vAlign w:val="bottom"/>
            <w:gridSpan w:val="2"/>
          </w:tcPr>
          <w:p>
            <w:pPr>
              <w:ind w:left="4460"/>
              <w:spacing w:after="0"/>
              <w:rPr>
                <w:sz w:val="20"/>
                <w:szCs w:val="20"/>
                <w:color w:val="auto"/>
              </w:rPr>
            </w:pPr>
            <w:r>
              <w:rPr>
                <w:rFonts w:ascii="Arial" w:cs="Arial" w:eastAsia="Arial" w:hAnsi="Arial"/>
                <w:sz w:val="18"/>
                <w:szCs w:val="18"/>
                <w:color w:val="auto"/>
                <w:w w:val="87"/>
              </w:rPr>
              <w:t>Page 6</w:t>
            </w:r>
          </w:p>
        </w:tc>
      </w:tr>
    </w:tbl>
    <w:p>
      <w:pPr>
        <w:sectPr>
          <w:pgSz w:w="11900" w:h="16838" w:orient="portrait"/>
          <w:cols w:equalWidth="0" w:num="1">
            <w:col w:w="11020"/>
          </w:cols>
          <w:pgMar w:left="440" w:top="270" w:right="439" w:bottom="1440" w:gutter="0" w:footer="0" w:header="0"/>
          <w:type w:val="continuous"/>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384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3B.3e</w:t>
            </w:r>
          </w:p>
        </w:tc>
        <w:tc>
          <w:tcPr>
            <w:tcW w:w="6480" w:type="dxa"/>
            <w:vAlign w:val="bottom"/>
          </w:tcPr>
          <w:p>
            <w:pPr>
              <w:ind w:left="300"/>
              <w:spacing w:after="0"/>
              <w:rPr>
                <w:sz w:val="20"/>
                <w:szCs w:val="20"/>
                <w:color w:val="auto"/>
              </w:rPr>
            </w:pPr>
            <w:r>
              <w:rPr>
                <w:rFonts w:ascii="Arial" w:cs="Arial" w:eastAsia="Arial" w:hAnsi="Arial"/>
                <w:sz w:val="18"/>
                <w:szCs w:val="18"/>
                <w:color w:val="auto"/>
              </w:rPr>
              <w:t>*Please state the extent to which the +securities do not rank equally:  N/A</w:t>
            </w:r>
          </w:p>
        </w:tc>
        <w:tc>
          <w:tcPr>
            <w:tcW w:w="3840" w:type="dxa"/>
            <w:vAlign w:val="bottom"/>
          </w:tcPr>
          <w:p>
            <w:pPr>
              <w:spacing w:after="0"/>
              <w:rPr>
                <w:sz w:val="24"/>
                <w:szCs w:val="24"/>
                <w:color w:val="auto"/>
              </w:rPr>
            </w:pPr>
          </w:p>
        </w:tc>
      </w:tr>
      <w:tr>
        <w:trPr>
          <w:trHeight w:val="310"/>
        </w:trPr>
        <w:tc>
          <w:tcPr>
            <w:tcW w:w="700" w:type="dxa"/>
            <w:vAlign w:val="bottom"/>
          </w:tcPr>
          <w:p>
            <w:pPr>
              <w:spacing w:after="0"/>
              <w:rPr>
                <w:sz w:val="24"/>
                <w:szCs w:val="24"/>
                <w:color w:val="auto"/>
              </w:rPr>
            </w:pPr>
          </w:p>
        </w:tc>
        <w:tc>
          <w:tcPr>
            <w:tcW w:w="6480" w:type="dxa"/>
            <w:vAlign w:val="bottom"/>
          </w:tcPr>
          <w:p>
            <w:pPr>
              <w:ind w:left="300"/>
              <w:spacing w:after="0"/>
              <w:rPr>
                <w:sz w:val="20"/>
                <w:szCs w:val="20"/>
                <w:color w:val="auto"/>
              </w:rPr>
            </w:pPr>
            <w:r>
              <w:rPr>
                <w:rFonts w:ascii="Arial" w:cs="Arial" w:eastAsia="Arial" w:hAnsi="Arial"/>
                <w:sz w:val="18"/>
                <w:szCs w:val="18"/>
                <w:color w:val="auto"/>
              </w:rPr>
              <w:t>•   in relation to the next dividend, distribution or interest</w:t>
            </w:r>
          </w:p>
        </w:tc>
        <w:tc>
          <w:tcPr>
            <w:tcW w:w="384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rPr>
              <w:t>payment; or</w:t>
            </w:r>
          </w:p>
        </w:tc>
        <w:tc>
          <w:tcPr>
            <w:tcW w:w="3840" w:type="dxa"/>
            <w:vAlign w:val="bottom"/>
          </w:tcPr>
          <w:p>
            <w:pPr>
              <w:spacing w:after="0"/>
              <w:rPr>
                <w:sz w:val="20"/>
                <w:szCs w:val="20"/>
                <w:color w:val="auto"/>
              </w:rPr>
            </w:pPr>
          </w:p>
        </w:tc>
      </w:tr>
      <w:tr>
        <w:trPr>
          <w:trHeight w:val="338"/>
        </w:trPr>
        <w:tc>
          <w:tcPr>
            <w:tcW w:w="700" w:type="dxa"/>
            <w:vAlign w:val="bottom"/>
          </w:tcPr>
          <w:p>
            <w:pPr>
              <w:spacing w:after="0"/>
              <w:rPr>
                <w:sz w:val="24"/>
                <w:szCs w:val="24"/>
                <w:color w:val="auto"/>
              </w:rPr>
            </w:pPr>
          </w:p>
        </w:tc>
        <w:tc>
          <w:tcPr>
            <w:tcW w:w="6480" w:type="dxa"/>
            <w:vAlign w:val="bottom"/>
          </w:tcPr>
          <w:p>
            <w:pPr>
              <w:ind w:left="300"/>
              <w:spacing w:after="0"/>
              <w:rPr>
                <w:sz w:val="20"/>
                <w:szCs w:val="20"/>
                <w:color w:val="auto"/>
              </w:rPr>
            </w:pPr>
            <w:r>
              <w:rPr>
                <w:rFonts w:ascii="Arial" w:cs="Arial" w:eastAsia="Arial" w:hAnsi="Arial"/>
                <w:sz w:val="18"/>
                <w:szCs w:val="18"/>
                <w:color w:val="auto"/>
              </w:rPr>
              <w:t>•   for any other reason</w:t>
            </w:r>
          </w:p>
        </w:tc>
        <w:tc>
          <w:tcPr>
            <w:tcW w:w="3840" w:type="dxa"/>
            <w:vAlign w:val="bottom"/>
          </w:tcPr>
          <w:p>
            <w:pPr>
              <w:spacing w:after="0"/>
              <w:rPr>
                <w:sz w:val="24"/>
                <w:szCs w:val="24"/>
                <w:color w:val="auto"/>
              </w:rPr>
            </w:pPr>
          </w:p>
        </w:tc>
      </w:tr>
    </w:tbl>
    <w:p>
      <w:pPr>
        <w:spacing w:after="0" w:line="10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Answer this question if your response to Q3B.3a is “No”.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For example, the securities may not rank at all, or may rank</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proportionately based on the percentage of the period in question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they have been on issue, for the next dividend, distribution or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interest payment; or they may not be entitled to participate in some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 event, such as an entitlement issue.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 3C – number and type of +securities to be quoted (new class) where issue has not previously been notified to ASX in an Appendix 3B</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Answer the questions in this Part if your response to Q2.1 is anything other than “Being issued as part of a transaction or transactions previously announced to the market in an Appendix 3B” and your response to Q2.3 is “new class”.</w:t>
      </w:r>
    </w:p>
    <w:p>
      <w:pPr>
        <w:sectPr>
          <w:pgSz w:w="11900" w:h="16838" w:orient="portrait"/>
          <w:cols w:equalWidth="0" w:num="1">
            <w:col w:w="11020"/>
          </w:cols>
          <w:pgMar w:left="440" w:top="270" w:right="4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Question No.</w:t>
            </w:r>
          </w:p>
        </w:tc>
        <w:tc>
          <w:tcPr>
            <w:tcW w:w="200" w:type="dxa"/>
            <w:vAlign w:val="bottom"/>
          </w:tcPr>
          <w:p>
            <w:pPr>
              <w:spacing w:after="0"/>
              <w:rPr>
                <w:sz w:val="16"/>
                <w:szCs w:val="16"/>
                <w:color w:val="auto"/>
              </w:rPr>
            </w:pPr>
          </w:p>
        </w:tc>
        <w:tc>
          <w:tcPr>
            <w:tcW w:w="494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Question</w:t>
            </w:r>
          </w:p>
        </w:tc>
      </w:t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3C.1</w:t>
            </w: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*Security description</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3C.2</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*Security type</w:t>
            </w:r>
          </w:p>
        </w:tc>
      </w:tr>
      <w:tr>
        <w:trPr>
          <w:trHeight w:val="32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4"/>
              </w:rPr>
              <w:t>Select one item from the list that best describes the securities the</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3"/>
              </w:rPr>
              <w:t>subject of this form. This will determine more detailed questions to</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6"/>
              </w:rPr>
              <w:t>be asked about the security later in this section. Select “ordinary</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4"/>
              </w:rPr>
              <w:t>fully or partly paid shares/units” for stapled securities or CDIs. For</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5"/>
              </w:rPr>
              <w:t>interest rate securities, please select the appropriate choice from</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either “Convertible debt securities” or “Non-convertible debt</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securities”. Select “Other” for performance shares/units and</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5"/>
              </w:rPr>
              <w:t>performance options/rights or if the selections available in the list</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do not appropriately describe the security being issued.</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3C.3</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ISIN code</w:t>
            </w:r>
          </w:p>
        </w:tc>
      </w:tr>
      <w:tr>
        <w:trPr>
          <w:trHeight w:val="310"/>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Answer this question if you are an entity incorporated outside</w:t>
            </w: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1"/>
              </w:rPr>
              <w:t>Australia and you are seeking quotation of a new class of securities</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other than CDIs. See also the note at the top of this form.</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3C.4</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*Number of +securities to be quoted</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3C.5a</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*Will all the +securities issued in this class rank equally in all</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respects from the issue date?</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3C.5b</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*Is the actual date from which the +securities will rank equally</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(non-ranking end date) known?</w:t>
            </w:r>
          </w:p>
        </w:tc>
      </w:tr>
      <w:tr>
        <w:trPr>
          <w:trHeight w:val="324"/>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Answer this question if your response to Q3C.5a is “No”.</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3C.5c</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*Provide the actual non-ranking end date</w:t>
            </w:r>
          </w:p>
        </w:tc>
      </w:tr>
      <w:tr>
        <w:trPr>
          <w:trHeight w:val="310"/>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4"/>
              </w:rPr>
              <w:t>Answer this question if your response to Q3C.5a is “No” and your</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response to Q3C.5b is “Yes”.</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3C.5d</w:t>
            </w: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*Provide the estimated non-ranking end period</w:t>
            </w:r>
          </w:p>
        </w:tc>
      </w:tr>
      <w:tr>
        <w:trPr>
          <w:trHeight w:val="310"/>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w w:val="94"/>
              </w:rPr>
              <w:t>Answer this question if your response to Q3C.5a is “No” and your</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response to Q3C.5b is “No”.</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7"/>
        <w:spacing w:after="0"/>
        <w:rPr>
          <w:sz w:val="20"/>
          <w:szCs w:val="20"/>
          <w:color w:val="auto"/>
        </w:rPr>
      </w:pPr>
      <w:r>
        <w:rPr>
          <w:rFonts w:ascii="Arial" w:cs="Arial" w:eastAsia="Arial" w:hAnsi="Arial"/>
          <w:sz w:val="14"/>
          <w:szCs w:val="14"/>
          <w:b w:val="1"/>
          <w:bCs w:val="1"/>
          <w:color w:val="auto"/>
        </w:rPr>
        <w:t>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145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27" w:lineRule="exact"/>
        <w:rPr>
          <w:sz w:val="20"/>
          <w:szCs w:val="20"/>
          <w:color w:val="auto"/>
        </w:rPr>
      </w:pPr>
    </w:p>
    <w:p>
      <w:pPr>
        <w:ind w:left="323" w:hanging="323"/>
        <w:spacing w:after="0"/>
        <w:tabs>
          <w:tab w:leader="none" w:pos="323"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Ordinary fully or partly paid shares/units</w:t>
      </w:r>
    </w:p>
    <w:p>
      <w:pPr>
        <w:spacing w:after="0" w:line="153" w:lineRule="exact"/>
        <w:rPr>
          <w:rFonts w:ascii="MS PGothic" w:cs="MS PGothic" w:eastAsia="MS PGothic" w:hAnsi="MS PGothic"/>
          <w:sz w:val="16"/>
          <w:szCs w:val="16"/>
          <w:color w:val="auto"/>
        </w:rPr>
      </w:pPr>
    </w:p>
    <w:p>
      <w:pPr>
        <w:ind w:left="323" w:hanging="323"/>
        <w:spacing w:after="0"/>
        <w:tabs>
          <w:tab w:leader="none" w:pos="323"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Options</w:t>
      </w:r>
    </w:p>
    <w:p>
      <w:pPr>
        <w:spacing w:after="0" w:line="130" w:lineRule="exact"/>
        <w:rPr>
          <w:rFonts w:ascii="MS PGothic" w:cs="MS PGothic" w:eastAsia="MS PGothic" w:hAnsi="MS PGothic"/>
          <w:sz w:val="18"/>
          <w:szCs w:val="18"/>
          <w:color w:val="auto"/>
        </w:rPr>
      </w:pPr>
    </w:p>
    <w:p>
      <w:pPr>
        <w:ind w:left="323" w:hanging="323"/>
        <w:spacing w:after="0"/>
        <w:tabs>
          <w:tab w:leader="none" w:pos="323"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+Convertible debt securities</w:t>
      </w:r>
    </w:p>
    <w:p>
      <w:pPr>
        <w:spacing w:after="0" w:line="130" w:lineRule="exact"/>
        <w:rPr>
          <w:rFonts w:ascii="MS PGothic" w:cs="MS PGothic" w:eastAsia="MS PGothic" w:hAnsi="MS PGothic"/>
          <w:sz w:val="18"/>
          <w:szCs w:val="18"/>
          <w:color w:val="auto"/>
        </w:rPr>
      </w:pPr>
    </w:p>
    <w:p>
      <w:pPr>
        <w:ind w:left="323" w:hanging="323"/>
        <w:spacing w:after="0"/>
        <w:tabs>
          <w:tab w:leader="none" w:pos="323"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Non-convertible +debt securities</w:t>
      </w:r>
    </w:p>
    <w:p>
      <w:pPr>
        <w:spacing w:after="0" w:line="130" w:lineRule="exact"/>
        <w:rPr>
          <w:rFonts w:ascii="MS PGothic" w:cs="MS PGothic" w:eastAsia="MS PGothic" w:hAnsi="MS PGothic"/>
          <w:sz w:val="18"/>
          <w:szCs w:val="18"/>
          <w:color w:val="auto"/>
        </w:rPr>
      </w:pPr>
    </w:p>
    <w:p>
      <w:pPr>
        <w:ind w:left="323" w:hanging="323"/>
        <w:spacing w:after="0"/>
        <w:tabs>
          <w:tab w:leader="none" w:pos="323"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Redeemable preference shares/units</w:t>
      </w:r>
    </w:p>
    <w:p>
      <w:pPr>
        <w:spacing w:after="0" w:line="142" w:lineRule="exact"/>
        <w:rPr>
          <w:rFonts w:ascii="MS PGothic" w:cs="MS PGothic" w:eastAsia="MS PGothic" w:hAnsi="MS PGothic"/>
          <w:sz w:val="17"/>
          <w:szCs w:val="17"/>
          <w:color w:val="auto"/>
        </w:rPr>
      </w:pPr>
    </w:p>
    <w:p>
      <w:pPr>
        <w:ind w:left="323" w:hanging="323"/>
        <w:spacing w:after="0"/>
        <w:tabs>
          <w:tab w:leader="none" w:pos="323"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5098" w:lineRule="exact"/>
        <w:rPr>
          <w:sz w:val="20"/>
          <w:szCs w:val="20"/>
          <w:color w:val="auto"/>
        </w:rPr>
      </w:pPr>
    </w:p>
    <w:p>
      <w:pPr>
        <w:sectPr>
          <w:pgSz w:w="11900" w:h="16838" w:orient="portrait"/>
          <w:cols w:equalWidth="0" w:num="2">
            <w:col w:w="5940" w:space="117"/>
            <w:col w:w="4963"/>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 See chapter 19 for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i w:val="1"/>
          <w:iCs w:val="1"/>
          <w:color w:val="auto"/>
        </w:rPr>
        <w:t>31 January 2020</w:t>
      </w:r>
      <w:r>
        <w:rPr>
          <w:sz w:val="20"/>
          <w:szCs w:val="20"/>
          <w:color w:val="auto"/>
        </w:rPr>
        <w:tab/>
      </w:r>
      <w:r>
        <w:rPr>
          <w:rFonts w:ascii="Arial" w:cs="Arial" w:eastAsia="Arial" w:hAnsi="Arial"/>
          <w:sz w:val="15"/>
          <w:szCs w:val="15"/>
          <w:color w:val="auto"/>
        </w:rPr>
        <w:t>Page 7</w:t>
      </w:r>
    </w:p>
    <w:p>
      <w:pPr>
        <w:sectPr>
          <w:pgSz w:w="11900" w:h="16838" w:orient="portrait"/>
          <w:cols w:equalWidth="0" w:num="1">
            <w:col w:w="11020"/>
          </w:cols>
          <w:pgMar w:left="440" w:top="270" w:right="4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324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4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3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Application for quotation of +securities</w:t>
            </w:r>
          </w:p>
        </w:tc>
      </w:tr>
      <w:tr>
        <w:trPr>
          <w:trHeight w:val="405"/>
        </w:trPr>
        <w:tc>
          <w:tcPr>
            <w:tcW w:w="720" w:type="dxa"/>
            <w:vAlign w:val="bottom"/>
          </w:tcPr>
          <w:p>
            <w:pPr>
              <w:spacing w:after="0"/>
              <w:rPr>
                <w:sz w:val="20"/>
                <w:szCs w:val="20"/>
                <w:color w:val="auto"/>
              </w:rPr>
            </w:pPr>
            <w:r>
              <w:rPr>
                <w:rFonts w:ascii="Arial" w:cs="Arial" w:eastAsia="Arial" w:hAnsi="Arial"/>
                <w:sz w:val="18"/>
                <w:szCs w:val="18"/>
                <w:color w:val="auto"/>
              </w:rPr>
              <w:t>3C.5e</w:t>
            </w:r>
          </w:p>
        </w:tc>
        <w:tc>
          <w:tcPr>
            <w:tcW w:w="7040" w:type="dxa"/>
            <w:vAlign w:val="bottom"/>
            <w:gridSpan w:val="3"/>
          </w:tcPr>
          <w:p>
            <w:pPr>
              <w:ind w:left="280"/>
              <w:spacing w:after="0"/>
              <w:rPr>
                <w:sz w:val="20"/>
                <w:szCs w:val="20"/>
                <w:color w:val="auto"/>
              </w:rPr>
            </w:pPr>
            <w:r>
              <w:rPr>
                <w:rFonts w:ascii="Arial" w:cs="Arial" w:eastAsia="Arial" w:hAnsi="Arial"/>
                <w:sz w:val="18"/>
                <w:szCs w:val="18"/>
                <w:color w:val="auto"/>
              </w:rPr>
              <w:t>*Please state the extent to which the +securities do not rank equally:</w:t>
            </w:r>
          </w:p>
        </w:tc>
        <w:tc>
          <w:tcPr>
            <w:tcW w:w="3260" w:type="dxa"/>
            <w:vAlign w:val="bottom"/>
          </w:tcPr>
          <w:p>
            <w:pPr>
              <w:spacing w:after="0"/>
              <w:rPr>
                <w:sz w:val="24"/>
                <w:szCs w:val="24"/>
                <w:color w:val="auto"/>
              </w:rPr>
            </w:pPr>
          </w:p>
        </w:tc>
      </w:tr>
      <w:tr>
        <w:trPr>
          <w:trHeight w:val="338"/>
        </w:trPr>
        <w:tc>
          <w:tcPr>
            <w:tcW w:w="72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in relation to the next dividend, distribution or interest payment; or</w:t>
            </w:r>
          </w:p>
        </w:tc>
        <w:tc>
          <w:tcPr>
            <w:tcW w:w="3260" w:type="dxa"/>
            <w:vAlign w:val="bottom"/>
          </w:tcPr>
          <w:p>
            <w:pPr>
              <w:spacing w:after="0"/>
              <w:rPr>
                <w:sz w:val="24"/>
                <w:szCs w:val="24"/>
                <w:color w:val="auto"/>
              </w:rPr>
            </w:pPr>
          </w:p>
        </w:tc>
      </w:tr>
      <w:tr>
        <w:trPr>
          <w:trHeight w:val="338"/>
        </w:trPr>
        <w:tc>
          <w:tcPr>
            <w:tcW w:w="72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240" w:type="dxa"/>
            <w:vAlign w:val="bottom"/>
          </w:tcPr>
          <w:p>
            <w:pPr>
              <w:ind w:left="80"/>
              <w:spacing w:after="0"/>
              <w:rPr>
                <w:sz w:val="20"/>
                <w:szCs w:val="20"/>
                <w:color w:val="auto"/>
              </w:rPr>
            </w:pPr>
            <w:r>
              <w:rPr>
                <w:rFonts w:ascii="Arial" w:cs="Arial" w:eastAsia="Arial" w:hAnsi="Arial"/>
                <w:sz w:val="18"/>
                <w:szCs w:val="18"/>
                <w:color w:val="auto"/>
              </w:rPr>
              <w:t>for any other reason</w:t>
            </w:r>
          </w:p>
        </w:tc>
        <w:tc>
          <w:tcPr>
            <w:tcW w:w="32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38"/>
        </w:trPr>
        <w:tc>
          <w:tcPr>
            <w:tcW w:w="720" w:type="dxa"/>
            <w:vAlign w:val="bottom"/>
          </w:tcPr>
          <w:p>
            <w:pPr>
              <w:spacing w:after="0"/>
              <w:rPr>
                <w:sz w:val="24"/>
                <w:szCs w:val="24"/>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rPr>
              <w:t>Answer this question if your response to Q3C.5a is “No”.</w:t>
            </w:r>
          </w:p>
        </w:tc>
        <w:tc>
          <w:tcPr>
            <w:tcW w:w="326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w w:val="95"/>
              </w:rPr>
              <w:t>For example, the securities may not rank at all, or may rank proportionately based on the</w:t>
            </w:r>
          </w:p>
        </w:tc>
        <w:tc>
          <w:tcPr>
            <w:tcW w:w="32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rPr>
              <w:t>percentage of the period in question they have been on issue, for the next dividend,</w:t>
            </w:r>
          </w:p>
        </w:tc>
        <w:tc>
          <w:tcPr>
            <w:tcW w:w="32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w w:val="97"/>
              </w:rPr>
              <w:t>distribution or interest payment; or they may not be entitled to participate in some other</w:t>
            </w:r>
          </w:p>
        </w:tc>
        <w:tc>
          <w:tcPr>
            <w:tcW w:w="32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i w:val="1"/>
                <w:iCs w:val="1"/>
                <w:color w:val="auto"/>
              </w:rPr>
              <w:t>event, such as an entitlement issue.</w:t>
            </w:r>
          </w:p>
        </w:tc>
        <w:tc>
          <w:tcPr>
            <w:tcW w:w="324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3C.6</w:t>
            </w:r>
          </w:p>
        </w:tc>
        <w:tc>
          <w:tcPr>
            <w:tcW w:w="7040" w:type="dxa"/>
            <w:vAlign w:val="bottom"/>
            <w:gridSpan w:val="3"/>
          </w:tcPr>
          <w:p>
            <w:pPr>
              <w:ind w:left="280"/>
              <w:spacing w:after="0"/>
              <w:rPr>
                <w:sz w:val="20"/>
                <w:szCs w:val="20"/>
                <w:color w:val="auto"/>
              </w:rPr>
            </w:pPr>
            <w:r>
              <w:rPr>
                <w:rFonts w:ascii="Arial" w:cs="Arial" w:eastAsia="Arial" w:hAnsi="Arial"/>
                <w:sz w:val="18"/>
                <w:szCs w:val="18"/>
                <w:color w:val="auto"/>
                <w:w w:val="92"/>
              </w:rPr>
              <w:t>Please attach a document or provide a URL link for a document lodged with ASX setting out</w:t>
            </w:r>
          </w:p>
        </w:tc>
        <w:tc>
          <w:tcPr>
            <w:tcW w:w="326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w w:val="89"/>
              </w:rPr>
              <w:t>the material terms of the +securities to be quoted</w:t>
            </w:r>
          </w:p>
        </w:tc>
        <w:tc>
          <w:tcPr>
            <w:tcW w:w="324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w w:val="93"/>
              </w:rPr>
              <w:t>You may cross-reference a disclosure document, PDS, information memorandum, investor</w:t>
            </w:r>
          </w:p>
        </w:tc>
        <w:tc>
          <w:tcPr>
            <w:tcW w:w="32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w w:val="94"/>
              </w:rPr>
              <w:t>presentation or other announcement with this information provided it has been released to</w:t>
            </w:r>
          </w:p>
        </w:tc>
        <w:tc>
          <w:tcPr>
            <w:tcW w:w="32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i w:val="1"/>
                <w:iCs w:val="1"/>
                <w:color w:val="auto"/>
              </w:rPr>
              <w:t>the ASX Market Announcements Platform.</w:t>
            </w:r>
          </w:p>
        </w:tc>
        <w:tc>
          <w:tcPr>
            <w:tcW w:w="324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3C.7</w:t>
            </w:r>
          </w:p>
        </w:tc>
        <w:tc>
          <w:tcPr>
            <w:tcW w:w="7040" w:type="dxa"/>
            <w:vAlign w:val="bottom"/>
            <w:gridSpan w:val="3"/>
          </w:tcPr>
          <w:p>
            <w:pPr>
              <w:ind w:left="280"/>
              <w:spacing w:after="0"/>
              <w:rPr>
                <w:sz w:val="20"/>
                <w:szCs w:val="20"/>
                <w:color w:val="auto"/>
              </w:rPr>
            </w:pPr>
            <w:r>
              <w:rPr>
                <w:rFonts w:ascii="Arial" w:cs="Arial" w:eastAsia="Arial" w:hAnsi="Arial"/>
                <w:sz w:val="18"/>
                <w:szCs w:val="18"/>
                <w:color w:val="auto"/>
                <w:w w:val="92"/>
              </w:rPr>
              <w:t>*Have you received confirmation from ASX that the terms of the +securities are appropriate</w:t>
            </w:r>
          </w:p>
        </w:tc>
        <w:tc>
          <w:tcPr>
            <w:tcW w:w="326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rPr>
              <w:t>and equitable under listing rule 6.1?</w:t>
            </w:r>
          </w:p>
        </w:tc>
        <w:tc>
          <w:tcPr>
            <w:tcW w:w="324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w w:val="92"/>
              </w:rPr>
              <w:t>Answer this question only if you are an ASX Listing. (ASX Foreign Exempt Listings and ASX</w:t>
            </w:r>
          </w:p>
        </w:tc>
        <w:tc>
          <w:tcPr>
            <w:tcW w:w="326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rPr>
              <w:t>Debt Listings do not have to answer this question).</w:t>
            </w:r>
          </w:p>
        </w:tc>
        <w:tc>
          <w:tcPr>
            <w:tcW w:w="326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w w:val="95"/>
              </w:rPr>
              <w:t>If your response is “No” and the securities have any unusual terms, you should approach</w:t>
            </w:r>
          </w:p>
        </w:tc>
        <w:tc>
          <w:tcPr>
            <w:tcW w:w="32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rPr>
              <w:t>ASX as soon as possible for confirmation under listing rule 6.1 that the terms are</w:t>
            </w:r>
          </w:p>
        </w:tc>
        <w:tc>
          <w:tcPr>
            <w:tcW w:w="32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i w:val="1"/>
                <w:iCs w:val="1"/>
                <w:color w:val="auto"/>
              </w:rPr>
              <w:t>appropriate and equitable.</w:t>
            </w:r>
          </w:p>
        </w:tc>
        <w:tc>
          <w:tcPr>
            <w:tcW w:w="324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3C.8</w:t>
            </w:r>
          </w:p>
        </w:tc>
        <w:tc>
          <w:tcPr>
            <w:tcW w:w="10300" w:type="dxa"/>
            <w:vAlign w:val="bottom"/>
            <w:gridSpan w:val="4"/>
          </w:tcPr>
          <w:p>
            <w:pPr>
              <w:ind w:left="280"/>
              <w:spacing w:after="0"/>
              <w:rPr>
                <w:sz w:val="20"/>
                <w:szCs w:val="20"/>
                <w:color w:val="auto"/>
              </w:rPr>
            </w:pPr>
            <w:r>
              <w:rPr>
                <w:rFonts w:ascii="Arial" w:cs="Arial" w:eastAsia="Arial" w:hAnsi="Arial"/>
                <w:sz w:val="18"/>
                <w:szCs w:val="18"/>
                <w:color w:val="auto"/>
                <w:w w:val="91"/>
              </w:rPr>
              <w:t>*Provide a distribution schedule for the new +securities according to the categories set out in the left hand column – including the number</w:t>
            </w:r>
          </w:p>
        </w:tc>
      </w:tr>
      <w:tr>
        <w:trPr>
          <w:trHeight w:val="230"/>
        </w:trPr>
        <w:tc>
          <w:tcPr>
            <w:tcW w:w="720" w:type="dxa"/>
            <w:vAlign w:val="bottom"/>
          </w:tcPr>
          <w:p>
            <w:pPr>
              <w:spacing w:after="0"/>
              <w:rPr>
                <w:sz w:val="20"/>
                <w:szCs w:val="20"/>
                <w:color w:val="auto"/>
              </w:rPr>
            </w:pPr>
          </w:p>
        </w:tc>
        <w:tc>
          <w:tcPr>
            <w:tcW w:w="10300" w:type="dxa"/>
            <w:vAlign w:val="bottom"/>
            <w:gridSpan w:val="4"/>
          </w:tcPr>
          <w:p>
            <w:pPr>
              <w:ind w:left="280"/>
              <w:spacing w:after="0"/>
              <w:rPr>
                <w:sz w:val="20"/>
                <w:szCs w:val="20"/>
                <w:color w:val="auto"/>
              </w:rPr>
            </w:pPr>
            <w:r>
              <w:rPr>
                <w:rFonts w:ascii="Arial" w:cs="Arial" w:eastAsia="Arial" w:hAnsi="Arial"/>
                <w:sz w:val="18"/>
                <w:szCs w:val="18"/>
                <w:color w:val="auto"/>
              </w:rPr>
              <w:t>of recipients and the total percentage of the new +securities held by the recipients in each category.</w:t>
            </w:r>
          </w:p>
        </w:tc>
      </w:tr>
      <w:tr>
        <w:trPr>
          <w:trHeight w:val="310"/>
        </w:trPr>
        <w:tc>
          <w:tcPr>
            <w:tcW w:w="720" w:type="dxa"/>
            <w:vAlign w:val="bottom"/>
          </w:tcPr>
          <w:p>
            <w:pPr>
              <w:spacing w:after="0"/>
              <w:rPr>
                <w:sz w:val="24"/>
                <w:szCs w:val="24"/>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rPr>
              <w:t>Number of +securities held</w:t>
            </w:r>
          </w:p>
        </w:tc>
        <w:tc>
          <w:tcPr>
            <w:tcW w:w="3240" w:type="dxa"/>
            <w:vAlign w:val="bottom"/>
          </w:tcPr>
          <w:p>
            <w:pPr>
              <w:ind w:left="20"/>
              <w:spacing w:after="0"/>
              <w:rPr>
                <w:sz w:val="20"/>
                <w:szCs w:val="20"/>
                <w:color w:val="auto"/>
              </w:rPr>
            </w:pPr>
            <w:r>
              <w:rPr>
                <w:rFonts w:ascii="Arial" w:cs="Arial" w:eastAsia="Arial" w:hAnsi="Arial"/>
                <w:sz w:val="18"/>
                <w:szCs w:val="18"/>
                <w:color w:val="auto"/>
              </w:rPr>
              <w:t>Number of holders</w:t>
            </w:r>
          </w:p>
        </w:tc>
        <w:tc>
          <w:tcPr>
            <w:tcW w:w="3260" w:type="dxa"/>
            <w:vAlign w:val="bottom"/>
          </w:tcPr>
          <w:p>
            <w:pPr>
              <w:jc w:val="right"/>
              <w:ind w:right="530"/>
              <w:spacing w:after="0"/>
              <w:rPr>
                <w:sz w:val="20"/>
                <w:szCs w:val="20"/>
                <w:color w:val="auto"/>
              </w:rPr>
            </w:pPr>
            <w:r>
              <w:rPr>
                <w:rFonts w:ascii="Arial" w:cs="Arial" w:eastAsia="Arial" w:hAnsi="Arial"/>
                <w:sz w:val="18"/>
                <w:szCs w:val="18"/>
                <w:color w:val="auto"/>
                <w:w w:val="91"/>
              </w:rPr>
              <w:t>Total percentage of +securities held</w:t>
            </w:r>
          </w:p>
        </w:tc>
      </w:tr>
      <w:tr>
        <w:trPr>
          <w:trHeight w:val="216"/>
        </w:trPr>
        <w:tc>
          <w:tcPr>
            <w:tcW w:w="72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rPr>
              <w:t>1 – 1,000</w:t>
            </w:r>
          </w:p>
        </w:tc>
        <w:tc>
          <w:tcPr>
            <w:tcW w:w="32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rPr>
              <w:t>1,001 – 5,000</w:t>
            </w:r>
          </w:p>
        </w:tc>
        <w:tc>
          <w:tcPr>
            <w:tcW w:w="32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rPr>
              <w:t>5,001 – 10,000</w:t>
            </w:r>
          </w:p>
        </w:tc>
        <w:tc>
          <w:tcPr>
            <w:tcW w:w="32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rPr>
              <w:t>10,001 – 100,000</w:t>
            </w:r>
          </w:p>
        </w:tc>
        <w:tc>
          <w:tcPr>
            <w:tcW w:w="32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rPr>
              <w:t>100,001 and over</w:t>
            </w:r>
          </w:p>
        </w:tc>
        <w:tc>
          <w:tcPr>
            <w:tcW w:w="324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10300" w:type="dxa"/>
            <w:vAlign w:val="bottom"/>
            <w:gridSpan w:val="4"/>
          </w:tcPr>
          <w:p>
            <w:pPr>
              <w:ind w:left="280"/>
              <w:spacing w:after="0"/>
              <w:rPr>
                <w:sz w:val="20"/>
                <w:szCs w:val="20"/>
                <w:color w:val="auto"/>
              </w:rPr>
            </w:pPr>
            <w:r>
              <w:rPr>
                <w:rFonts w:ascii="Arial" w:cs="Arial" w:eastAsia="Arial" w:hAnsi="Arial"/>
                <w:sz w:val="18"/>
                <w:szCs w:val="18"/>
                <w:i w:val="1"/>
                <w:iCs w:val="1"/>
                <w:color w:val="auto"/>
                <w:w w:val="95"/>
              </w:rPr>
              <w:t>Answer this question only if you are an ASX Listing (ASX Foreign Exempt Listings and ASX Debt Listings do not have to answer this</w:t>
            </w:r>
          </w:p>
        </w:tc>
      </w:tr>
      <w:tr>
        <w:trPr>
          <w:trHeight w:val="230"/>
        </w:trPr>
        <w:tc>
          <w:tcPr>
            <w:tcW w:w="720" w:type="dxa"/>
            <w:vAlign w:val="bottom"/>
          </w:tcPr>
          <w:p>
            <w:pPr>
              <w:spacing w:after="0"/>
              <w:rPr>
                <w:sz w:val="20"/>
                <w:szCs w:val="20"/>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rPr>
              <w:t>question) and the securities to be quoted have already been issued.</w:t>
            </w:r>
          </w:p>
        </w:tc>
        <w:tc>
          <w:tcPr>
            <w:tcW w:w="3260" w:type="dxa"/>
            <w:vAlign w:val="bottom"/>
          </w:tcPr>
          <w:p>
            <w:pPr>
              <w:spacing w:after="0"/>
              <w:rPr>
                <w:sz w:val="20"/>
                <w:szCs w:val="20"/>
                <w:color w:val="auto"/>
              </w:rPr>
            </w:pPr>
          </w:p>
        </w:tc>
      </w:tr>
      <w:tr>
        <w:trPr>
          <w:trHeight w:val="323"/>
        </w:trPr>
        <w:tc>
          <w:tcPr>
            <w:tcW w:w="720" w:type="dxa"/>
            <w:vAlign w:val="bottom"/>
          </w:tcPr>
          <w:p>
            <w:pPr>
              <w:spacing w:after="0"/>
              <w:rPr>
                <w:sz w:val="24"/>
                <w:szCs w:val="24"/>
                <w:color w:val="auto"/>
              </w:rPr>
            </w:pPr>
          </w:p>
        </w:tc>
        <w:tc>
          <w:tcPr>
            <w:tcW w:w="10300" w:type="dxa"/>
            <w:vAlign w:val="bottom"/>
            <w:gridSpan w:val="4"/>
          </w:tcPr>
          <w:p>
            <w:pPr>
              <w:ind w:left="280"/>
              <w:spacing w:after="0"/>
              <w:rPr>
                <w:sz w:val="20"/>
                <w:szCs w:val="20"/>
                <w:color w:val="auto"/>
              </w:rPr>
            </w:pPr>
            <w:r>
              <w:rPr>
                <w:rFonts w:ascii="Arial" w:cs="Arial" w:eastAsia="Arial" w:hAnsi="Arial"/>
                <w:sz w:val="18"/>
                <w:szCs w:val="18"/>
                <w:i w:val="1"/>
                <w:iCs w:val="1"/>
                <w:color w:val="auto"/>
                <w:w w:val="95"/>
              </w:rPr>
              <w:t>Note: if the securities to be quoted have not yet been issued, under listing rule 3.10.5, you will need to provide to ASX a list of the 20</w:t>
            </w:r>
          </w:p>
        </w:tc>
      </w:tr>
      <w:tr>
        <w:trPr>
          <w:trHeight w:val="216"/>
        </w:trPr>
        <w:tc>
          <w:tcPr>
            <w:tcW w:w="720" w:type="dxa"/>
            <w:vAlign w:val="bottom"/>
          </w:tcPr>
          <w:p>
            <w:pPr>
              <w:spacing w:after="0"/>
              <w:rPr>
                <w:sz w:val="18"/>
                <w:szCs w:val="18"/>
                <w:color w:val="auto"/>
              </w:rPr>
            </w:pPr>
          </w:p>
        </w:tc>
        <w:tc>
          <w:tcPr>
            <w:tcW w:w="10300" w:type="dxa"/>
            <w:vAlign w:val="bottom"/>
            <w:gridSpan w:val="4"/>
          </w:tcPr>
          <w:p>
            <w:pPr>
              <w:ind w:left="280"/>
              <w:spacing w:after="0"/>
              <w:rPr>
                <w:sz w:val="20"/>
                <w:szCs w:val="20"/>
                <w:color w:val="auto"/>
              </w:rPr>
            </w:pPr>
            <w:r>
              <w:rPr>
                <w:rFonts w:ascii="Arial" w:cs="Arial" w:eastAsia="Arial" w:hAnsi="Arial"/>
                <w:sz w:val="18"/>
                <w:szCs w:val="18"/>
                <w:i w:val="1"/>
                <w:iCs w:val="1"/>
                <w:color w:val="auto"/>
                <w:w w:val="90"/>
              </w:rPr>
              <w:t>largest recipients of the new +securities, and the number and percentage of the new +securities received by each of those recipients, and a</w:t>
            </w:r>
          </w:p>
        </w:tc>
      </w:tr>
      <w:tr>
        <w:trPr>
          <w:trHeight w:val="230"/>
        </w:trPr>
        <w:tc>
          <w:tcPr>
            <w:tcW w:w="720" w:type="dxa"/>
            <w:vAlign w:val="bottom"/>
          </w:tcPr>
          <w:p>
            <w:pPr>
              <w:spacing w:after="0"/>
              <w:rPr>
                <w:sz w:val="20"/>
                <w:szCs w:val="20"/>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rPr>
              <w:t>distribution schedule for the securities when they are issued.</w:t>
            </w:r>
          </w:p>
        </w:tc>
        <w:tc>
          <w:tcPr>
            <w:tcW w:w="3260" w:type="dxa"/>
            <w:vAlign w:val="bottom"/>
          </w:tcPr>
          <w:p>
            <w:pPr>
              <w:spacing w:after="0"/>
              <w:rPr>
                <w:sz w:val="20"/>
                <w:szCs w:val="20"/>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3C.9a</w:t>
            </w:r>
          </w:p>
        </w:tc>
        <w:tc>
          <w:tcPr>
            <w:tcW w:w="7040" w:type="dxa"/>
            <w:vAlign w:val="bottom"/>
            <w:gridSpan w:val="3"/>
          </w:tcPr>
          <w:p>
            <w:pPr>
              <w:ind w:left="280"/>
              <w:spacing w:after="0"/>
              <w:rPr>
                <w:sz w:val="20"/>
                <w:szCs w:val="20"/>
                <w:color w:val="auto"/>
              </w:rPr>
            </w:pPr>
            <w:r>
              <w:rPr>
                <w:rFonts w:ascii="Arial" w:cs="Arial" w:eastAsia="Arial" w:hAnsi="Arial"/>
                <w:sz w:val="18"/>
                <w:szCs w:val="18"/>
                <w:b w:val="1"/>
                <w:bCs w:val="1"/>
                <w:color w:val="auto"/>
              </w:rPr>
              <w:t>Ordinary fully or partly paid shares/units details</w:t>
            </w:r>
          </w:p>
        </w:tc>
        <w:tc>
          <w:tcPr>
            <w:tcW w:w="326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10300" w:type="dxa"/>
            <w:vAlign w:val="bottom"/>
            <w:gridSpan w:val="4"/>
          </w:tcPr>
          <w:p>
            <w:pPr>
              <w:ind w:left="280"/>
              <w:spacing w:after="0"/>
              <w:rPr>
                <w:sz w:val="20"/>
                <w:szCs w:val="20"/>
                <w:color w:val="auto"/>
              </w:rPr>
            </w:pPr>
            <w:r>
              <w:rPr>
                <w:rFonts w:ascii="Arial" w:cs="Arial" w:eastAsia="Arial" w:hAnsi="Arial"/>
                <w:sz w:val="18"/>
                <w:szCs w:val="18"/>
                <w:i w:val="1"/>
                <w:iCs w:val="1"/>
                <w:color w:val="auto"/>
              </w:rPr>
              <w:t>Answer the questions in this section if you selected this security type in your response to Question 3C.2.</w:t>
            </w:r>
          </w:p>
        </w:tc>
      </w:tr>
      <w:tr>
        <w:trPr>
          <w:trHeight w:val="324"/>
        </w:trPr>
        <w:tc>
          <w:tcPr>
            <w:tcW w:w="720" w:type="dxa"/>
            <w:vAlign w:val="bottom"/>
          </w:tcPr>
          <w:p>
            <w:pPr>
              <w:spacing w:after="0"/>
              <w:rPr>
                <w:sz w:val="24"/>
                <w:szCs w:val="24"/>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rPr>
              <w:t>*+Security currency</w:t>
            </w:r>
          </w:p>
        </w:tc>
        <w:tc>
          <w:tcPr>
            <w:tcW w:w="32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rPr>
              <w:t>This is the currency in which the face amount of an issue is denominated. It will also</w:t>
            </w:r>
          </w:p>
        </w:tc>
        <w:tc>
          <w:tcPr>
            <w:tcW w:w="326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7040" w:type="dxa"/>
            <w:vAlign w:val="bottom"/>
            <w:gridSpan w:val="3"/>
          </w:tcPr>
          <w:p>
            <w:pPr>
              <w:ind w:left="280"/>
              <w:spacing w:after="0"/>
              <w:rPr>
                <w:sz w:val="20"/>
                <w:szCs w:val="20"/>
                <w:color w:val="auto"/>
              </w:rPr>
            </w:pPr>
            <w:r>
              <w:rPr>
                <w:rFonts w:ascii="Arial" w:cs="Arial" w:eastAsia="Arial" w:hAnsi="Arial"/>
                <w:sz w:val="18"/>
                <w:szCs w:val="18"/>
                <w:i w:val="1"/>
                <w:iCs w:val="1"/>
                <w:color w:val="auto"/>
              </w:rPr>
              <w:t>typically be the currency in which distributions are declared.</w:t>
            </w:r>
          </w:p>
        </w:tc>
        <w:tc>
          <w:tcPr>
            <w:tcW w:w="3260" w:type="dxa"/>
            <w:vAlign w:val="bottom"/>
          </w:tcPr>
          <w:p>
            <w:pPr>
              <w:spacing w:after="0"/>
              <w:rPr>
                <w:sz w:val="20"/>
                <w:szCs w:val="20"/>
                <w:color w:val="auto"/>
              </w:rPr>
            </w:pPr>
          </w:p>
        </w:tc>
      </w:tr>
      <w:tr>
        <w:trPr>
          <w:trHeight w:val="324"/>
        </w:trPr>
        <w:tc>
          <w:tcPr>
            <w:tcW w:w="720" w:type="dxa"/>
            <w:vAlign w:val="bottom"/>
          </w:tcPr>
          <w:p>
            <w:pPr>
              <w:spacing w:after="0"/>
              <w:rPr>
                <w:sz w:val="24"/>
                <w:szCs w:val="24"/>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w w:val="91"/>
              </w:rPr>
              <w:t>*Will there be CDIs issued over the +securities?</w:t>
            </w:r>
          </w:p>
        </w:tc>
        <w:tc>
          <w:tcPr>
            <w:tcW w:w="32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48"/>
        </w:trPr>
        <w:tc>
          <w:tcPr>
            <w:tcW w:w="4520" w:type="dxa"/>
            <w:vAlign w:val="bottom"/>
            <w:tcBorders>
              <w:bottom w:val="single" w:sz="8" w:color="auto"/>
            </w:tcBorders>
            <w:gridSpan w:val="3"/>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r>
      <w:tr>
        <w:trPr>
          <w:trHeight w:val="195"/>
        </w:trPr>
        <w:tc>
          <w:tcPr>
            <w:tcW w:w="4520" w:type="dxa"/>
            <w:vAlign w:val="bottom"/>
            <w:gridSpan w:val="3"/>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324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i w:val="1"/>
                <w:iCs w:val="1"/>
                <w:color w:val="auto"/>
                <w:w w:val="93"/>
              </w:rPr>
              <w:t>31 January 2020</w:t>
            </w:r>
          </w:p>
        </w:tc>
        <w:tc>
          <w:tcPr>
            <w:tcW w:w="32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Page 8</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16"/>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4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r>
        <w:trPr>
          <w:trHeight w:val="405"/>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*CDI ratio</w:t>
            </w:r>
          </w:p>
        </w:tc>
        <w:tc>
          <w:tcPr>
            <w:tcW w:w="406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Answer this question if you answered “Yes” to the previous</w:t>
            </w:r>
          </w:p>
        </w:tc>
        <w:tc>
          <w:tcPr>
            <w:tcW w:w="40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question. This is the ratio at which CDIs can be transmuted into the</w:t>
            </w:r>
          </w:p>
        </w:tc>
        <w:tc>
          <w:tcPr>
            <w:tcW w:w="40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underlying security (e.g. 4:1 means 4 CDIs represent 1 underlying</w:t>
            </w:r>
          </w:p>
        </w:tc>
        <w:tc>
          <w:tcPr>
            <w:tcW w:w="40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security whereas 1:4 means 1 CDI represents 4 underlying</w:t>
            </w:r>
          </w:p>
        </w:tc>
        <w:tc>
          <w:tcPr>
            <w:tcW w:w="40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securities).</w:t>
            </w:r>
          </w:p>
        </w:tc>
        <w:tc>
          <w:tcPr>
            <w:tcW w:w="4060" w:type="dxa"/>
            <w:vAlign w:val="bottom"/>
          </w:tcPr>
          <w:p>
            <w:pPr>
              <w:spacing w:after="0"/>
              <w:rPr>
                <w:sz w:val="20"/>
                <w:szCs w:val="20"/>
                <w:color w:val="auto"/>
              </w:rPr>
            </w:pPr>
          </w:p>
        </w:tc>
      </w:tr>
      <w:tr>
        <w:trPr>
          <w:trHeight w:val="324"/>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*Is it a partly paid class of +security?</w:t>
            </w:r>
          </w:p>
        </w:tc>
        <w:tc>
          <w:tcPr>
            <w:tcW w:w="406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*Paid up amount: unpaid amount</w:t>
            </w:r>
          </w:p>
        </w:tc>
        <w:tc>
          <w:tcPr>
            <w:tcW w:w="406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Answer this question if answered “Yes” to the previous question.</w:t>
            </w:r>
          </w:p>
        </w:tc>
        <w:tc>
          <w:tcPr>
            <w:tcW w:w="406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The paid up amount represents the amount of application money</w:t>
            </w:r>
          </w:p>
        </w:tc>
        <w:tc>
          <w:tcPr>
            <w:tcW w:w="40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and/or calls which have been paid on any security considered</w:t>
            </w:r>
          </w:p>
        </w:tc>
        <w:tc>
          <w:tcPr>
            <w:tcW w:w="40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‘partly paid’</w:t>
            </w:r>
          </w:p>
        </w:tc>
        <w:tc>
          <w:tcPr>
            <w:tcW w:w="406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The unpaid amount represents the unpaid or yet to be called amount</w:t>
            </w:r>
          </w:p>
        </w:tc>
        <w:tc>
          <w:tcPr>
            <w:tcW w:w="406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on any security considered ‘partly paid’.</w:t>
            </w:r>
          </w:p>
        </w:tc>
        <w:tc>
          <w:tcPr>
            <w:tcW w:w="406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The amounts should be provided per the security currency (e.g. if</w:t>
            </w:r>
          </w:p>
        </w:tc>
        <w:tc>
          <w:tcPr>
            <w:tcW w:w="40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the security currency is AUD, then the paid up and unpaid amount</w:t>
            </w:r>
          </w:p>
        </w:tc>
        <w:tc>
          <w:tcPr>
            <w:tcW w:w="40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per security in AUD).</w:t>
            </w:r>
          </w:p>
        </w:tc>
        <w:tc>
          <w:tcPr>
            <w:tcW w:w="4060" w:type="dxa"/>
            <w:vAlign w:val="bottom"/>
          </w:tcPr>
          <w:p>
            <w:pPr>
              <w:spacing w:after="0"/>
              <w:rPr>
                <w:sz w:val="20"/>
                <w:szCs w:val="20"/>
                <w:color w:val="auto"/>
              </w:rPr>
            </w:pPr>
          </w:p>
        </w:tc>
      </w:tr>
      <w:tr>
        <w:trPr>
          <w:trHeight w:val="324"/>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*Is it a stapled +security?</w:t>
            </w:r>
          </w:p>
        </w:tc>
        <w:tc>
          <w:tcPr>
            <w:tcW w:w="406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This is a security class that comprises a number of ordinary shares</w:t>
            </w:r>
          </w:p>
        </w:tc>
        <w:tc>
          <w:tcPr>
            <w:tcW w:w="40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and/or ordinary units issued by separate entities that are stapled</w:t>
            </w:r>
          </w:p>
        </w:tc>
        <w:tc>
          <w:tcPr>
            <w:tcW w:w="40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together for the purposes of trading.</w:t>
            </w:r>
          </w:p>
        </w:tc>
        <w:tc>
          <w:tcPr>
            <w:tcW w:w="4060" w:type="dxa"/>
            <w:vAlign w:val="bottom"/>
          </w:tcPr>
          <w:p>
            <w:pPr>
              <w:spacing w:after="0"/>
              <w:rPr>
                <w:sz w:val="20"/>
                <w:szCs w:val="20"/>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3C.9b</w:t>
            </w:r>
          </w:p>
        </w:tc>
        <w:tc>
          <w:tcPr>
            <w:tcW w:w="6240" w:type="dxa"/>
            <w:vAlign w:val="bottom"/>
          </w:tcPr>
          <w:p>
            <w:pPr>
              <w:ind w:left="280"/>
              <w:spacing w:after="0"/>
              <w:rPr>
                <w:sz w:val="20"/>
                <w:szCs w:val="20"/>
                <w:color w:val="auto"/>
              </w:rPr>
            </w:pPr>
            <w:r>
              <w:rPr>
                <w:rFonts w:ascii="Arial" w:cs="Arial" w:eastAsia="Arial" w:hAnsi="Arial"/>
                <w:sz w:val="18"/>
                <w:szCs w:val="18"/>
                <w:b w:val="1"/>
                <w:bCs w:val="1"/>
                <w:color w:val="auto"/>
              </w:rPr>
              <w:t>Option details</w:t>
            </w:r>
          </w:p>
        </w:tc>
        <w:tc>
          <w:tcPr>
            <w:tcW w:w="406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10300" w:type="dxa"/>
            <w:vAlign w:val="bottom"/>
            <w:gridSpan w:val="2"/>
          </w:tcPr>
          <w:p>
            <w:pPr>
              <w:ind w:left="280"/>
              <w:spacing w:after="0"/>
              <w:rPr>
                <w:sz w:val="20"/>
                <w:szCs w:val="20"/>
                <w:color w:val="auto"/>
              </w:rPr>
            </w:pPr>
            <w:r>
              <w:rPr>
                <w:rFonts w:ascii="Arial" w:cs="Arial" w:eastAsia="Arial" w:hAnsi="Arial"/>
                <w:sz w:val="18"/>
                <w:szCs w:val="18"/>
                <w:i w:val="1"/>
                <w:iCs w:val="1"/>
                <w:color w:val="auto"/>
              </w:rPr>
              <w:t>Answer the questions in this section if you selected this security type in your response to Question 3C.2.</w:t>
            </w:r>
          </w:p>
        </w:tc>
      </w:tr>
      <w:tr>
        <w:trPr>
          <w:trHeight w:val="324"/>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*+Security currency</w:t>
            </w:r>
          </w:p>
        </w:tc>
        <w:tc>
          <w:tcPr>
            <w:tcW w:w="406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This is the currency in which the exercise price is payable.</w:t>
            </w:r>
          </w:p>
        </w:tc>
        <w:tc>
          <w:tcPr>
            <w:tcW w:w="406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*Exercise price</w:t>
            </w:r>
          </w:p>
        </w:tc>
        <w:tc>
          <w:tcPr>
            <w:tcW w:w="406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The price at which each option can be exercised and convert into</w:t>
            </w:r>
          </w:p>
        </w:tc>
        <w:tc>
          <w:tcPr>
            <w:tcW w:w="406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the underlying security.</w:t>
            </w:r>
          </w:p>
        </w:tc>
        <w:tc>
          <w:tcPr>
            <w:tcW w:w="406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The exercise price should be provided per the security currency (i.e.</w:t>
            </w:r>
          </w:p>
        </w:tc>
        <w:tc>
          <w:tcPr>
            <w:tcW w:w="40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if the security currency is AUD, the exercise price should be</w:t>
            </w:r>
          </w:p>
        </w:tc>
        <w:tc>
          <w:tcPr>
            <w:tcW w:w="40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expressed in AUD).</w:t>
            </w:r>
          </w:p>
        </w:tc>
        <w:tc>
          <w:tcPr>
            <w:tcW w:w="4060" w:type="dxa"/>
            <w:vAlign w:val="bottom"/>
          </w:tcPr>
          <w:p>
            <w:pPr>
              <w:spacing w:after="0"/>
              <w:rPr>
                <w:sz w:val="20"/>
                <w:szCs w:val="20"/>
                <w:color w:val="auto"/>
              </w:rPr>
            </w:pPr>
          </w:p>
        </w:tc>
      </w:tr>
      <w:tr>
        <w:trPr>
          <w:trHeight w:val="324"/>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*Expiry date</w:t>
            </w:r>
          </w:p>
        </w:tc>
        <w:tc>
          <w:tcPr>
            <w:tcW w:w="406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The date on which the options expire or terminate.</w:t>
            </w:r>
          </w:p>
        </w:tc>
        <w:tc>
          <w:tcPr>
            <w:tcW w:w="406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*Details of the number and type of +security (including its ASX</w:t>
            </w:r>
          </w:p>
        </w:tc>
        <w:tc>
          <w:tcPr>
            <w:tcW w:w="40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security code if the +security is quoted on ASX) that will be issued</w:t>
            </w:r>
          </w:p>
        </w:tc>
        <w:tc>
          <w:tcPr>
            <w:tcW w:w="40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if an option is exercised</w:t>
            </w:r>
          </w:p>
        </w:tc>
        <w:tc>
          <w:tcPr>
            <w:tcW w:w="406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For example, if the option can be exercised to receive one fully paid</w:t>
            </w:r>
          </w:p>
        </w:tc>
        <w:tc>
          <w:tcPr>
            <w:tcW w:w="40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ordinary share with ASX security code ABC, please insert “One</w:t>
            </w:r>
          </w:p>
        </w:tc>
        <w:tc>
          <w:tcPr>
            <w:tcW w:w="40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i w:val="1"/>
                <w:iCs w:val="1"/>
                <w:color w:val="auto"/>
              </w:rPr>
              <w:t>fully paid ordinary share (ASX:ABC)”.</w:t>
            </w:r>
          </w:p>
        </w:tc>
        <w:tc>
          <w:tcPr>
            <w:tcW w:w="4060" w:type="dxa"/>
            <w:vAlign w:val="bottom"/>
          </w:tcPr>
          <w:p>
            <w:pPr>
              <w:spacing w:after="0"/>
              <w:rPr>
                <w:sz w:val="20"/>
                <w:szCs w:val="20"/>
                <w:color w:val="auto"/>
              </w:rPr>
            </w:pPr>
          </w:p>
        </w:tc>
      </w:tr>
      <w:tr>
        <w:trPr>
          <w:trHeight w:val="148"/>
        </w:trPr>
        <w:tc>
          <w:tcPr>
            <w:tcW w:w="6960" w:type="dxa"/>
            <w:vAlign w:val="bottom"/>
            <w:tcBorders>
              <w:bottom w:val="single" w:sz="8" w:color="auto"/>
            </w:tcBorders>
            <w:gridSpan w:val="2"/>
          </w:tcPr>
          <w:p>
            <w:pPr>
              <w:spacing w:after="0"/>
              <w:rPr>
                <w:sz w:val="12"/>
                <w:szCs w:val="12"/>
                <w:color w:val="auto"/>
              </w:rPr>
            </w:pPr>
          </w:p>
        </w:tc>
        <w:tc>
          <w:tcPr>
            <w:tcW w:w="4060" w:type="dxa"/>
            <w:vAlign w:val="bottom"/>
            <w:tcBorders>
              <w:bottom w:val="single" w:sz="8" w:color="auto"/>
            </w:tcBorders>
          </w:tcPr>
          <w:p>
            <w:pPr>
              <w:spacing w:after="0"/>
              <w:rPr>
                <w:sz w:val="12"/>
                <w:szCs w:val="12"/>
                <w:color w:val="auto"/>
              </w:rPr>
            </w:pPr>
          </w:p>
        </w:tc>
      </w:tr>
      <w:tr>
        <w:trPr>
          <w:trHeight w:val="195"/>
        </w:trPr>
        <w:tc>
          <w:tcPr>
            <w:tcW w:w="696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4060" w:type="dxa"/>
            <w:vAlign w:val="bottom"/>
          </w:tcPr>
          <w:p>
            <w:pPr>
              <w:spacing w:after="0"/>
              <w:rPr>
                <w:sz w:val="16"/>
                <w:szCs w:val="16"/>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i w:val="1"/>
                <w:iCs w:val="1"/>
                <w:color w:val="auto"/>
              </w:rPr>
              <w:t>31 January 2020</w:t>
            </w:r>
          </w:p>
        </w:tc>
        <w:tc>
          <w:tcPr>
            <w:tcW w:w="4060" w:type="dxa"/>
            <w:vAlign w:val="bottom"/>
          </w:tcPr>
          <w:p>
            <w:pPr>
              <w:jc w:val="right"/>
              <w:spacing w:after="0"/>
              <w:rPr>
                <w:sz w:val="20"/>
                <w:szCs w:val="20"/>
                <w:color w:val="auto"/>
              </w:rPr>
            </w:pPr>
            <w:r>
              <w:rPr>
                <w:rFonts w:ascii="Arial" w:cs="Arial" w:eastAsia="Arial" w:hAnsi="Arial"/>
                <w:sz w:val="18"/>
                <w:szCs w:val="18"/>
                <w:color w:val="auto"/>
              </w:rPr>
              <w:t>Page 9</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16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3C.9c</w:t>
      </w:r>
      <w:r>
        <w:rPr>
          <w:sz w:val="20"/>
          <w:szCs w:val="20"/>
          <w:color w:val="auto"/>
        </w:rPr>
        <w:tab/>
      </w:r>
      <w:r>
        <w:rPr>
          <w:rFonts w:ascii="Arial" w:cs="Arial" w:eastAsia="Arial" w:hAnsi="Arial"/>
          <w:sz w:val="15"/>
          <w:szCs w:val="15"/>
          <w:b w:val="1"/>
          <w:bCs w:val="1"/>
          <w:color w:val="auto"/>
        </w:rPr>
        <w:t>Details of non-convertible +debt securities, +convertible debt securities, or redeemable preference shares/units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Answer the questions in this section if you selected one of these security types in your response to Question 3C.2.</w:t>
      </w:r>
    </w:p>
    <w:p>
      <w:pPr>
        <w:spacing w:after="0" w:line="117" w:lineRule="exact"/>
        <w:rPr>
          <w:sz w:val="20"/>
          <w:szCs w:val="20"/>
          <w:color w:val="auto"/>
        </w:rPr>
      </w:pPr>
    </w:p>
    <w:p>
      <w:pPr>
        <w:ind w:left="680" w:right="20"/>
        <w:spacing w:after="0" w:line="277" w:lineRule="auto"/>
        <w:rPr>
          <w:sz w:val="20"/>
          <w:szCs w:val="20"/>
          <w:color w:val="auto"/>
        </w:rPr>
      </w:pPr>
      <w:r>
        <w:rPr>
          <w:rFonts w:ascii="Arial" w:cs="Arial" w:eastAsia="Arial" w:hAnsi="Arial"/>
          <w:sz w:val="18"/>
          <w:szCs w:val="18"/>
          <w:i w:val="1"/>
          <w:iCs w:val="1"/>
          <w:color w:val="auto"/>
        </w:rPr>
        <w:t>Refer to Guidance Note 34 and the “</w:t>
      </w:r>
      <w:r>
        <w:rPr>
          <w:rFonts w:ascii="Arial" w:cs="Arial" w:eastAsia="Arial" w:hAnsi="Arial"/>
          <w:sz w:val="18"/>
          <w:szCs w:val="18"/>
          <w:i w:val="1"/>
          <w:iCs w:val="1"/>
          <w:u w:val="single" w:color="auto"/>
          <w:color w:val="auto"/>
        </w:rPr>
        <w:t>Guide to the Naming Conventions and Security Descriptions for ASX Quoted Debt and Hybrid Securities</w:t>
      </w:r>
      <w:r>
        <w:rPr>
          <w:rFonts w:ascii="Arial" w:cs="Arial" w:eastAsia="Arial" w:hAnsi="Arial"/>
          <w:sz w:val="18"/>
          <w:szCs w:val="18"/>
          <w:i w:val="1"/>
          <w:iCs w:val="1"/>
          <w:color w:val="auto"/>
        </w:rPr>
        <w:t>” for further information on certain terms used in this section</w:t>
      </w:r>
    </w:p>
    <w:p>
      <w:pPr>
        <w:sectPr>
          <w:pgSz w:w="11900" w:h="16838" w:orient="portrait"/>
          <w:cols w:equalWidth="0" w:num="1">
            <w:col w:w="11020"/>
          </w:cols>
          <w:pgMar w:left="440" w:top="270" w:right="439" w:bottom="1440" w:gutter="0" w:footer="0" w:header="0"/>
        </w:sectPr>
      </w:pP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*Type of +security</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Select one item from the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*+Security currency</w:t>
      </w:r>
    </w:p>
    <w:p>
      <w:pPr>
        <w:spacing w:after="0" w:line="117" w:lineRule="exact"/>
        <w:rPr>
          <w:sz w:val="20"/>
          <w:szCs w:val="20"/>
          <w:color w:val="auto"/>
        </w:rPr>
      </w:pPr>
    </w:p>
    <w:p>
      <w:pPr>
        <w:ind w:left="680"/>
        <w:spacing w:after="0" w:line="263" w:lineRule="auto"/>
        <w:rPr>
          <w:sz w:val="20"/>
          <w:szCs w:val="20"/>
          <w:color w:val="auto"/>
        </w:rPr>
      </w:pPr>
      <w:r>
        <w:rPr>
          <w:rFonts w:ascii="Arial" w:cs="Arial" w:eastAsia="Arial" w:hAnsi="Arial"/>
          <w:sz w:val="18"/>
          <w:szCs w:val="18"/>
          <w:i w:val="1"/>
          <w:iCs w:val="1"/>
          <w:color w:val="auto"/>
        </w:rPr>
        <w:t>This is the currency in which the face value of the security is denominated. It will also typically be the currency in which interest or distributions are paid.</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Face value</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This is the principal amount of each security.</w:t>
      </w:r>
    </w:p>
    <w:p>
      <w:pPr>
        <w:spacing w:after="0" w:line="117" w:lineRule="exact"/>
        <w:rPr>
          <w:sz w:val="20"/>
          <w:szCs w:val="20"/>
          <w:color w:val="auto"/>
        </w:rPr>
      </w:pPr>
    </w:p>
    <w:p>
      <w:pPr>
        <w:ind w:left="680" w:right="180"/>
        <w:spacing w:after="0" w:line="342" w:lineRule="auto"/>
        <w:rPr>
          <w:sz w:val="20"/>
          <w:szCs w:val="20"/>
          <w:color w:val="auto"/>
        </w:rPr>
      </w:pPr>
      <w:r>
        <w:rPr>
          <w:rFonts w:ascii="Arial" w:cs="Arial" w:eastAsia="Arial" w:hAnsi="Arial"/>
          <w:sz w:val="16"/>
          <w:szCs w:val="16"/>
          <w:i w:val="1"/>
          <w:iCs w:val="1"/>
          <w:color w:val="auto"/>
        </w:rPr>
        <w:t>The face value should be provided per the security currency (i.e. if security currency is AUD, then the face value per security in AUD).</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*Interest rate type</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Select one item from the list</w:t>
      </w:r>
    </w:p>
    <w:p>
      <w:pPr>
        <w:spacing w:after="0" w:line="117" w:lineRule="exact"/>
        <w:rPr>
          <w:sz w:val="20"/>
          <w:szCs w:val="20"/>
          <w:color w:val="auto"/>
        </w:rPr>
      </w:pPr>
    </w:p>
    <w:p>
      <w:pPr>
        <w:ind w:left="680" w:right="100"/>
        <w:spacing w:after="0" w:line="259" w:lineRule="auto"/>
        <w:rPr>
          <w:sz w:val="20"/>
          <w:szCs w:val="20"/>
          <w:color w:val="auto"/>
        </w:rPr>
      </w:pPr>
      <w:r>
        <w:rPr>
          <w:rFonts w:ascii="Arial" w:cs="Arial" w:eastAsia="Arial" w:hAnsi="Arial"/>
          <w:sz w:val="18"/>
          <w:szCs w:val="18"/>
          <w:i w:val="1"/>
          <w:iCs w:val="1"/>
          <w:color w:val="auto"/>
        </w:rPr>
        <w:t>Select the appropriate interest rate type per the terms of the security. Definitions for each type are provided in the Guide to the Naming Conventions and Security Descriptions for ASX Quoted Debt and Hybrid Securities</w:t>
      </w: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Frequency of coupon/interest payments per year</w:t>
      </w:r>
    </w:p>
    <w:p>
      <w:pPr>
        <w:spacing w:after="0" w:line="200" w:lineRule="exact"/>
        <w:rPr>
          <w:sz w:val="20"/>
          <w:szCs w:val="20"/>
          <w:color w:val="auto"/>
        </w:rPr>
      </w:pPr>
    </w:p>
    <w:p>
      <w:pPr>
        <w:spacing w:after="0" w:line="26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Select one item from the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First interest payment date</w:t>
      </w:r>
    </w:p>
    <w:p>
      <w:pPr>
        <w:spacing w:after="0" w:line="117" w:lineRule="exact"/>
        <w:rPr>
          <w:sz w:val="20"/>
          <w:szCs w:val="20"/>
          <w:color w:val="auto"/>
        </w:rPr>
      </w:pPr>
    </w:p>
    <w:p>
      <w:pPr>
        <w:ind w:left="680" w:right="200"/>
        <w:spacing w:after="0" w:line="263" w:lineRule="auto"/>
        <w:rPr>
          <w:sz w:val="20"/>
          <w:szCs w:val="20"/>
          <w:color w:val="auto"/>
        </w:rPr>
      </w:pPr>
      <w:r>
        <w:rPr>
          <w:rFonts w:ascii="Arial" w:cs="Arial" w:eastAsia="Arial" w:hAnsi="Arial"/>
          <w:sz w:val="18"/>
          <w:szCs w:val="18"/>
          <w:i w:val="1"/>
          <w:iCs w:val="1"/>
          <w:color w:val="auto"/>
        </w:rPr>
        <w:t>A response is not required if you have selected “No coupon/interest payments” in response to the question above on the frequency of coupon/interest payments</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Interest rate per annum</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Answer this question if the interest rate type is fixed.</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 the interest rate per annum estimated at this time?</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Answer this question if the interest rate type is fixed.</w:t>
      </w:r>
    </w:p>
    <w:p>
      <w:pPr>
        <w:spacing w:after="0" w:line="117" w:lineRule="exact"/>
        <w:rPr>
          <w:sz w:val="20"/>
          <w:szCs w:val="20"/>
          <w:color w:val="auto"/>
        </w:rPr>
      </w:pPr>
    </w:p>
    <w:p>
      <w:pPr>
        <w:ind w:left="680" w:right="240"/>
        <w:spacing w:after="0" w:line="342" w:lineRule="auto"/>
        <w:rPr>
          <w:sz w:val="20"/>
          <w:szCs w:val="20"/>
          <w:color w:val="auto"/>
        </w:rPr>
      </w:pPr>
      <w:r>
        <w:rPr>
          <w:rFonts w:ascii="Arial" w:cs="Arial" w:eastAsia="Arial" w:hAnsi="Arial"/>
          <w:sz w:val="16"/>
          <w:szCs w:val="16"/>
          <w:color w:val="auto"/>
        </w:rPr>
        <w:t>If the interest rate per annum is estimated, then what is the date for this information to be announced to the market (if known)</w:t>
      </w:r>
    </w:p>
    <w:p>
      <w:pPr>
        <w:spacing w:after="0" w:line="16" w:lineRule="exact"/>
        <w:rPr>
          <w:sz w:val="20"/>
          <w:szCs w:val="20"/>
          <w:color w:val="auto"/>
        </w:rPr>
      </w:pPr>
    </w:p>
    <w:p>
      <w:pPr>
        <w:ind w:left="680" w:right="640"/>
        <w:spacing w:after="0" w:line="277" w:lineRule="auto"/>
        <w:rPr>
          <w:sz w:val="20"/>
          <w:szCs w:val="20"/>
          <w:color w:val="auto"/>
        </w:rPr>
      </w:pPr>
      <w:r>
        <w:rPr>
          <w:rFonts w:ascii="Arial" w:cs="Arial" w:eastAsia="Arial" w:hAnsi="Arial"/>
          <w:sz w:val="18"/>
          <w:szCs w:val="18"/>
          <w:i w:val="1"/>
          <w:iCs w:val="1"/>
          <w:color w:val="auto"/>
        </w:rPr>
        <w:t>Answer this question if the interest rate type is fixed and your response to the previous question is “Yes”.</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Answer “Unknown” if the date is not known at this time.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331" w:hanging="331"/>
        <w:spacing w:after="0"/>
        <w:tabs>
          <w:tab w:leader="none" w:pos="331"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Simple corporate bond</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9"/>
        </w:numPr>
        <w:rPr>
          <w:rFonts w:ascii="MS PGothic" w:cs="MS PGothic" w:eastAsia="MS PGothic" w:hAnsi="MS PGothic"/>
          <w:sz w:val="16"/>
          <w:szCs w:val="16"/>
          <w:color w:val="auto"/>
        </w:rPr>
      </w:pPr>
      <w:r>
        <w:rPr>
          <w:rFonts w:ascii="Arial" w:cs="Arial" w:eastAsia="Arial" w:hAnsi="Arial"/>
          <w:sz w:val="16"/>
          <w:szCs w:val="16"/>
          <w:color w:val="auto"/>
        </w:rPr>
        <w:t>Non-convertible note or bond</w:t>
      </w:r>
    </w:p>
    <w:p>
      <w:pPr>
        <w:spacing w:after="0" w:line="140" w:lineRule="exact"/>
        <w:rPr>
          <w:rFonts w:ascii="MS PGothic" w:cs="MS PGothic" w:eastAsia="MS PGothic" w:hAnsi="MS PGothic"/>
          <w:sz w:val="16"/>
          <w:szCs w:val="16"/>
          <w:color w:val="auto"/>
        </w:rPr>
      </w:pPr>
    </w:p>
    <w:p>
      <w:pPr>
        <w:ind w:left="331" w:hanging="331"/>
        <w:spacing w:after="0"/>
        <w:tabs>
          <w:tab w:leader="none" w:pos="331"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Convertible note or bond</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Preference share/unit</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Capital note</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Hybrid security</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31" w:hanging="331"/>
        <w:spacing w:after="0"/>
        <w:tabs>
          <w:tab w:leader="none" w:pos="33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Fixed rate</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Floating rate</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Indexed rate</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Variable rate</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Zero coupon/no interest</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Monthly</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Quarterly</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Semi-annual</w:t>
      </w:r>
    </w:p>
    <w:p>
      <w:pPr>
        <w:spacing w:after="0" w:line="117" w:lineRule="exact"/>
        <w:rPr>
          <w:rFonts w:ascii="MS PGothic" w:cs="MS PGothic" w:eastAsia="MS PGothic" w:hAnsi="MS PGothic"/>
          <w:sz w:val="18"/>
          <w:szCs w:val="18"/>
          <w:color w:val="auto"/>
        </w:rPr>
      </w:pPr>
    </w:p>
    <w:p>
      <w:pPr>
        <w:ind w:left="311" w:hanging="311"/>
        <w:spacing w:after="0"/>
        <w:tabs>
          <w:tab w:leader="none" w:pos="31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Annual</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No coupon/interest payments</w:t>
      </w:r>
    </w:p>
    <w:p>
      <w:pPr>
        <w:spacing w:after="0" w:line="140" w:lineRule="exact"/>
        <w:rPr>
          <w:rFonts w:ascii="MS PGothic" w:cs="MS PGothic" w:eastAsia="MS PGothic" w:hAnsi="MS PGothic"/>
          <w:sz w:val="16"/>
          <w:szCs w:val="16"/>
          <w:color w:val="auto"/>
        </w:rPr>
      </w:pPr>
    </w:p>
    <w:p>
      <w:pPr>
        <w:ind w:left="331" w:hanging="331"/>
        <w:spacing w:after="0"/>
        <w:tabs>
          <w:tab w:leader="none" w:pos="331"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3978" w:lineRule="exact"/>
        <w:rPr>
          <w:sz w:val="20"/>
          <w:szCs w:val="20"/>
          <w:color w:val="auto"/>
        </w:rPr>
      </w:pPr>
    </w:p>
    <w:p>
      <w:pPr>
        <w:sectPr>
          <w:pgSz w:w="11900" w:h="16838" w:orient="portrait"/>
          <w:cols w:equalWidth="0" w:num="2">
            <w:col w:w="5720" w:space="229"/>
            <w:col w:w="5071"/>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 See chapter 19 for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i w:val="1"/>
          <w:iCs w:val="1"/>
          <w:color w:val="auto"/>
        </w:rPr>
        <w:t>31 January 2020</w:t>
      </w:r>
      <w:r>
        <w:rPr>
          <w:sz w:val="20"/>
          <w:szCs w:val="20"/>
          <w:color w:val="auto"/>
        </w:rPr>
        <w:tab/>
      </w:r>
      <w:r>
        <w:rPr>
          <w:rFonts w:ascii="Arial" w:cs="Arial" w:eastAsia="Arial" w:hAnsi="Arial"/>
          <w:sz w:val="15"/>
          <w:szCs w:val="15"/>
          <w:color w:val="auto"/>
        </w:rPr>
        <w:t>Page 10</w:t>
      </w:r>
    </w:p>
    <w:p>
      <w:pPr>
        <w:sectPr>
          <w:pgSz w:w="11900" w:h="16838" w:orient="portrait"/>
          <w:cols w:equalWidth="0" w:num="1">
            <w:col w:w="11020"/>
          </w:cols>
          <w:pgMar w:left="440" w:top="270" w:right="4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16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75"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*Does the interest rate include a reference rate, base rate or market rate (e.g. BBSW or CPI)?</w:t>
      </w:r>
    </w:p>
    <w:p>
      <w:pPr>
        <w:spacing w:after="0" w:line="62" w:lineRule="exact"/>
        <w:rPr>
          <w:sz w:val="20"/>
          <w:szCs w:val="20"/>
          <w:color w:val="auto"/>
        </w:rPr>
      </w:pPr>
    </w:p>
    <w:p>
      <w:pPr>
        <w:ind w:left="460" w:right="280"/>
        <w:spacing w:after="0" w:line="397" w:lineRule="auto"/>
        <w:rPr>
          <w:sz w:val="20"/>
          <w:szCs w:val="20"/>
          <w:color w:val="auto"/>
        </w:rPr>
      </w:pPr>
      <w:r>
        <w:rPr>
          <w:rFonts w:ascii="Arial" w:cs="Arial" w:eastAsia="Arial" w:hAnsi="Arial"/>
          <w:sz w:val="17"/>
          <w:szCs w:val="17"/>
          <w:i w:val="1"/>
          <w:iCs w:val="1"/>
          <w:color w:val="auto"/>
        </w:rPr>
        <w:t xml:space="preserve">Answer this question if the interest rate type is floating or indexed. </w:t>
      </w:r>
      <w:r>
        <w:rPr>
          <w:rFonts w:ascii="Arial" w:cs="Arial" w:eastAsia="Arial" w:hAnsi="Arial"/>
          <w:sz w:val="17"/>
          <w:szCs w:val="17"/>
          <w:color w:val="auto"/>
        </w:rPr>
        <w:t>*What is the reference rate, base rate or market rate?</w:t>
      </w:r>
    </w:p>
    <w:p>
      <w:pPr>
        <w:spacing w:after="0" w:line="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i w:val="1"/>
          <w:iCs w:val="1"/>
          <w:color w:val="auto"/>
        </w:rPr>
        <w:t>Answer this question if the interest rate type is floating or indexed and your response to the previous question is “Yes”.</w:t>
      </w:r>
    </w:p>
    <w:p>
      <w:pPr>
        <w:spacing w:after="0" w:line="6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*Does the interest rate include a margin above the reference rate, base rate or market rate?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Answer this question if the interest rate type is floating or indexed.</w:t>
      </w:r>
    </w:p>
    <w:p>
      <w:pPr>
        <w:spacing w:after="0" w:line="129"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*What is the margin above the reference rate, base rate or market rate (expressed as a percent per annum)</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i w:val="1"/>
          <w:iCs w:val="1"/>
          <w:color w:val="auto"/>
        </w:rPr>
        <w:t>Answer this question if the interest rate type is floating or indexed and your response to the previous question is “Yes”.</w:t>
      </w:r>
    </w:p>
    <w:p>
      <w:pPr>
        <w:spacing w:after="0" w:line="62"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*S128F of the Income Tax Assessment Act status applicable to the +security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 one item from the list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1" w:hanging="331"/>
        <w:spacing w:after="0"/>
        <w:tabs>
          <w:tab w:leader="none" w:pos="331"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s128F exempt</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Not s128F exempt</w:t>
      </w:r>
    </w:p>
    <w:p>
      <w:pPr>
        <w:spacing w:after="0" w:line="477" w:lineRule="exact"/>
        <w:rPr>
          <w:sz w:val="20"/>
          <w:szCs w:val="20"/>
          <w:color w:val="auto"/>
        </w:rPr>
      </w:pPr>
    </w:p>
    <w:p>
      <w:pPr>
        <w:sectPr>
          <w:pgSz w:w="11900" w:h="16838" w:orient="portrait"/>
          <w:cols w:equalWidth="0" w:num="2">
            <w:col w:w="5520" w:space="429"/>
            <w:col w:w="5071"/>
          </w:cols>
          <w:pgMar w:left="440" w:top="270" w:right="439" w:bottom="1440" w:gutter="0" w:footer="0" w:header="0"/>
          <w:type w:val="continuous"/>
        </w:sectPr>
      </w:pPr>
    </w:p>
    <w:p>
      <w:pPr>
        <w:ind w:left="460"/>
        <w:spacing w:after="0" w:line="286" w:lineRule="auto"/>
        <w:rPr>
          <w:sz w:val="20"/>
          <w:szCs w:val="20"/>
          <w:color w:val="auto"/>
        </w:rPr>
      </w:pPr>
      <w:r>
        <w:rPr>
          <w:rFonts w:ascii="Arial" w:cs="Arial" w:eastAsia="Arial" w:hAnsi="Arial"/>
          <w:sz w:val="17"/>
          <w:szCs w:val="17"/>
          <w:i w:val="1"/>
          <w:iCs w:val="1"/>
          <w:color w:val="auto"/>
        </w:rPr>
        <w:t>For financial products which are likely to give rise to a payment to which s128F of the Income Tax Assessment Act applies, ASX requests issuers to confirm the s128F status of the security:</w:t>
      </w:r>
    </w:p>
    <w:p>
      <w:pPr>
        <w:spacing w:after="0" w:line="57" w:lineRule="exact"/>
        <w:rPr>
          <w:sz w:val="20"/>
          <w:szCs w:val="20"/>
          <w:color w:val="auto"/>
        </w:rPr>
      </w:pPr>
    </w:p>
    <w:p>
      <w:pPr>
        <w:ind w:left="820" w:right="340" w:hanging="365"/>
        <w:spacing w:after="0" w:line="277" w:lineRule="auto"/>
        <w:tabs>
          <w:tab w:leader="none" w:pos="80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“s128F exempt” means interest payments are not taxable to non-residents;</w:t>
      </w:r>
    </w:p>
    <w:p>
      <w:pPr>
        <w:spacing w:after="0" w:line="62" w:lineRule="exact"/>
        <w:rPr>
          <w:rFonts w:ascii="Arial" w:cs="Arial" w:eastAsia="Arial" w:hAnsi="Arial"/>
          <w:sz w:val="18"/>
          <w:szCs w:val="18"/>
          <w:i w:val="1"/>
          <w:iCs w:val="1"/>
          <w:color w:val="auto"/>
        </w:rPr>
      </w:pPr>
    </w:p>
    <w:p>
      <w:pPr>
        <w:ind w:left="820" w:right="300" w:hanging="365"/>
        <w:spacing w:after="0" w:line="277" w:lineRule="auto"/>
        <w:tabs>
          <w:tab w:leader="none" w:pos="80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“Not s128F exempt” means interest payments are taxable to non-residents;</w:t>
      </w:r>
    </w:p>
    <w:p>
      <w:pPr>
        <w:spacing w:after="0" w:line="62" w:lineRule="exact"/>
        <w:rPr>
          <w:rFonts w:ascii="Arial" w:cs="Arial" w:eastAsia="Arial" w:hAnsi="Arial"/>
          <w:sz w:val="18"/>
          <w:szCs w:val="18"/>
          <w:i w:val="1"/>
          <w:iCs w:val="1"/>
          <w:color w:val="auto"/>
        </w:rPr>
      </w:pPr>
    </w:p>
    <w:p>
      <w:pPr>
        <w:ind w:left="820" w:right="120" w:hanging="365"/>
        <w:spacing w:after="0" w:line="277" w:lineRule="auto"/>
        <w:tabs>
          <w:tab w:leader="none" w:pos="80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“s128F exemption status unknown” means the issuer is unable to advise the status;</w:t>
      </w:r>
    </w:p>
    <w:p>
      <w:pPr>
        <w:spacing w:after="0" w:line="62" w:lineRule="exact"/>
        <w:rPr>
          <w:rFonts w:ascii="Arial" w:cs="Arial" w:eastAsia="Arial" w:hAnsi="Arial"/>
          <w:sz w:val="18"/>
          <w:szCs w:val="18"/>
          <w:i w:val="1"/>
          <w:iCs w:val="1"/>
          <w:color w:val="auto"/>
        </w:rPr>
      </w:pPr>
    </w:p>
    <w:p>
      <w:pPr>
        <w:ind w:left="800" w:hanging="345"/>
        <w:spacing w:after="0"/>
        <w:tabs>
          <w:tab w:leader="none" w:pos="80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“Not applicable” means s128F is not applicable to this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the +security perpetual (i.e. no maturity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Answer this question if the security is not perpetual</w:t>
      </w:r>
    </w:p>
    <w:p>
      <w:pPr>
        <w:spacing w:after="0" w:line="20" w:lineRule="exact"/>
        <w:rPr>
          <w:sz w:val="20"/>
          <w:szCs w:val="20"/>
          <w:color w:val="auto"/>
        </w:rPr>
      </w:pPr>
      <w:r>
        <w:rPr>
          <w:sz w:val="20"/>
          <w:szCs w:val="20"/>
          <w:color w:val="auto"/>
        </w:rPr>
        <w:br w:type="column"/>
      </w:r>
    </w:p>
    <w:p>
      <w:pPr>
        <w:ind w:left="331" w:hanging="331"/>
        <w:spacing w:after="0"/>
        <w:tabs>
          <w:tab w:leader="none" w:pos="331" w:val="left"/>
        </w:tabs>
        <w:numPr>
          <w:ilvl w:val="0"/>
          <w:numId w:val="13"/>
        </w:numPr>
        <w:rPr>
          <w:rFonts w:ascii="MS PGothic" w:cs="MS PGothic" w:eastAsia="MS PGothic" w:hAnsi="MS PGothic"/>
          <w:sz w:val="16"/>
          <w:szCs w:val="16"/>
          <w:color w:val="auto"/>
        </w:rPr>
      </w:pPr>
      <w:r>
        <w:rPr>
          <w:rFonts w:ascii="Arial" w:cs="Arial" w:eastAsia="Arial" w:hAnsi="Arial"/>
          <w:sz w:val="16"/>
          <w:szCs w:val="16"/>
          <w:color w:val="auto"/>
        </w:rPr>
        <w:t>s128F exemption status unknown</w:t>
      </w:r>
    </w:p>
    <w:p>
      <w:pPr>
        <w:spacing w:after="0" w:line="153" w:lineRule="exact"/>
        <w:rPr>
          <w:rFonts w:ascii="MS PGothic" w:cs="MS PGothic" w:eastAsia="MS PGothic" w:hAnsi="MS PGothic"/>
          <w:sz w:val="16"/>
          <w:szCs w:val="16"/>
          <w:color w:val="auto"/>
        </w:rPr>
      </w:pPr>
    </w:p>
    <w:p>
      <w:pPr>
        <w:ind w:left="331" w:hanging="331"/>
        <w:spacing w:after="0"/>
        <w:tabs>
          <w:tab w:leader="none" w:pos="331"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Not applicable</w:t>
      </w:r>
    </w:p>
    <w:p>
      <w:pPr>
        <w:spacing w:after="0" w:line="3181" w:lineRule="exact"/>
        <w:rPr>
          <w:sz w:val="20"/>
          <w:szCs w:val="20"/>
          <w:color w:val="auto"/>
        </w:rPr>
      </w:pPr>
    </w:p>
    <w:p>
      <w:pPr>
        <w:sectPr>
          <w:pgSz w:w="11900" w:h="16838" w:orient="portrait"/>
          <w:cols w:equalWidth="0" w:num="2">
            <w:col w:w="5460" w:space="489"/>
            <w:col w:w="5071"/>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 See chapter 19 for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i w:val="1"/>
          <w:iCs w:val="1"/>
          <w:color w:val="auto"/>
        </w:rPr>
        <w:t>31 January 2020</w:t>
      </w:r>
      <w:r>
        <w:rPr>
          <w:sz w:val="20"/>
          <w:szCs w:val="20"/>
          <w:color w:val="auto"/>
        </w:rPr>
        <w:tab/>
      </w:r>
      <w:r>
        <w:rPr>
          <w:rFonts w:ascii="Arial" w:cs="Arial" w:eastAsia="Arial" w:hAnsi="Arial"/>
          <w:sz w:val="15"/>
          <w:szCs w:val="15"/>
          <w:color w:val="auto"/>
        </w:rPr>
        <w:t>Page 11</w:t>
      </w:r>
    </w:p>
    <w:p>
      <w:pPr>
        <w:sectPr>
          <w:pgSz w:w="11900" w:h="16838" w:orient="portrait"/>
          <w:cols w:equalWidth="0" w:num="1">
            <w:col w:w="11020"/>
          </w:cols>
          <w:pgMar w:left="440" w:top="270" w:right="4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16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 other features applicable to the +security</w:t>
      </w:r>
    </w:p>
    <w:p>
      <w:pPr>
        <w:spacing w:after="0" w:line="200" w:lineRule="exact"/>
        <w:rPr>
          <w:sz w:val="20"/>
          <w:szCs w:val="20"/>
          <w:color w:val="auto"/>
        </w:rPr>
      </w:pPr>
    </w:p>
    <w:p>
      <w:pPr>
        <w:spacing w:after="0" w:line="268" w:lineRule="exact"/>
        <w:rPr>
          <w:sz w:val="20"/>
          <w:szCs w:val="20"/>
          <w:color w:val="auto"/>
        </w:rPr>
      </w:pPr>
    </w:p>
    <w:p>
      <w:pPr>
        <w:jc w:val="both"/>
        <w:ind w:left="460" w:right="80"/>
        <w:spacing w:after="0" w:line="286" w:lineRule="auto"/>
        <w:rPr>
          <w:sz w:val="20"/>
          <w:szCs w:val="20"/>
          <w:color w:val="auto"/>
        </w:rPr>
      </w:pPr>
      <w:r>
        <w:rPr>
          <w:rFonts w:ascii="Arial" w:cs="Arial" w:eastAsia="Arial" w:hAnsi="Arial"/>
          <w:sz w:val="17"/>
          <w:szCs w:val="17"/>
          <w:i w:val="1"/>
          <w:iCs w:val="1"/>
          <w:color w:val="auto"/>
        </w:rPr>
        <w:t>Up to 4 features can be selected. Further information is available in the Guide to the Naming Conventions and Security Descriptions for ASX Quoted Debt and Hybrid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0" w:right="620"/>
        <w:spacing w:after="0" w:line="342" w:lineRule="auto"/>
        <w:rPr>
          <w:sz w:val="20"/>
          <w:szCs w:val="20"/>
          <w:color w:val="auto"/>
        </w:rPr>
      </w:pPr>
      <w:r>
        <w:rPr>
          <w:rFonts w:ascii="Arial" w:cs="Arial" w:eastAsia="Arial" w:hAnsi="Arial"/>
          <w:sz w:val="16"/>
          <w:szCs w:val="16"/>
          <w:color w:val="auto"/>
        </w:rPr>
        <w:t>*Is there a first trigger date on which a right of conversion, redemption, call or put can be exercised (whichever is first)?</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yes, what is the first trigger date</w:t>
      </w:r>
    </w:p>
    <w:p>
      <w:pPr>
        <w:spacing w:after="0" w:line="117"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Answer this question if your response to the previous question is “Yes”.</w:t>
      </w:r>
    </w:p>
    <w:p>
      <w:pPr>
        <w:spacing w:after="0" w:line="62" w:lineRule="exact"/>
        <w:rPr>
          <w:sz w:val="20"/>
          <w:szCs w:val="20"/>
          <w:color w:val="auto"/>
        </w:rPr>
      </w:pPr>
    </w:p>
    <w:p>
      <w:pPr>
        <w:ind w:left="460"/>
        <w:spacing w:after="0" w:line="311" w:lineRule="auto"/>
        <w:rPr>
          <w:sz w:val="20"/>
          <w:szCs w:val="20"/>
          <w:color w:val="auto"/>
        </w:rPr>
      </w:pPr>
      <w:r>
        <w:rPr>
          <w:rFonts w:ascii="Arial" w:cs="Arial" w:eastAsia="Arial" w:hAnsi="Arial"/>
          <w:sz w:val="16"/>
          <w:szCs w:val="16"/>
          <w:color w:val="auto"/>
        </w:rPr>
        <w:t>Details of the number and type of +security (including its ASX security code if the +security is quoted on ASX) that will be issued if the +securities to be quoted are converted, transformed or exchanged</w:t>
      </w:r>
    </w:p>
    <w:p>
      <w:pPr>
        <w:spacing w:after="0" w:line="41" w:lineRule="exact"/>
        <w:rPr>
          <w:sz w:val="20"/>
          <w:szCs w:val="20"/>
          <w:color w:val="auto"/>
        </w:rPr>
      </w:pPr>
    </w:p>
    <w:p>
      <w:pPr>
        <w:jc w:val="both"/>
        <w:ind w:left="460" w:right="200"/>
        <w:spacing w:after="0" w:line="308" w:lineRule="auto"/>
        <w:rPr>
          <w:sz w:val="20"/>
          <w:szCs w:val="20"/>
          <w:color w:val="auto"/>
        </w:rPr>
      </w:pPr>
      <w:r>
        <w:rPr>
          <w:rFonts w:ascii="Arial" w:cs="Arial" w:eastAsia="Arial" w:hAnsi="Arial"/>
          <w:sz w:val="17"/>
          <w:szCs w:val="17"/>
          <w:i w:val="1"/>
          <w:iCs w:val="1"/>
          <w:color w:val="auto"/>
        </w:rPr>
        <w:t>Answer this question if the security features include “converting”, “convertible”, “transformable” or “exchangeable”.</w:t>
      </w:r>
    </w:p>
    <w:p>
      <w:pPr>
        <w:spacing w:after="0" w:line="38" w:lineRule="exact"/>
        <w:rPr>
          <w:sz w:val="20"/>
          <w:szCs w:val="20"/>
          <w:color w:val="auto"/>
        </w:rPr>
      </w:pPr>
    </w:p>
    <w:p>
      <w:pPr>
        <w:jc w:val="both"/>
        <w:ind w:left="460" w:right="200"/>
        <w:spacing w:after="0" w:line="263" w:lineRule="auto"/>
        <w:rPr>
          <w:sz w:val="20"/>
          <w:szCs w:val="20"/>
          <w:color w:val="auto"/>
        </w:rPr>
      </w:pPr>
      <w:r>
        <w:rPr>
          <w:rFonts w:ascii="Arial" w:cs="Arial" w:eastAsia="Arial" w:hAnsi="Arial"/>
          <w:sz w:val="18"/>
          <w:szCs w:val="18"/>
          <w:i w:val="1"/>
          <w:iCs w:val="1"/>
          <w:color w:val="auto"/>
        </w:rPr>
        <w:t>For example, if the security can be converted into 1,000 fully paid ordinary shares with ASX security code ABC, please insert “1,000 fully paid ordinary shares (ASX:ABC)”.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Simple</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Subordinated</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Secured</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Converting</w:t>
      </w:r>
    </w:p>
    <w:p>
      <w:pPr>
        <w:spacing w:after="0" w:line="211"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Convertible</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Transformable</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Exchangeable</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Cumulative</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Non-Cumulative</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Redeemable</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Extendable</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Reset</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Step-Down</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Step-Up</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Stapled</w:t>
      </w:r>
    </w:p>
    <w:p>
      <w:pPr>
        <w:spacing w:after="0" w:line="117" w:lineRule="exact"/>
        <w:rPr>
          <w:rFonts w:ascii="MS PGothic" w:cs="MS PGothic" w:eastAsia="MS PGothic" w:hAnsi="MS PGothic"/>
          <w:sz w:val="18"/>
          <w:szCs w:val="18"/>
          <w:color w:val="auto"/>
        </w:rPr>
      </w:pPr>
    </w:p>
    <w:p>
      <w:pPr>
        <w:ind w:left="331" w:hanging="331"/>
        <w:spacing w:after="0"/>
        <w:tabs>
          <w:tab w:leader="none" w:pos="331" w:val="left"/>
        </w:tabs>
        <w:numPr>
          <w:ilvl w:val="0"/>
          <w:numId w:val="14"/>
        </w:numPr>
        <w:rPr>
          <w:rFonts w:ascii="MS PGothic" w:cs="MS PGothic" w:eastAsia="MS PGothic" w:hAnsi="MS PGothic"/>
          <w:sz w:val="16"/>
          <w:szCs w:val="16"/>
          <w:color w:val="auto"/>
        </w:rPr>
      </w:pPr>
      <w:r>
        <w:rPr>
          <w:rFonts w:ascii="Arial" w:cs="Arial" w:eastAsia="Arial" w:hAnsi="Arial"/>
          <w:sz w:val="16"/>
          <w:szCs w:val="16"/>
          <w:color w:val="auto"/>
        </w:rPr>
        <w:t>None of the above</w:t>
      </w:r>
    </w:p>
    <w:p>
      <w:pPr>
        <w:spacing w:after="0" w:line="3704" w:lineRule="exact"/>
        <w:rPr>
          <w:sz w:val="20"/>
          <w:szCs w:val="20"/>
          <w:color w:val="auto"/>
        </w:rPr>
      </w:pPr>
    </w:p>
    <w:p>
      <w:pPr>
        <w:sectPr>
          <w:pgSz w:w="11900" w:h="16838" w:orient="portrait"/>
          <w:cols w:equalWidth="0" w:num="2">
            <w:col w:w="5440" w:space="509"/>
            <w:col w:w="5071"/>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Part 4 – Issue details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Question</w:t>
            </w:r>
          </w:p>
        </w:tc>
        <w:tc>
          <w:tcPr>
            <w:tcW w:w="528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Question</w:t>
            </w:r>
          </w:p>
        </w:tc>
        <w:tc>
          <w:tcPr>
            <w:tcW w:w="500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Answer</w:t>
            </w:r>
          </w:p>
        </w:tc>
        <w:tc>
          <w:tcPr>
            <w:tcW w:w="0" w:type="dxa"/>
            <w:vAlign w:val="bottom"/>
          </w:tcPr>
          <w:p>
            <w:pPr>
              <w:spacing w:after="0"/>
              <w:rPr>
                <w:sz w:val="1"/>
                <w:szCs w:val="1"/>
                <w:color w:val="auto"/>
              </w:rPr>
            </w:pPr>
          </w:p>
        </w:tc>
      </w:tr>
      <w:tr>
        <w:trPr>
          <w:trHeight w:val="19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5280" w:type="dxa"/>
            <w:vAlign w:val="bottom"/>
            <w:gridSpan w:val="2"/>
            <w:vMerge w:val="continue"/>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4.1</w:t>
            </w:r>
          </w:p>
        </w:tc>
        <w:tc>
          <w:tcPr>
            <w:tcW w:w="540" w:type="dxa"/>
            <w:vAlign w:val="bottom"/>
          </w:tcPr>
          <w:p>
            <w:pPr>
              <w:spacing w:after="0"/>
              <w:rPr>
                <w:sz w:val="18"/>
                <w:szCs w:val="18"/>
                <w:color w:val="auto"/>
              </w:rPr>
            </w:pP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*Have the +securities to be quoted been issued yet?</w:t>
            </w:r>
          </w:p>
        </w:tc>
        <w:tc>
          <w:tcPr>
            <w:tcW w:w="22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4.1a</w:t>
            </w:r>
          </w:p>
        </w:tc>
        <w:tc>
          <w:tcPr>
            <w:tcW w:w="5280" w:type="dxa"/>
            <w:vAlign w:val="bottom"/>
            <w:gridSpan w:val="2"/>
          </w:tcPr>
          <w:p>
            <w:pPr>
              <w:spacing w:after="0"/>
              <w:rPr>
                <w:sz w:val="20"/>
                <w:szCs w:val="20"/>
                <w:color w:val="auto"/>
              </w:rPr>
            </w:pPr>
            <w:r>
              <w:rPr>
                <w:rFonts w:ascii="Arial" w:cs="Arial" w:eastAsia="Arial" w:hAnsi="Arial"/>
                <w:sz w:val="18"/>
                <w:szCs w:val="18"/>
                <w:color w:val="auto"/>
              </w:rPr>
              <w:t>*What was their date of issue?</w:t>
            </w:r>
          </w:p>
        </w:tc>
        <w:tc>
          <w:tcPr>
            <w:tcW w:w="5000" w:type="dxa"/>
            <w:vAlign w:val="bottom"/>
            <w:gridSpan w:val="2"/>
          </w:tcPr>
          <w:p>
            <w:pPr>
              <w:spacing w:after="0"/>
              <w:rPr>
                <w:sz w:val="20"/>
                <w:szCs w:val="20"/>
                <w:color w:val="auto"/>
              </w:rPr>
            </w:pPr>
            <w:r>
              <w:rPr>
                <w:rFonts w:ascii="Arial" w:cs="Arial" w:eastAsia="Arial" w:hAnsi="Arial"/>
                <w:sz w:val="18"/>
                <w:szCs w:val="18"/>
                <w:color w:val="auto"/>
              </w:rPr>
              <w:t>4 March 2021</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Answer this question if your response to Q4.1 is “Yes”.</w:t>
            </w: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4.1b</w:t>
            </w:r>
          </w:p>
        </w:tc>
        <w:tc>
          <w:tcPr>
            <w:tcW w:w="5280" w:type="dxa"/>
            <w:vAlign w:val="bottom"/>
            <w:gridSpan w:val="2"/>
          </w:tcPr>
          <w:p>
            <w:pPr>
              <w:spacing w:after="0"/>
              <w:rPr>
                <w:sz w:val="20"/>
                <w:szCs w:val="20"/>
                <w:color w:val="auto"/>
              </w:rPr>
            </w:pPr>
            <w:r>
              <w:rPr>
                <w:rFonts w:ascii="Arial" w:cs="Arial" w:eastAsia="Arial" w:hAnsi="Arial"/>
                <w:sz w:val="18"/>
                <w:szCs w:val="18"/>
                <w:color w:val="auto"/>
              </w:rPr>
              <w:t>*What is their proposed date of issue?</w:t>
            </w:r>
          </w:p>
        </w:tc>
        <w:tc>
          <w:tcPr>
            <w:tcW w:w="500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Answer this question if your response to Q4.1 is “No”.</w:t>
            </w: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4.2</w:t>
            </w:r>
          </w:p>
        </w:tc>
        <w:tc>
          <w:tcPr>
            <w:tcW w:w="5280" w:type="dxa"/>
            <w:vAlign w:val="bottom"/>
            <w:gridSpan w:val="2"/>
          </w:tcPr>
          <w:p>
            <w:pPr>
              <w:spacing w:after="0"/>
              <w:rPr>
                <w:sz w:val="20"/>
                <w:szCs w:val="20"/>
                <w:color w:val="auto"/>
              </w:rPr>
            </w:pPr>
            <w:r>
              <w:rPr>
                <w:rFonts w:ascii="Arial" w:cs="Arial" w:eastAsia="Arial" w:hAnsi="Arial"/>
                <w:sz w:val="18"/>
                <w:szCs w:val="18"/>
                <w:color w:val="auto"/>
              </w:rPr>
              <w:t>*Are the +securities to be quoted being issued for a cash</w:t>
            </w:r>
          </w:p>
        </w:tc>
        <w:tc>
          <w:tcPr>
            <w:tcW w:w="5000" w:type="dxa"/>
            <w:vAlign w:val="bottom"/>
            <w:gridSpan w:val="2"/>
          </w:tcPr>
          <w:p>
            <w:pP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consideration?</w:t>
            </w:r>
          </w:p>
        </w:tc>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w w:val="99"/>
              </w:rPr>
              <w:t>If the securities are being issued for nil cash consideration, answer</w:t>
            </w: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this question “No”.</w:t>
            </w:r>
          </w:p>
        </w:tc>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040" w:type="dxa"/>
            <w:vAlign w:val="bottom"/>
            <w:tcBorders>
              <w:bottom w:val="single" w:sz="8" w:color="auto"/>
            </w:tcBorders>
            <w:gridSpan w:val="4"/>
          </w:tcPr>
          <w:p>
            <w:pPr>
              <w:spacing w:after="0"/>
              <w:rPr>
                <w:sz w:val="12"/>
                <w:szCs w:val="12"/>
                <w:color w:val="auto"/>
              </w:rPr>
            </w:pPr>
          </w:p>
        </w:tc>
        <w:tc>
          <w:tcPr>
            <w:tcW w:w="49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40" w:type="dxa"/>
            <w:vAlign w:val="bottom"/>
            <w:gridSpan w:val="4"/>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40" w:type="dxa"/>
            <w:vAlign w:val="bottom"/>
            <w:gridSpan w:val="4"/>
          </w:tcPr>
          <w:p>
            <w:pPr>
              <w:spacing w:after="0"/>
              <w:rPr>
                <w:sz w:val="20"/>
                <w:szCs w:val="20"/>
                <w:color w:val="auto"/>
              </w:rPr>
            </w:pPr>
            <w:r>
              <w:rPr>
                <w:rFonts w:ascii="Arial" w:cs="Arial" w:eastAsia="Arial" w:hAnsi="Arial"/>
                <w:sz w:val="18"/>
                <w:szCs w:val="18"/>
                <w:i w:val="1"/>
                <w:iCs w:val="1"/>
                <w:color w:val="auto"/>
              </w:rPr>
              <w:t>31 January 2020</w:t>
            </w:r>
          </w:p>
        </w:tc>
        <w:tc>
          <w:tcPr>
            <w:tcW w:w="5000" w:type="dxa"/>
            <w:vAlign w:val="bottom"/>
            <w:gridSpan w:val="2"/>
          </w:tcPr>
          <w:p>
            <w:pPr>
              <w:ind w:left="4400"/>
              <w:spacing w:after="0"/>
              <w:rPr>
                <w:sz w:val="20"/>
                <w:szCs w:val="20"/>
                <w:color w:val="auto"/>
              </w:rPr>
            </w:pPr>
            <w:r>
              <w:rPr>
                <w:rFonts w:ascii="Arial" w:cs="Arial" w:eastAsia="Arial" w:hAnsi="Arial"/>
                <w:sz w:val="18"/>
                <w:szCs w:val="18"/>
                <w:color w:val="auto"/>
                <w:w w:val="86"/>
              </w:rPr>
              <w:t>Page 12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18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4.2a</w:t>
            </w:r>
          </w:p>
        </w:tc>
        <w:tc>
          <w:tcPr>
            <w:tcW w:w="5400" w:type="dxa"/>
            <w:vAlign w:val="bottom"/>
          </w:tcPr>
          <w:p>
            <w:pPr>
              <w:ind w:left="120"/>
              <w:spacing w:after="0"/>
              <w:rPr>
                <w:sz w:val="20"/>
                <w:szCs w:val="20"/>
                <w:color w:val="auto"/>
              </w:rPr>
            </w:pPr>
            <w:r>
              <w:rPr>
                <w:rFonts w:ascii="Arial" w:cs="Arial" w:eastAsia="Arial" w:hAnsi="Arial"/>
                <w:sz w:val="18"/>
                <w:szCs w:val="18"/>
                <w:color w:val="auto"/>
              </w:rPr>
              <w:t>*In what currency is the cash consideration being paid</w:t>
            </w:r>
          </w:p>
        </w:tc>
        <w:tc>
          <w:tcPr>
            <w:tcW w:w="51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10"/>
        </w:trPr>
        <w:tc>
          <w:tcPr>
            <w:tcW w:w="44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i w:val="1"/>
                <w:iCs w:val="1"/>
                <w:color w:val="auto"/>
                <w:w w:val="97"/>
              </w:rPr>
              <w:t>For example, if the consideration is being paid in Australian Dollars,</w:t>
            </w:r>
          </w:p>
        </w:tc>
        <w:tc>
          <w:tcPr>
            <w:tcW w:w="5180" w:type="dxa"/>
            <w:vAlign w:val="bottom"/>
          </w:tcPr>
          <w:p>
            <w:pPr>
              <w:spacing w:after="0"/>
              <w:rPr>
                <w:sz w:val="24"/>
                <w:szCs w:val="24"/>
                <w:color w:val="auto"/>
              </w:rPr>
            </w:pPr>
          </w:p>
        </w:tc>
      </w:tr>
      <w:tr>
        <w:trPr>
          <w:trHeight w:val="230"/>
        </w:trPr>
        <w:tc>
          <w:tcPr>
            <w:tcW w:w="44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i w:val="1"/>
                <w:iCs w:val="1"/>
                <w:color w:val="auto"/>
              </w:rPr>
              <w:t>state AUD.</w:t>
            </w:r>
          </w:p>
        </w:tc>
        <w:tc>
          <w:tcPr>
            <w:tcW w:w="5180" w:type="dxa"/>
            <w:vAlign w:val="bottom"/>
          </w:tcPr>
          <w:p>
            <w:pPr>
              <w:spacing w:after="0"/>
              <w:rPr>
                <w:sz w:val="20"/>
                <w:szCs w:val="20"/>
                <w:color w:val="auto"/>
              </w:rPr>
            </w:pPr>
          </w:p>
        </w:tc>
      </w:tr>
      <w:tr>
        <w:trPr>
          <w:trHeight w:val="324"/>
        </w:trPr>
        <w:tc>
          <w:tcPr>
            <w:tcW w:w="44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i w:val="1"/>
                <w:iCs w:val="1"/>
                <w:color w:val="auto"/>
              </w:rPr>
              <w:t>Answer this question if your response to Q4.2 is “Yes”.</w:t>
            </w:r>
          </w:p>
        </w:tc>
        <w:tc>
          <w:tcPr>
            <w:tcW w:w="5180" w:type="dxa"/>
            <w:vAlign w:val="bottom"/>
          </w:tcPr>
          <w:p>
            <w:pPr>
              <w:spacing w:after="0"/>
              <w:rPr>
                <w:sz w:val="24"/>
                <w:szCs w:val="24"/>
                <w:color w:val="auto"/>
              </w:rPr>
            </w:pP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4.2b</w:t>
            </w:r>
          </w:p>
        </w:tc>
        <w:tc>
          <w:tcPr>
            <w:tcW w:w="5400" w:type="dxa"/>
            <w:vAlign w:val="bottom"/>
          </w:tcPr>
          <w:p>
            <w:pPr>
              <w:ind w:left="120"/>
              <w:spacing w:after="0"/>
              <w:rPr>
                <w:sz w:val="20"/>
                <w:szCs w:val="20"/>
                <w:color w:val="auto"/>
              </w:rPr>
            </w:pPr>
            <w:r>
              <w:rPr>
                <w:rFonts w:ascii="Arial" w:cs="Arial" w:eastAsia="Arial" w:hAnsi="Arial"/>
                <w:sz w:val="18"/>
                <w:szCs w:val="18"/>
                <w:color w:val="auto"/>
              </w:rPr>
              <w:t>*What is the issue price per +security</w:t>
            </w:r>
          </w:p>
        </w:tc>
        <w:tc>
          <w:tcPr>
            <w:tcW w:w="51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10"/>
        </w:trPr>
        <w:tc>
          <w:tcPr>
            <w:tcW w:w="44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i w:val="1"/>
                <w:iCs w:val="1"/>
                <w:color w:val="auto"/>
                <w:w w:val="92"/>
              </w:rPr>
              <w:t>Answer this question if your response to Q4.2 is “Yes” and by reference</w:t>
            </w:r>
          </w:p>
        </w:tc>
        <w:tc>
          <w:tcPr>
            <w:tcW w:w="5180" w:type="dxa"/>
            <w:vAlign w:val="bottom"/>
          </w:tcPr>
          <w:p>
            <w:pPr>
              <w:spacing w:after="0"/>
              <w:rPr>
                <w:sz w:val="24"/>
                <w:szCs w:val="24"/>
                <w:color w:val="auto"/>
              </w:rPr>
            </w:pPr>
          </w:p>
        </w:tc>
      </w:tr>
      <w:tr>
        <w:trPr>
          <w:trHeight w:val="230"/>
        </w:trPr>
        <w:tc>
          <w:tcPr>
            <w:tcW w:w="44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i w:val="1"/>
                <w:iCs w:val="1"/>
                <w:color w:val="auto"/>
              </w:rPr>
              <w:t>to the issue currency provided in your response to Q4.2a.</w:t>
            </w:r>
          </w:p>
        </w:tc>
        <w:tc>
          <w:tcPr>
            <w:tcW w:w="5180" w:type="dxa"/>
            <w:vAlign w:val="bottom"/>
          </w:tcPr>
          <w:p>
            <w:pPr>
              <w:spacing w:after="0"/>
              <w:rPr>
                <w:sz w:val="20"/>
                <w:szCs w:val="20"/>
                <w:color w:val="auto"/>
              </w:rPr>
            </w:pPr>
          </w:p>
        </w:tc>
      </w:tr>
      <w:tr>
        <w:trPr>
          <w:trHeight w:val="310"/>
        </w:trPr>
        <w:tc>
          <w:tcPr>
            <w:tcW w:w="44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i w:val="1"/>
                <w:iCs w:val="1"/>
                <w:color w:val="auto"/>
                <w:w w:val="97"/>
              </w:rPr>
              <w:t>Note: you cannot enter a nil amount here. If the securities are being</w:t>
            </w:r>
          </w:p>
        </w:tc>
        <w:tc>
          <w:tcPr>
            <w:tcW w:w="518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i w:val="1"/>
                <w:iCs w:val="1"/>
                <w:color w:val="auto"/>
                <w:w w:val="96"/>
              </w:rPr>
              <w:t>issued for nil cash consideration, answer Q4.2 as “No” and complete</w:t>
            </w:r>
          </w:p>
        </w:tc>
        <w:tc>
          <w:tcPr>
            <w:tcW w:w="518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i w:val="1"/>
                <w:iCs w:val="1"/>
                <w:color w:val="auto"/>
              </w:rPr>
              <w:t>Q4.2c and Q4.2d.</w:t>
            </w:r>
          </w:p>
        </w:tc>
        <w:tc>
          <w:tcPr>
            <w:tcW w:w="5180" w:type="dxa"/>
            <w:vAlign w:val="bottom"/>
          </w:tcPr>
          <w:p>
            <w:pPr>
              <w:spacing w:after="0"/>
              <w:rPr>
                <w:sz w:val="20"/>
                <w:szCs w:val="20"/>
                <w:color w:val="auto"/>
              </w:rPr>
            </w:pPr>
          </w:p>
        </w:tc>
      </w:tr>
      <w:tr>
        <w:trPr>
          <w:trHeight w:val="310"/>
        </w:trPr>
        <w:tc>
          <w:tcPr>
            <w:tcW w:w="440" w:type="dxa"/>
            <w:vAlign w:val="bottom"/>
          </w:tcPr>
          <w:p>
            <w:pPr>
              <w:spacing w:after="0"/>
              <w:rPr>
                <w:sz w:val="20"/>
                <w:szCs w:val="20"/>
                <w:color w:val="auto"/>
              </w:rPr>
            </w:pPr>
            <w:r>
              <w:rPr>
                <w:rFonts w:ascii="Arial" w:cs="Arial" w:eastAsia="Arial" w:hAnsi="Arial"/>
                <w:sz w:val="18"/>
                <w:szCs w:val="18"/>
                <w:color w:val="auto"/>
              </w:rPr>
              <w:t>4.2c</w:t>
            </w:r>
          </w:p>
        </w:tc>
        <w:tc>
          <w:tcPr>
            <w:tcW w:w="5400" w:type="dxa"/>
            <w:vAlign w:val="bottom"/>
          </w:tcPr>
          <w:p>
            <w:pPr>
              <w:ind w:left="120"/>
              <w:spacing w:after="0"/>
              <w:rPr>
                <w:sz w:val="20"/>
                <w:szCs w:val="20"/>
                <w:color w:val="auto"/>
              </w:rPr>
            </w:pPr>
            <w:r>
              <w:rPr>
                <w:rFonts w:ascii="Arial" w:cs="Arial" w:eastAsia="Arial" w:hAnsi="Arial"/>
                <w:sz w:val="18"/>
                <w:szCs w:val="18"/>
                <w:color w:val="auto"/>
                <w:w w:val="93"/>
              </w:rPr>
              <w:t>Please describe the consideration being provided for the +securities to</w:t>
            </w:r>
          </w:p>
        </w:tc>
        <w:tc>
          <w:tcPr>
            <w:tcW w:w="5180" w:type="dxa"/>
            <w:vAlign w:val="bottom"/>
          </w:tcPr>
          <w:p>
            <w:pPr>
              <w:ind w:left="100"/>
              <w:spacing w:after="0"/>
              <w:rPr>
                <w:sz w:val="20"/>
                <w:szCs w:val="20"/>
                <w:color w:val="auto"/>
              </w:rPr>
            </w:pPr>
            <w:r>
              <w:rPr>
                <w:rFonts w:ascii="Arial" w:cs="Arial" w:eastAsia="Arial" w:hAnsi="Arial"/>
                <w:sz w:val="18"/>
                <w:szCs w:val="18"/>
                <w:color w:val="auto"/>
              </w:rPr>
              <w:t>Ordinary shares</w:t>
            </w:r>
          </w:p>
        </w:tc>
      </w:tr>
      <w:tr>
        <w:trPr>
          <w:trHeight w:val="230"/>
        </w:trPr>
        <w:tc>
          <w:tcPr>
            <w:tcW w:w="44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be quoted</w:t>
            </w:r>
          </w:p>
        </w:tc>
        <w:tc>
          <w:tcPr>
            <w:tcW w:w="5180" w:type="dxa"/>
            <w:vAlign w:val="bottom"/>
          </w:tcPr>
          <w:p>
            <w:pPr>
              <w:spacing w:after="0"/>
              <w:rPr>
                <w:sz w:val="20"/>
                <w:szCs w:val="20"/>
                <w:color w:val="auto"/>
              </w:rPr>
            </w:pPr>
          </w:p>
        </w:tc>
      </w:tr>
      <w:tr>
        <w:trPr>
          <w:trHeight w:val="324"/>
        </w:trPr>
        <w:tc>
          <w:tcPr>
            <w:tcW w:w="44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i w:val="1"/>
                <w:iCs w:val="1"/>
                <w:color w:val="auto"/>
              </w:rPr>
              <w:t>Answer this question if your response to Q4.2 is “No”.</w:t>
            </w:r>
          </w:p>
        </w:tc>
        <w:tc>
          <w:tcPr>
            <w:tcW w:w="5180" w:type="dxa"/>
            <w:vAlign w:val="bottom"/>
          </w:tcPr>
          <w:p>
            <w:pPr>
              <w:spacing w:after="0"/>
              <w:rPr>
                <w:sz w:val="24"/>
                <w:szCs w:val="24"/>
                <w:color w:val="auto"/>
              </w:rPr>
            </w:pPr>
          </w:p>
        </w:tc>
      </w:tr>
      <w:tr>
        <w:trPr>
          <w:trHeight w:val="310"/>
        </w:trPr>
        <w:tc>
          <w:tcPr>
            <w:tcW w:w="440" w:type="dxa"/>
            <w:vAlign w:val="bottom"/>
          </w:tcPr>
          <w:p>
            <w:pPr>
              <w:spacing w:after="0"/>
              <w:rPr>
                <w:sz w:val="20"/>
                <w:szCs w:val="20"/>
                <w:color w:val="auto"/>
              </w:rPr>
            </w:pPr>
            <w:r>
              <w:rPr>
                <w:rFonts w:ascii="Arial" w:cs="Arial" w:eastAsia="Arial" w:hAnsi="Arial"/>
                <w:sz w:val="18"/>
                <w:szCs w:val="18"/>
                <w:color w:val="auto"/>
              </w:rPr>
              <w:t>4.2d</w:t>
            </w:r>
          </w:p>
        </w:tc>
        <w:tc>
          <w:tcPr>
            <w:tcW w:w="5400" w:type="dxa"/>
            <w:vAlign w:val="bottom"/>
          </w:tcPr>
          <w:p>
            <w:pPr>
              <w:ind w:left="120"/>
              <w:spacing w:after="0"/>
              <w:rPr>
                <w:sz w:val="20"/>
                <w:szCs w:val="20"/>
                <w:color w:val="auto"/>
              </w:rPr>
            </w:pPr>
            <w:r>
              <w:rPr>
                <w:rFonts w:ascii="Arial" w:cs="Arial" w:eastAsia="Arial" w:hAnsi="Arial"/>
                <w:sz w:val="18"/>
                <w:szCs w:val="18"/>
                <w:color w:val="auto"/>
                <w:w w:val="95"/>
              </w:rPr>
              <w:t>Please provide an estimate (in AUD) of the value of the consideration</w:t>
            </w:r>
          </w:p>
        </w:tc>
        <w:tc>
          <w:tcPr>
            <w:tcW w:w="5180" w:type="dxa"/>
            <w:vAlign w:val="bottom"/>
          </w:tcPr>
          <w:p>
            <w:pPr>
              <w:ind w:left="100"/>
              <w:spacing w:after="0"/>
              <w:rPr>
                <w:sz w:val="20"/>
                <w:szCs w:val="20"/>
                <w:color w:val="auto"/>
              </w:rPr>
            </w:pPr>
            <w:r>
              <w:rPr>
                <w:rFonts w:ascii="Arial" w:cs="Arial" w:eastAsia="Arial" w:hAnsi="Arial"/>
                <w:sz w:val="18"/>
                <w:szCs w:val="18"/>
                <w:color w:val="auto"/>
              </w:rPr>
              <w:t>AUD0.48 per Share</w:t>
            </w:r>
          </w:p>
        </w:tc>
      </w:tr>
      <w:tr>
        <w:trPr>
          <w:trHeight w:val="230"/>
        </w:trPr>
        <w:tc>
          <w:tcPr>
            <w:tcW w:w="44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being provided per +security for the +securities to be quoted</w:t>
            </w:r>
          </w:p>
        </w:tc>
        <w:tc>
          <w:tcPr>
            <w:tcW w:w="5180" w:type="dxa"/>
            <w:vAlign w:val="bottom"/>
          </w:tcPr>
          <w:p>
            <w:pPr>
              <w:spacing w:after="0"/>
              <w:rPr>
                <w:sz w:val="20"/>
                <w:szCs w:val="20"/>
                <w:color w:val="auto"/>
              </w:rPr>
            </w:pPr>
          </w:p>
        </w:tc>
      </w:tr>
      <w:tr>
        <w:trPr>
          <w:trHeight w:val="324"/>
        </w:trPr>
        <w:tc>
          <w:tcPr>
            <w:tcW w:w="440" w:type="dxa"/>
            <w:vAlign w:val="bottom"/>
          </w:tcPr>
          <w:p>
            <w:pPr>
              <w:spacing w:after="0"/>
              <w:rPr>
                <w:sz w:val="24"/>
                <w:szCs w:val="24"/>
                <w:color w:val="auto"/>
              </w:rPr>
            </w:pPr>
          </w:p>
        </w:tc>
        <w:tc>
          <w:tcPr>
            <w:tcW w:w="5400" w:type="dxa"/>
            <w:vAlign w:val="bottom"/>
          </w:tcPr>
          <w:p>
            <w:pPr>
              <w:ind w:left="120"/>
              <w:spacing w:after="0"/>
              <w:rPr>
                <w:sz w:val="20"/>
                <w:szCs w:val="20"/>
                <w:color w:val="auto"/>
              </w:rPr>
            </w:pPr>
            <w:r>
              <w:rPr>
                <w:rFonts w:ascii="Arial" w:cs="Arial" w:eastAsia="Arial" w:hAnsi="Arial"/>
                <w:sz w:val="18"/>
                <w:szCs w:val="18"/>
                <w:i w:val="1"/>
                <w:iCs w:val="1"/>
                <w:color w:val="auto"/>
              </w:rPr>
              <w:t>Answer this question if your response to Q4.2 is “No”.</w:t>
            </w:r>
          </w:p>
        </w:tc>
        <w:tc>
          <w:tcPr>
            <w:tcW w:w="5180" w:type="dxa"/>
            <w:vAlign w:val="bottom"/>
          </w:tcPr>
          <w:p>
            <w:pPr>
              <w:spacing w:after="0"/>
              <w:rPr>
                <w:sz w:val="24"/>
                <w:szCs w:val="24"/>
                <w:color w:val="auto"/>
              </w:rPr>
            </w:pPr>
          </w:p>
        </w:tc>
      </w:tr>
      <w:tr>
        <w:trPr>
          <w:trHeight w:val="310"/>
        </w:trPr>
        <w:tc>
          <w:tcPr>
            <w:tcW w:w="440" w:type="dxa"/>
            <w:vAlign w:val="bottom"/>
          </w:tcPr>
          <w:p>
            <w:pPr>
              <w:spacing w:after="0"/>
              <w:rPr>
                <w:sz w:val="20"/>
                <w:szCs w:val="20"/>
                <w:color w:val="auto"/>
              </w:rPr>
            </w:pPr>
            <w:r>
              <w:rPr>
                <w:rFonts w:ascii="Arial" w:cs="Arial" w:eastAsia="Arial" w:hAnsi="Arial"/>
                <w:sz w:val="18"/>
                <w:szCs w:val="18"/>
                <w:color w:val="auto"/>
              </w:rPr>
              <w:t>4.3</w:t>
            </w:r>
          </w:p>
        </w:tc>
        <w:tc>
          <w:tcPr>
            <w:tcW w:w="5400" w:type="dxa"/>
            <w:vAlign w:val="bottom"/>
          </w:tcPr>
          <w:p>
            <w:pPr>
              <w:ind w:left="120"/>
              <w:spacing w:after="0"/>
              <w:rPr>
                <w:sz w:val="20"/>
                <w:szCs w:val="20"/>
                <w:color w:val="auto"/>
              </w:rPr>
            </w:pPr>
            <w:r>
              <w:rPr>
                <w:rFonts w:ascii="Arial" w:cs="Arial" w:eastAsia="Arial" w:hAnsi="Arial"/>
                <w:sz w:val="18"/>
                <w:szCs w:val="18"/>
                <w:color w:val="auto"/>
              </w:rPr>
              <w:t>Any other information the entity wishes to provide about the issue</w:t>
            </w:r>
          </w:p>
        </w:tc>
        <w:tc>
          <w:tcPr>
            <w:tcW w:w="5180" w:type="dxa"/>
            <w:vAlign w:val="bottom"/>
          </w:tcPr>
          <w:p>
            <w:pPr>
              <w:ind w:left="100"/>
              <w:spacing w:after="0"/>
              <w:rPr>
                <w:sz w:val="20"/>
                <w:szCs w:val="20"/>
                <w:color w:val="auto"/>
              </w:rPr>
            </w:pPr>
            <w:r>
              <w:rPr>
                <w:rFonts w:ascii="Arial" w:cs="Arial" w:eastAsia="Arial" w:hAnsi="Arial"/>
                <w:sz w:val="18"/>
                <w:szCs w:val="18"/>
                <w:color w:val="auto"/>
                <w:w w:val="89"/>
              </w:rPr>
              <w:t>Issue of ordinary shares on the exercise of options granted pursuant to</w:t>
            </w:r>
          </w:p>
        </w:tc>
      </w:tr>
      <w:tr>
        <w:trPr>
          <w:trHeight w:val="230"/>
        </w:trPr>
        <w:tc>
          <w:tcPr>
            <w:tcW w:w="4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the Opthea NED Plan and LTIP on a cashless method basis.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 5 – Issued capital following quotation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Following the quotation of the +securities the subject of this application, the issued capital of the entity will comprise: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Note: the figures provided in the tables in sections 5.1 and 5.2 below are used to calculate the total market capitalisation of the entity published by ASX from time to time. Please make sure you include in the relevant table each class of securities issued by the entity.</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If you have quoted CHESS Depository Interests (CDIs) issued over your securities, include them in the table in section 5.1 and include in the table in section 5.2 any securities that do not have CDIs issued over them (and therefore are not quoted on ASX).</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Restricted securities should only be included in the table in section 5.1 if you are applying to have them quoted because the escrow period for the securities has expired or is about to expire. Otherwise include them in the table in section 5.2.</w:t>
      </w:r>
    </w:p>
    <w:p>
      <w:pPr>
        <w:spacing w:after="0" w:line="58" w:lineRule="exact"/>
        <w:rPr>
          <w:sz w:val="20"/>
          <w:szCs w:val="20"/>
          <w:color w:val="auto"/>
        </w:rPr>
      </w:pPr>
    </w:p>
    <w:p>
      <w:pPr>
        <w:ind w:left="560" w:right="220" w:hanging="566"/>
        <w:spacing w:after="0" w:line="282" w:lineRule="auto"/>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Quoted +securities</w:t>
      </w:r>
      <w:r>
        <w:rPr>
          <w:rFonts w:ascii="Arial" w:cs="Arial" w:eastAsia="Arial" w:hAnsi="Arial"/>
          <w:sz w:val="18"/>
          <w:szCs w:val="18"/>
          <w:color w:val="auto"/>
        </w:rPr>
        <w:t xml:space="preserve"> (total number of each +class of +securities quoted on ASX following the +quotation of the +securities the subject of this application)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560"/>
              <w:spacing w:after="0"/>
              <w:rPr>
                <w:sz w:val="20"/>
                <w:szCs w:val="20"/>
                <w:color w:val="auto"/>
              </w:rPr>
            </w:pPr>
            <w:r>
              <w:rPr>
                <w:rFonts w:ascii="Arial" w:cs="Arial" w:eastAsia="Arial" w:hAnsi="Arial"/>
                <w:sz w:val="18"/>
                <w:szCs w:val="18"/>
                <w:color w:val="auto"/>
              </w:rPr>
              <w:t>ASX security code and description</w:t>
            </w:r>
          </w:p>
        </w:tc>
        <w:tc>
          <w:tcPr>
            <w:tcW w:w="6500" w:type="dxa"/>
            <w:vAlign w:val="bottom"/>
          </w:tcPr>
          <w:p>
            <w:pPr>
              <w:ind w:left="1420"/>
              <w:spacing w:after="0"/>
              <w:rPr>
                <w:sz w:val="20"/>
                <w:szCs w:val="20"/>
                <w:color w:val="auto"/>
              </w:rPr>
            </w:pPr>
            <w:r>
              <w:rPr>
                <w:rFonts w:ascii="Arial" w:cs="Arial" w:eastAsia="Arial" w:hAnsi="Arial"/>
                <w:sz w:val="18"/>
                <w:szCs w:val="18"/>
                <w:color w:val="auto"/>
              </w:rPr>
              <w:t>Total number of +securities on issue</w:t>
            </w:r>
          </w:p>
        </w:tc>
      </w:tr>
      <w:tr>
        <w:trPr>
          <w:trHeight w:val="324"/>
        </w:trPr>
        <w:tc>
          <w:tcPr>
            <w:tcW w:w="4520" w:type="dxa"/>
            <w:vAlign w:val="bottom"/>
          </w:tcPr>
          <w:p>
            <w:pPr>
              <w:ind w:left="560"/>
              <w:spacing w:after="0"/>
              <w:rPr>
                <w:sz w:val="20"/>
                <w:szCs w:val="20"/>
                <w:color w:val="auto"/>
              </w:rPr>
            </w:pPr>
            <w:r>
              <w:rPr>
                <w:rFonts w:ascii="Arial" w:cs="Arial" w:eastAsia="Arial" w:hAnsi="Arial"/>
                <w:sz w:val="18"/>
                <w:szCs w:val="18"/>
                <w:color w:val="auto"/>
              </w:rPr>
              <w:t>OPT ordinary shares</w:t>
            </w:r>
          </w:p>
        </w:tc>
        <w:tc>
          <w:tcPr>
            <w:tcW w:w="6500" w:type="dxa"/>
            <w:vAlign w:val="bottom"/>
          </w:tcPr>
          <w:p>
            <w:pPr>
              <w:ind w:left="1420"/>
              <w:spacing w:after="0"/>
              <w:rPr>
                <w:sz w:val="20"/>
                <w:szCs w:val="20"/>
                <w:color w:val="auto"/>
              </w:rPr>
            </w:pPr>
            <w:r>
              <w:rPr>
                <w:rFonts w:ascii="Arial" w:cs="Arial" w:eastAsia="Arial" w:hAnsi="Arial"/>
                <w:sz w:val="18"/>
                <w:szCs w:val="18"/>
                <w:color w:val="auto"/>
              </w:rPr>
              <w:t>342,654,600</w:t>
            </w:r>
          </w:p>
        </w:tc>
      </w:tr>
      <w:tr>
        <w:trPr>
          <w:trHeight w:val="148"/>
        </w:trPr>
        <w:tc>
          <w:tcPr>
            <w:tcW w:w="4520" w:type="dxa"/>
            <w:vAlign w:val="bottom"/>
            <w:tcBorders>
              <w:bottom w:val="single" w:sz="8" w:color="auto"/>
            </w:tcBorders>
          </w:tcPr>
          <w:p>
            <w:pPr>
              <w:spacing w:after="0"/>
              <w:rPr>
                <w:sz w:val="12"/>
                <w:szCs w:val="12"/>
                <w:color w:val="auto"/>
              </w:rPr>
            </w:pPr>
          </w:p>
        </w:tc>
        <w:tc>
          <w:tcPr>
            <w:tcW w:w="6500" w:type="dxa"/>
            <w:vAlign w:val="bottom"/>
            <w:tcBorders>
              <w:bottom w:val="single" w:sz="8" w:color="auto"/>
            </w:tcBorders>
          </w:tcPr>
          <w:p>
            <w:pPr>
              <w:spacing w:after="0"/>
              <w:rPr>
                <w:sz w:val="12"/>
                <w:szCs w:val="12"/>
                <w:color w:val="auto"/>
              </w:rPr>
            </w:pPr>
          </w:p>
        </w:tc>
      </w:tr>
      <w:tr>
        <w:trPr>
          <w:trHeight w:val="195"/>
        </w:trPr>
        <w:tc>
          <w:tcPr>
            <w:tcW w:w="4520" w:type="dxa"/>
            <w:vAlign w:val="bottom"/>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6500" w:type="dxa"/>
            <w:vAlign w:val="bottom"/>
          </w:tcPr>
          <w:p>
            <w:pPr>
              <w:spacing w:after="0"/>
              <w:rPr>
                <w:sz w:val="16"/>
                <w:szCs w:val="16"/>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i w:val="1"/>
                <w:iCs w:val="1"/>
                <w:color w:val="auto"/>
              </w:rPr>
              <w:t>31 January 2020</w:t>
            </w:r>
          </w:p>
        </w:tc>
        <w:tc>
          <w:tcPr>
            <w:tcW w:w="6500" w:type="dxa"/>
            <w:vAlign w:val="bottom"/>
          </w:tcPr>
          <w:p>
            <w:pPr>
              <w:ind w:left="5920"/>
              <w:spacing w:after="0"/>
              <w:rPr>
                <w:sz w:val="20"/>
                <w:szCs w:val="20"/>
                <w:color w:val="auto"/>
              </w:rPr>
            </w:pPr>
            <w:r>
              <w:rPr>
                <w:rFonts w:ascii="Arial" w:cs="Arial" w:eastAsia="Arial" w:hAnsi="Arial"/>
                <w:sz w:val="18"/>
                <w:szCs w:val="18"/>
                <w:color w:val="auto"/>
                <w:w w:val="83"/>
              </w:rPr>
              <w:t>Page 13</w:t>
            </w:r>
          </w:p>
        </w:tc>
      </w:tr>
    </w:tbl>
    <w:p>
      <w:pPr>
        <w:sectPr>
          <w:pgSz w:w="11900" w:h="16838" w:orient="portrait"/>
          <w:cols w:equalWidth="0" w:num="1">
            <w:col w:w="11020"/>
          </w:cols>
          <w:pgMar w:left="440" w:top="270"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16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bl>
    <w:p>
      <w:pPr>
        <w:spacing w:after="0" w:line="17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Unquoted +securities</w:t>
      </w:r>
      <w:r>
        <w:rPr>
          <w:rFonts w:ascii="Arial" w:cs="Arial" w:eastAsia="Arial" w:hAnsi="Arial"/>
          <w:sz w:val="16"/>
          <w:szCs w:val="16"/>
          <w:color w:val="auto"/>
        </w:rPr>
        <w:t xml:space="preserve"> (total number of each +class of +securities issued but not quoted on ASX):</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ASX security code and description</w:t>
            </w:r>
          </w:p>
        </w:tc>
        <w:tc>
          <w:tcPr>
            <w:tcW w:w="3960" w:type="dxa"/>
            <w:vAlign w:val="bottom"/>
          </w:tcPr>
          <w:p>
            <w:pPr>
              <w:ind w:left="1340"/>
              <w:spacing w:after="0"/>
              <w:rPr>
                <w:sz w:val="20"/>
                <w:szCs w:val="20"/>
                <w:color w:val="auto"/>
              </w:rPr>
            </w:pPr>
            <w:r>
              <w:rPr>
                <w:rFonts w:ascii="Arial" w:cs="Arial" w:eastAsia="Arial" w:hAnsi="Arial"/>
                <w:sz w:val="18"/>
                <w:szCs w:val="18"/>
                <w:color w:val="auto"/>
                <w:w w:val="89"/>
              </w:rPr>
              <w:t>Total number of +securities on issue</w:t>
            </w:r>
          </w:p>
        </w:tc>
      </w:tr>
      <w:tr>
        <w:trPr>
          <w:trHeight w:val="324"/>
        </w:trPr>
        <w:tc>
          <w:tcPr>
            <w:tcW w:w="4040" w:type="dxa"/>
            <w:vAlign w:val="bottom"/>
          </w:tcPr>
          <w:p>
            <w:pPr>
              <w:spacing w:after="0"/>
              <w:rPr>
                <w:sz w:val="20"/>
                <w:szCs w:val="20"/>
                <w:color w:val="auto"/>
              </w:rPr>
            </w:pPr>
            <w:r>
              <w:rPr>
                <w:rFonts w:ascii="Arial" w:cs="Arial" w:eastAsia="Arial" w:hAnsi="Arial"/>
                <w:sz w:val="18"/>
                <w:szCs w:val="18"/>
                <w:color w:val="auto"/>
              </w:rPr>
              <w:t>OPTAB: Director unquoted options</w:t>
            </w:r>
          </w:p>
        </w:tc>
        <w:tc>
          <w:tcPr>
            <w:tcW w:w="3960" w:type="dxa"/>
            <w:vAlign w:val="bottom"/>
          </w:tcPr>
          <w:p>
            <w:pPr>
              <w:ind w:left="1340"/>
              <w:spacing w:after="0"/>
              <w:rPr>
                <w:sz w:val="20"/>
                <w:szCs w:val="20"/>
                <w:color w:val="auto"/>
              </w:rPr>
            </w:pPr>
            <w:r>
              <w:rPr>
                <w:rFonts w:ascii="Arial" w:cs="Arial" w:eastAsia="Arial" w:hAnsi="Arial"/>
                <w:sz w:val="18"/>
                <w:szCs w:val="18"/>
                <w:color w:val="auto"/>
              </w:rPr>
              <w:t>13,000,000</w:t>
            </w:r>
          </w:p>
        </w:tc>
      </w:tr>
      <w:tr>
        <w:trPr>
          <w:trHeight w:val="324"/>
        </w:trPr>
        <w:tc>
          <w:tcPr>
            <w:tcW w:w="4040" w:type="dxa"/>
            <w:vAlign w:val="bottom"/>
          </w:tcPr>
          <w:p>
            <w:pPr>
              <w:spacing w:after="0"/>
              <w:rPr>
                <w:sz w:val="20"/>
                <w:szCs w:val="20"/>
                <w:color w:val="auto"/>
              </w:rPr>
            </w:pPr>
            <w:r>
              <w:rPr>
                <w:rFonts w:ascii="Arial" w:cs="Arial" w:eastAsia="Arial" w:hAnsi="Arial"/>
                <w:sz w:val="18"/>
                <w:szCs w:val="18"/>
                <w:color w:val="auto"/>
              </w:rPr>
              <w:t>OPTAB: Employee unquoted options</w:t>
            </w:r>
          </w:p>
        </w:tc>
        <w:tc>
          <w:tcPr>
            <w:tcW w:w="3960" w:type="dxa"/>
            <w:vAlign w:val="bottom"/>
          </w:tcPr>
          <w:p>
            <w:pPr>
              <w:ind w:left="1340"/>
              <w:spacing w:after="0"/>
              <w:rPr>
                <w:sz w:val="20"/>
                <w:szCs w:val="20"/>
                <w:color w:val="auto"/>
              </w:rPr>
            </w:pPr>
            <w:r>
              <w:rPr>
                <w:rFonts w:ascii="Arial" w:cs="Arial" w:eastAsia="Arial" w:hAnsi="Arial"/>
                <w:sz w:val="18"/>
                <w:szCs w:val="18"/>
                <w:color w:val="auto"/>
              </w:rPr>
              <w:t>5,044,000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 6 – Other Listing Rule requirements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The questions in this Part should only be answered if you are an ASX Listing (ASX Foreign Exempt Listings and ASX Debt Listings do not need to complete this Part) and:</w:t>
      </w:r>
    </w:p>
    <w:p>
      <w:pPr>
        <w:spacing w:after="0" w:line="76" w:lineRule="exact"/>
        <w:rPr>
          <w:sz w:val="20"/>
          <w:szCs w:val="20"/>
          <w:color w:val="auto"/>
        </w:rPr>
      </w:pPr>
    </w:p>
    <w:p>
      <w:pPr>
        <w:ind w:left="420" w:hanging="3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your response to Q2.1 is “Being issued under a dividend/distribution plan” and the response to Q2.2b.2 is “No”; or</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your response to Q2.1 is “Other”.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Note that if your response to Q2.1 is “Being issued as part of a transaction or transactions previously announced to the market in an Appendix 3B”, it is assumed that you will have provided the information referred to in this Part in the Appendix 3B.</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Arial" w:cs="Arial" w:eastAsia="Arial" w:hAnsi="Arial"/>
                <w:sz w:val="14"/>
                <w:szCs w:val="14"/>
                <w:b w:val="1"/>
                <w:bCs w:val="1"/>
                <w:color w:val="auto"/>
              </w:rPr>
              <w:t>Question</w:t>
            </w:r>
          </w:p>
        </w:tc>
        <w:tc>
          <w:tcPr>
            <w:tcW w:w="412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Question</w:t>
            </w:r>
          </w:p>
        </w:tc>
        <w:tc>
          <w:tcPr>
            <w:tcW w:w="2840" w:type="dxa"/>
            <w:vAlign w:val="bottom"/>
            <w:vMerge w:val="restart"/>
          </w:tcPr>
          <w:p>
            <w:pPr>
              <w:ind w:left="2360"/>
              <w:spacing w:after="0"/>
              <w:rPr>
                <w:sz w:val="20"/>
                <w:szCs w:val="20"/>
                <w:color w:val="auto"/>
              </w:rPr>
            </w:pPr>
            <w:r>
              <w:rPr>
                <w:rFonts w:ascii="Arial" w:cs="Arial" w:eastAsia="Arial" w:hAnsi="Arial"/>
                <w:sz w:val="14"/>
                <w:szCs w:val="14"/>
                <w:b w:val="1"/>
                <w:bCs w:val="1"/>
                <w:color w:val="auto"/>
                <w:w w:val="90"/>
              </w:rPr>
              <w:t>Answer</w:t>
            </w:r>
          </w:p>
        </w:tc>
        <w:tc>
          <w:tcPr>
            <w:tcW w:w="0" w:type="dxa"/>
            <w:vAlign w:val="bottom"/>
          </w:tcPr>
          <w:p>
            <w:pPr>
              <w:spacing w:after="0"/>
              <w:rPr>
                <w:sz w:val="1"/>
                <w:szCs w:val="1"/>
                <w:color w:val="auto"/>
              </w:rPr>
            </w:pPr>
          </w:p>
        </w:tc>
      </w:tr>
      <w:tr>
        <w:trPr>
          <w:trHeight w:val="186"/>
        </w:trPr>
        <w:tc>
          <w:tcPr>
            <w:tcW w:w="1760" w:type="dxa"/>
            <w:vAlign w:val="bottom"/>
          </w:tcPr>
          <w:p>
            <w:pPr>
              <w:spacing w:after="0"/>
              <w:rPr>
                <w:sz w:val="20"/>
                <w:szCs w:val="20"/>
                <w:color w:val="auto"/>
              </w:rPr>
            </w:pPr>
            <w:r>
              <w:rPr>
                <w:rFonts w:ascii="Arial" w:cs="Arial" w:eastAsia="Arial" w:hAnsi="Arial"/>
                <w:sz w:val="14"/>
                <w:szCs w:val="14"/>
                <w:b w:val="1"/>
                <w:bCs w:val="1"/>
                <w:u w:val="single" w:color="auto"/>
                <w:color w:val="auto"/>
              </w:rPr>
              <w:t>No.</w:t>
            </w:r>
          </w:p>
        </w:tc>
        <w:tc>
          <w:tcPr>
            <w:tcW w:w="4120" w:type="dxa"/>
            <w:vAlign w:val="bottom"/>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0</wp:posOffset>
            </wp:positionV>
            <wp:extent cx="6566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ind w:left="680" w:right="5380" w:hanging="674"/>
        <w:spacing w:after="0" w:line="274" w:lineRule="auto"/>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*Has the entity obtained, or is it obtaining, +security holder approval for the issue under listing rule 7.1?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6.1a</w:t>
            </w:r>
          </w:p>
        </w:tc>
        <w:tc>
          <w:tcPr>
            <w:tcW w:w="7520" w:type="dxa"/>
            <w:vAlign w:val="bottom"/>
          </w:tcPr>
          <w:p>
            <w:pPr>
              <w:ind w:left="120"/>
              <w:spacing w:after="0"/>
              <w:rPr>
                <w:sz w:val="20"/>
                <w:szCs w:val="20"/>
                <w:color w:val="auto"/>
              </w:rPr>
            </w:pPr>
            <w:r>
              <w:rPr>
                <w:rFonts w:ascii="Arial" w:cs="Arial" w:eastAsia="Arial" w:hAnsi="Arial"/>
                <w:sz w:val="18"/>
                <w:szCs w:val="18"/>
                <w:color w:val="auto"/>
              </w:rPr>
              <w:t>*Date of meeting or proposed meeting to approve the issue under</w:t>
            </w:r>
          </w:p>
        </w:tc>
        <w:tc>
          <w:tcPr>
            <w:tcW w:w="29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listing rule 7.1</w:t>
            </w:r>
          </w:p>
        </w:tc>
        <w:tc>
          <w:tcPr>
            <w:tcW w:w="2940" w:type="dxa"/>
            <w:vAlign w:val="bottom"/>
          </w:tcPr>
          <w:p>
            <w:pPr>
              <w:spacing w:after="0"/>
              <w:rPr>
                <w:sz w:val="20"/>
                <w:szCs w:val="20"/>
                <w:color w:val="auto"/>
              </w:rPr>
            </w:pPr>
          </w:p>
        </w:tc>
      </w:tr>
      <w:tr>
        <w:trPr>
          <w:trHeight w:val="338"/>
        </w:trPr>
        <w:tc>
          <w:tcPr>
            <w:tcW w:w="560" w:type="dxa"/>
            <w:vAlign w:val="bottom"/>
          </w:tcPr>
          <w:p>
            <w:pPr>
              <w:spacing w:after="0"/>
              <w:rPr>
                <w:sz w:val="24"/>
                <w:szCs w:val="24"/>
                <w:color w:val="auto"/>
              </w:rPr>
            </w:pPr>
          </w:p>
        </w:tc>
        <w:tc>
          <w:tcPr>
            <w:tcW w:w="7520" w:type="dxa"/>
            <w:vAlign w:val="bottom"/>
          </w:tcPr>
          <w:p>
            <w:pPr>
              <w:ind w:left="120"/>
              <w:spacing w:after="0"/>
              <w:rPr>
                <w:sz w:val="20"/>
                <w:szCs w:val="20"/>
                <w:color w:val="auto"/>
              </w:rPr>
            </w:pPr>
            <w:r>
              <w:rPr>
                <w:rFonts w:ascii="Arial" w:cs="Arial" w:eastAsia="Arial" w:hAnsi="Arial"/>
                <w:sz w:val="18"/>
                <w:szCs w:val="18"/>
                <w:i w:val="1"/>
                <w:iCs w:val="1"/>
                <w:color w:val="auto"/>
              </w:rPr>
              <w:t>Answer this question if the response to Q6.1 is “Yes”.</w:t>
            </w:r>
          </w:p>
        </w:tc>
        <w:tc>
          <w:tcPr>
            <w:tcW w:w="2940" w:type="dxa"/>
            <w:vAlign w:val="bottom"/>
          </w:tcPr>
          <w:p>
            <w:pPr>
              <w:spacing w:after="0"/>
              <w:rPr>
                <w:sz w:val="24"/>
                <w:szCs w:val="24"/>
                <w:color w:val="auto"/>
              </w:rPr>
            </w:pPr>
          </w:p>
        </w:tc>
      </w:tr>
      <w:tr>
        <w:trPr>
          <w:trHeight w:val="323"/>
        </w:trPr>
        <w:tc>
          <w:tcPr>
            <w:tcW w:w="560" w:type="dxa"/>
            <w:vAlign w:val="bottom"/>
          </w:tcPr>
          <w:p>
            <w:pPr>
              <w:spacing w:after="0"/>
              <w:rPr>
                <w:sz w:val="20"/>
                <w:szCs w:val="20"/>
                <w:color w:val="auto"/>
              </w:rPr>
            </w:pPr>
            <w:r>
              <w:rPr>
                <w:rFonts w:ascii="Arial" w:cs="Arial" w:eastAsia="Arial" w:hAnsi="Arial"/>
                <w:sz w:val="18"/>
                <w:szCs w:val="18"/>
                <w:color w:val="auto"/>
              </w:rPr>
              <w:t>6.1b</w:t>
            </w:r>
          </w:p>
        </w:tc>
        <w:tc>
          <w:tcPr>
            <w:tcW w:w="7520" w:type="dxa"/>
            <w:vAlign w:val="bottom"/>
          </w:tcPr>
          <w:p>
            <w:pPr>
              <w:ind w:left="120"/>
              <w:spacing w:after="0"/>
              <w:rPr>
                <w:sz w:val="20"/>
                <w:szCs w:val="20"/>
                <w:color w:val="auto"/>
              </w:rPr>
            </w:pPr>
            <w:r>
              <w:rPr>
                <w:rFonts w:ascii="Arial" w:cs="Arial" w:eastAsia="Arial" w:hAnsi="Arial"/>
                <w:sz w:val="18"/>
                <w:szCs w:val="18"/>
                <w:color w:val="auto"/>
              </w:rPr>
              <w:t>*Are any of the +securities being issued without +security holder</w:t>
            </w:r>
          </w:p>
        </w:tc>
        <w:tc>
          <w:tcPr>
            <w:tcW w:w="294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approval using the entity’s 15% placement capacity under listing rule</w:t>
            </w:r>
          </w:p>
        </w:tc>
        <w:tc>
          <w:tcPr>
            <w:tcW w:w="29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7.1?</w:t>
            </w:r>
          </w:p>
        </w:tc>
        <w:tc>
          <w:tcPr>
            <w:tcW w:w="2940" w:type="dxa"/>
            <w:vAlign w:val="bottom"/>
          </w:tcPr>
          <w:p>
            <w:pPr>
              <w:spacing w:after="0"/>
              <w:rPr>
                <w:sz w:val="20"/>
                <w:szCs w:val="20"/>
                <w:color w:val="auto"/>
              </w:rPr>
            </w:pPr>
          </w:p>
        </w:tc>
      </w:tr>
      <w:tr>
        <w:trPr>
          <w:trHeight w:val="324"/>
        </w:trPr>
        <w:tc>
          <w:tcPr>
            <w:tcW w:w="560" w:type="dxa"/>
            <w:vAlign w:val="bottom"/>
          </w:tcPr>
          <w:p>
            <w:pPr>
              <w:spacing w:after="0"/>
              <w:rPr>
                <w:sz w:val="24"/>
                <w:szCs w:val="24"/>
                <w:color w:val="auto"/>
              </w:rPr>
            </w:pPr>
          </w:p>
        </w:tc>
        <w:tc>
          <w:tcPr>
            <w:tcW w:w="7520" w:type="dxa"/>
            <w:vAlign w:val="bottom"/>
          </w:tcPr>
          <w:p>
            <w:pPr>
              <w:ind w:left="120"/>
              <w:spacing w:after="0"/>
              <w:rPr>
                <w:sz w:val="20"/>
                <w:szCs w:val="20"/>
                <w:color w:val="auto"/>
              </w:rPr>
            </w:pPr>
            <w:r>
              <w:rPr>
                <w:rFonts w:ascii="Arial" w:cs="Arial" w:eastAsia="Arial" w:hAnsi="Arial"/>
                <w:sz w:val="18"/>
                <w:szCs w:val="18"/>
                <w:i w:val="1"/>
                <w:iCs w:val="1"/>
                <w:color w:val="auto"/>
              </w:rPr>
              <w:t>Answer this question if the response to Q6.1 is “No”.</w:t>
            </w:r>
          </w:p>
        </w:tc>
        <w:tc>
          <w:tcPr>
            <w:tcW w:w="2940" w:type="dxa"/>
            <w:vAlign w:val="bottom"/>
          </w:tcPr>
          <w:p>
            <w:pPr>
              <w:spacing w:after="0"/>
              <w:rPr>
                <w:sz w:val="24"/>
                <w:szCs w:val="24"/>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6.1b.1</w:t>
            </w:r>
          </w:p>
        </w:tc>
        <w:tc>
          <w:tcPr>
            <w:tcW w:w="7520" w:type="dxa"/>
            <w:vAlign w:val="bottom"/>
          </w:tcPr>
          <w:p>
            <w:pPr>
              <w:ind w:left="120"/>
              <w:spacing w:after="0"/>
              <w:rPr>
                <w:sz w:val="20"/>
                <w:szCs w:val="20"/>
                <w:color w:val="auto"/>
              </w:rPr>
            </w:pPr>
            <w:r>
              <w:rPr>
                <w:rFonts w:ascii="Arial" w:cs="Arial" w:eastAsia="Arial" w:hAnsi="Arial"/>
                <w:sz w:val="18"/>
                <w:szCs w:val="18"/>
                <w:color w:val="auto"/>
              </w:rPr>
              <w:t>*How many +securities are being issued without +security holder</w:t>
            </w:r>
          </w:p>
        </w:tc>
        <w:tc>
          <w:tcPr>
            <w:tcW w:w="294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approval using the entity’s 15% placement capacity under listing rule</w:t>
            </w:r>
          </w:p>
        </w:tc>
        <w:tc>
          <w:tcPr>
            <w:tcW w:w="29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7.1?</w:t>
            </w:r>
          </w:p>
        </w:tc>
        <w:tc>
          <w:tcPr>
            <w:tcW w:w="2940" w:type="dxa"/>
            <w:vAlign w:val="bottom"/>
          </w:tcPr>
          <w:p>
            <w:pPr>
              <w:spacing w:after="0"/>
              <w:rPr>
                <w:sz w:val="20"/>
                <w:szCs w:val="20"/>
                <w:color w:val="auto"/>
              </w:rPr>
            </w:pPr>
          </w:p>
        </w:tc>
      </w:tr>
      <w:tr>
        <w:trPr>
          <w:trHeight w:val="310"/>
        </w:trPr>
        <w:tc>
          <w:tcPr>
            <w:tcW w:w="560" w:type="dxa"/>
            <w:vAlign w:val="bottom"/>
          </w:tcPr>
          <w:p>
            <w:pPr>
              <w:spacing w:after="0"/>
              <w:rPr>
                <w:sz w:val="24"/>
                <w:szCs w:val="24"/>
                <w:color w:val="auto"/>
              </w:rPr>
            </w:pPr>
          </w:p>
        </w:tc>
        <w:tc>
          <w:tcPr>
            <w:tcW w:w="7520" w:type="dxa"/>
            <w:vAlign w:val="bottom"/>
          </w:tcPr>
          <w:p>
            <w:pPr>
              <w:ind w:left="120"/>
              <w:spacing w:after="0"/>
              <w:rPr>
                <w:sz w:val="20"/>
                <w:szCs w:val="20"/>
                <w:color w:val="auto"/>
              </w:rPr>
            </w:pPr>
            <w:r>
              <w:rPr>
                <w:rFonts w:ascii="Arial" w:cs="Arial" w:eastAsia="Arial" w:hAnsi="Arial"/>
                <w:sz w:val="18"/>
                <w:szCs w:val="18"/>
                <w:i w:val="1"/>
                <w:iCs w:val="1"/>
                <w:color w:val="auto"/>
              </w:rPr>
              <w:t>Answer this question if the response to Q6.1 is “No” and the response</w:t>
            </w:r>
          </w:p>
        </w:tc>
        <w:tc>
          <w:tcPr>
            <w:tcW w:w="294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i w:val="1"/>
                <w:iCs w:val="1"/>
                <w:color w:val="auto"/>
              </w:rPr>
              <w:t>to Q6.1b is “Yes”.</w:t>
            </w:r>
          </w:p>
        </w:tc>
        <w:tc>
          <w:tcPr>
            <w:tcW w:w="2940" w:type="dxa"/>
            <w:vAlign w:val="bottom"/>
          </w:tcPr>
          <w:p>
            <w:pPr>
              <w:spacing w:after="0"/>
              <w:rPr>
                <w:sz w:val="20"/>
                <w:szCs w:val="20"/>
                <w:color w:val="auto"/>
              </w:rPr>
            </w:pPr>
          </w:p>
        </w:tc>
      </w:tr>
      <w:tr>
        <w:trPr>
          <w:trHeight w:val="310"/>
        </w:trPr>
        <w:tc>
          <w:tcPr>
            <w:tcW w:w="560" w:type="dxa"/>
            <w:vAlign w:val="bottom"/>
          </w:tcPr>
          <w:p>
            <w:pPr>
              <w:spacing w:after="0"/>
              <w:rPr>
                <w:sz w:val="24"/>
                <w:szCs w:val="24"/>
                <w:color w:val="auto"/>
              </w:rPr>
            </w:pPr>
          </w:p>
        </w:tc>
        <w:tc>
          <w:tcPr>
            <w:tcW w:w="7520" w:type="dxa"/>
            <w:vAlign w:val="bottom"/>
          </w:tcPr>
          <w:p>
            <w:pPr>
              <w:ind w:left="120"/>
              <w:spacing w:after="0"/>
              <w:rPr>
                <w:sz w:val="20"/>
                <w:szCs w:val="20"/>
                <w:color w:val="auto"/>
              </w:rPr>
            </w:pPr>
            <w:r>
              <w:rPr>
                <w:rFonts w:ascii="Arial" w:cs="Arial" w:eastAsia="Arial" w:hAnsi="Arial"/>
                <w:sz w:val="18"/>
                <w:szCs w:val="18"/>
                <w:i w:val="1"/>
                <w:iCs w:val="1"/>
                <w:color w:val="auto"/>
              </w:rPr>
              <w:t>Please complete and separately send by email to your ASX listings</w:t>
            </w:r>
          </w:p>
        </w:tc>
        <w:tc>
          <w:tcPr>
            <w:tcW w:w="294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8"/>
                <w:szCs w:val="18"/>
                <w:i w:val="1"/>
                <w:iCs w:val="1"/>
                <w:color w:val="auto"/>
              </w:rPr>
              <w:t>adviser a work sheet in the form of Annexure B to Guidance Note 21</w:t>
            </w:r>
          </w:p>
        </w:tc>
        <w:tc>
          <w:tcPr>
            <w:tcW w:w="29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8"/>
                <w:szCs w:val="18"/>
                <w:i w:val="1"/>
                <w:iCs w:val="1"/>
                <w:color w:val="auto"/>
              </w:rPr>
              <w:t>confirming the entity has the available capacity under listing rule 7.1</w:t>
            </w:r>
          </w:p>
        </w:tc>
        <w:tc>
          <w:tcPr>
            <w:tcW w:w="29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i w:val="1"/>
                <w:iCs w:val="1"/>
                <w:color w:val="auto"/>
              </w:rPr>
              <w:t>to issue that number of securities.</w:t>
            </w:r>
          </w:p>
        </w:tc>
        <w:tc>
          <w:tcPr>
            <w:tcW w:w="2940" w:type="dxa"/>
            <w:vAlign w:val="bottom"/>
          </w:tcPr>
          <w:p>
            <w:pPr>
              <w:spacing w:after="0"/>
              <w:rPr>
                <w:sz w:val="20"/>
                <w:szCs w:val="20"/>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6.1c</w:t>
            </w:r>
          </w:p>
        </w:tc>
        <w:tc>
          <w:tcPr>
            <w:tcW w:w="7520" w:type="dxa"/>
            <w:vAlign w:val="bottom"/>
          </w:tcPr>
          <w:p>
            <w:pPr>
              <w:ind w:left="120"/>
              <w:spacing w:after="0"/>
              <w:rPr>
                <w:sz w:val="20"/>
                <w:szCs w:val="20"/>
                <w:color w:val="auto"/>
              </w:rPr>
            </w:pPr>
            <w:r>
              <w:rPr>
                <w:rFonts w:ascii="Arial" w:cs="Arial" w:eastAsia="Arial" w:hAnsi="Arial"/>
                <w:sz w:val="18"/>
                <w:szCs w:val="18"/>
                <w:color w:val="auto"/>
              </w:rPr>
              <w:t>*Are any of the +securities being issued without +security holder</w:t>
            </w:r>
          </w:p>
        </w:tc>
        <w:tc>
          <w:tcPr>
            <w:tcW w:w="294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approval using the entity’s additional 10% placement capacity under</w:t>
            </w:r>
          </w:p>
        </w:tc>
        <w:tc>
          <w:tcPr>
            <w:tcW w:w="29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listing rule 7.1A (if applicable)?</w:t>
            </w:r>
          </w:p>
        </w:tc>
        <w:tc>
          <w:tcPr>
            <w:tcW w:w="2940" w:type="dxa"/>
            <w:vAlign w:val="bottom"/>
          </w:tcPr>
          <w:p>
            <w:pPr>
              <w:spacing w:after="0"/>
              <w:rPr>
                <w:sz w:val="20"/>
                <w:szCs w:val="20"/>
                <w:color w:val="auto"/>
              </w:rPr>
            </w:pPr>
          </w:p>
        </w:tc>
      </w:tr>
      <w:tr>
        <w:trPr>
          <w:trHeight w:val="324"/>
        </w:trPr>
        <w:tc>
          <w:tcPr>
            <w:tcW w:w="560" w:type="dxa"/>
            <w:vAlign w:val="bottom"/>
          </w:tcPr>
          <w:p>
            <w:pPr>
              <w:spacing w:after="0"/>
              <w:rPr>
                <w:sz w:val="24"/>
                <w:szCs w:val="24"/>
                <w:color w:val="auto"/>
              </w:rPr>
            </w:pPr>
          </w:p>
        </w:tc>
        <w:tc>
          <w:tcPr>
            <w:tcW w:w="7520" w:type="dxa"/>
            <w:vAlign w:val="bottom"/>
          </w:tcPr>
          <w:p>
            <w:pPr>
              <w:ind w:left="120"/>
              <w:spacing w:after="0"/>
              <w:rPr>
                <w:sz w:val="20"/>
                <w:szCs w:val="20"/>
                <w:color w:val="auto"/>
              </w:rPr>
            </w:pPr>
            <w:r>
              <w:rPr>
                <w:rFonts w:ascii="Arial" w:cs="Arial" w:eastAsia="Arial" w:hAnsi="Arial"/>
                <w:sz w:val="18"/>
                <w:szCs w:val="18"/>
                <w:i w:val="1"/>
                <w:iCs w:val="1"/>
                <w:color w:val="auto"/>
              </w:rPr>
              <w:t>Answer this question if the response to Q6.1 is “No”.</w:t>
            </w:r>
          </w:p>
        </w:tc>
        <w:tc>
          <w:tcPr>
            <w:tcW w:w="2940" w:type="dxa"/>
            <w:vAlign w:val="bottom"/>
          </w:tcPr>
          <w:p>
            <w:pPr>
              <w:spacing w:after="0"/>
              <w:rPr>
                <w:sz w:val="24"/>
                <w:szCs w:val="24"/>
                <w:color w:val="auto"/>
              </w:rPr>
            </w:pPr>
          </w:p>
        </w:tc>
      </w:tr>
      <w:tr>
        <w:trPr>
          <w:trHeight w:val="148"/>
        </w:trPr>
        <w:tc>
          <w:tcPr>
            <w:tcW w:w="8080" w:type="dxa"/>
            <w:vAlign w:val="bottom"/>
            <w:tcBorders>
              <w:bottom w:val="single" w:sz="8" w:color="auto"/>
            </w:tcBorders>
            <w:gridSpan w:val="2"/>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r>
      <w:tr>
        <w:trPr>
          <w:trHeight w:val="195"/>
        </w:trPr>
        <w:tc>
          <w:tcPr>
            <w:tcW w:w="808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2940" w:type="dxa"/>
            <w:vAlign w:val="bottom"/>
          </w:tcPr>
          <w:p>
            <w:pPr>
              <w:spacing w:after="0"/>
              <w:rPr>
                <w:sz w:val="16"/>
                <w:szCs w:val="16"/>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i w:val="1"/>
                <w:iCs w:val="1"/>
                <w:color w:val="auto"/>
              </w:rPr>
              <w:t>31 January 2020</w:t>
            </w:r>
          </w:p>
        </w:tc>
        <w:tc>
          <w:tcPr>
            <w:tcW w:w="2940" w:type="dxa"/>
            <w:vAlign w:val="bottom"/>
          </w:tcPr>
          <w:p>
            <w:pPr>
              <w:ind w:left="2360"/>
              <w:spacing w:after="0"/>
              <w:rPr>
                <w:sz w:val="20"/>
                <w:szCs w:val="20"/>
                <w:color w:val="auto"/>
              </w:rPr>
            </w:pPr>
            <w:r>
              <w:rPr>
                <w:rFonts w:ascii="Arial" w:cs="Arial" w:eastAsia="Arial" w:hAnsi="Arial"/>
                <w:sz w:val="18"/>
                <w:szCs w:val="18"/>
                <w:color w:val="auto"/>
                <w:w w:val="83"/>
              </w:rPr>
              <w:t>Page 14</w:t>
            </w:r>
          </w:p>
        </w:tc>
      </w:tr>
    </w:tbl>
    <w:p>
      <w:pPr>
        <w:sectPr>
          <w:pgSz w:w="11900" w:h="16838" w:orient="portrait"/>
          <w:cols w:equalWidth="0" w:num="1">
            <w:col w:w="11020"/>
          </w:cols>
          <w:pgMar w:left="440" w:top="270" w:right="4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Appendix 2A</w:t>
            </w:r>
          </w:p>
        </w:tc>
      </w:tr>
      <w:tr>
        <w:trPr>
          <w:trHeight w:val="241"/>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Application for quotation of +securities</w:t>
            </w:r>
          </w:p>
        </w:tc>
      </w:tr>
      <w:tr>
        <w:trPr>
          <w:trHeight w:val="391"/>
        </w:trPr>
        <w:tc>
          <w:tcPr>
            <w:tcW w:w="6880" w:type="dxa"/>
            <w:vAlign w:val="bottom"/>
          </w:tcPr>
          <w:p>
            <w:pPr>
              <w:spacing w:after="0"/>
              <w:rPr>
                <w:sz w:val="20"/>
                <w:szCs w:val="20"/>
                <w:color w:val="auto"/>
              </w:rPr>
            </w:pPr>
            <w:r>
              <w:rPr>
                <w:rFonts w:ascii="Arial" w:cs="Arial" w:eastAsia="Arial" w:hAnsi="Arial"/>
                <w:sz w:val="18"/>
                <w:szCs w:val="18"/>
                <w:color w:val="auto"/>
              </w:rPr>
              <w:t>6.1c.1   *How many +securities are being issued without +security holder</w:t>
            </w:r>
          </w:p>
        </w:tc>
        <w:tc>
          <w:tcPr>
            <w:tcW w:w="4140" w:type="dxa"/>
            <w:vAlign w:val="bottom"/>
          </w:tcPr>
          <w:p>
            <w:pPr>
              <w:spacing w:after="0"/>
              <w:rPr>
                <w:sz w:val="24"/>
                <w:szCs w:val="24"/>
                <w:color w:val="auto"/>
              </w:rPr>
            </w:pPr>
          </w:p>
        </w:tc>
      </w:tr>
      <w:tr>
        <w:trPr>
          <w:trHeight w:val="216"/>
        </w:trPr>
        <w:tc>
          <w:tcPr>
            <w:tcW w:w="6880" w:type="dxa"/>
            <w:vAlign w:val="bottom"/>
          </w:tcPr>
          <w:p>
            <w:pPr>
              <w:ind w:left="680"/>
              <w:spacing w:after="0"/>
              <w:rPr>
                <w:sz w:val="20"/>
                <w:szCs w:val="20"/>
                <w:color w:val="auto"/>
              </w:rPr>
            </w:pPr>
            <w:r>
              <w:rPr>
                <w:rFonts w:ascii="Arial" w:cs="Arial" w:eastAsia="Arial" w:hAnsi="Arial"/>
                <w:sz w:val="18"/>
                <w:szCs w:val="18"/>
                <w:color w:val="auto"/>
              </w:rPr>
              <w:t>approval using the entity’s additional 10% placement capacity under</w:t>
            </w:r>
          </w:p>
        </w:tc>
        <w:tc>
          <w:tcPr>
            <w:tcW w:w="4140" w:type="dxa"/>
            <w:vAlign w:val="bottom"/>
          </w:tcPr>
          <w:p>
            <w:pPr>
              <w:spacing w:after="0"/>
              <w:rPr>
                <w:sz w:val="18"/>
                <w:szCs w:val="18"/>
                <w:color w:val="auto"/>
              </w:rPr>
            </w:pPr>
          </w:p>
        </w:tc>
      </w:tr>
      <w:tr>
        <w:trPr>
          <w:trHeight w:val="230"/>
        </w:trPr>
        <w:tc>
          <w:tcPr>
            <w:tcW w:w="6880" w:type="dxa"/>
            <w:vAlign w:val="bottom"/>
          </w:tcPr>
          <w:p>
            <w:pPr>
              <w:ind w:left="680"/>
              <w:spacing w:after="0"/>
              <w:rPr>
                <w:sz w:val="20"/>
                <w:szCs w:val="20"/>
                <w:color w:val="auto"/>
              </w:rPr>
            </w:pPr>
            <w:r>
              <w:rPr>
                <w:rFonts w:ascii="Arial" w:cs="Arial" w:eastAsia="Arial" w:hAnsi="Arial"/>
                <w:sz w:val="18"/>
                <w:szCs w:val="18"/>
                <w:color w:val="auto"/>
              </w:rPr>
              <w:t>listing rule 7.1A?</w:t>
            </w:r>
          </w:p>
        </w:tc>
        <w:tc>
          <w:tcPr>
            <w:tcW w:w="4140" w:type="dxa"/>
            <w:vAlign w:val="bottom"/>
          </w:tcPr>
          <w:p>
            <w:pPr>
              <w:spacing w:after="0"/>
              <w:rPr>
                <w:sz w:val="20"/>
                <w:szCs w:val="20"/>
                <w:color w:val="auto"/>
              </w:rPr>
            </w:pPr>
          </w:p>
        </w:tc>
      </w:tr>
      <w:tr>
        <w:trPr>
          <w:trHeight w:val="310"/>
        </w:trPr>
        <w:tc>
          <w:tcPr>
            <w:tcW w:w="6880" w:type="dxa"/>
            <w:vAlign w:val="bottom"/>
          </w:tcPr>
          <w:p>
            <w:pPr>
              <w:ind w:left="680"/>
              <w:spacing w:after="0"/>
              <w:rPr>
                <w:sz w:val="20"/>
                <w:szCs w:val="20"/>
                <w:color w:val="auto"/>
              </w:rPr>
            </w:pPr>
            <w:r>
              <w:rPr>
                <w:rFonts w:ascii="Arial" w:cs="Arial" w:eastAsia="Arial" w:hAnsi="Arial"/>
                <w:sz w:val="18"/>
                <w:szCs w:val="18"/>
                <w:i w:val="1"/>
                <w:iCs w:val="1"/>
                <w:color w:val="auto"/>
              </w:rPr>
              <w:t>Answer this question if the response to Q6.1 is “No” and the response</w:t>
            </w:r>
          </w:p>
        </w:tc>
        <w:tc>
          <w:tcPr>
            <w:tcW w:w="4140" w:type="dxa"/>
            <w:vAlign w:val="bottom"/>
          </w:tcPr>
          <w:p>
            <w:pPr>
              <w:spacing w:after="0"/>
              <w:rPr>
                <w:sz w:val="24"/>
                <w:szCs w:val="24"/>
                <w:color w:val="auto"/>
              </w:rPr>
            </w:pPr>
          </w:p>
        </w:tc>
      </w:tr>
      <w:tr>
        <w:trPr>
          <w:trHeight w:val="230"/>
        </w:trPr>
        <w:tc>
          <w:tcPr>
            <w:tcW w:w="6880" w:type="dxa"/>
            <w:vAlign w:val="bottom"/>
          </w:tcPr>
          <w:p>
            <w:pPr>
              <w:ind w:left="680"/>
              <w:spacing w:after="0"/>
              <w:rPr>
                <w:sz w:val="20"/>
                <w:szCs w:val="20"/>
                <w:color w:val="auto"/>
              </w:rPr>
            </w:pPr>
            <w:r>
              <w:rPr>
                <w:rFonts w:ascii="Arial" w:cs="Arial" w:eastAsia="Arial" w:hAnsi="Arial"/>
                <w:sz w:val="18"/>
                <w:szCs w:val="18"/>
                <w:i w:val="1"/>
                <w:iCs w:val="1"/>
                <w:color w:val="auto"/>
              </w:rPr>
              <w:t>to Q6.1c is “Yes”.</w:t>
            </w:r>
          </w:p>
        </w:tc>
        <w:tc>
          <w:tcPr>
            <w:tcW w:w="4140" w:type="dxa"/>
            <w:vAlign w:val="bottom"/>
          </w:tcPr>
          <w:p>
            <w:pPr>
              <w:spacing w:after="0"/>
              <w:rPr>
                <w:sz w:val="20"/>
                <w:szCs w:val="20"/>
                <w:color w:val="auto"/>
              </w:rPr>
            </w:pPr>
          </w:p>
        </w:tc>
      </w:tr>
      <w:tr>
        <w:trPr>
          <w:trHeight w:val="310"/>
        </w:trPr>
        <w:tc>
          <w:tcPr>
            <w:tcW w:w="6880" w:type="dxa"/>
            <w:vAlign w:val="bottom"/>
          </w:tcPr>
          <w:p>
            <w:pPr>
              <w:ind w:left="680"/>
              <w:spacing w:after="0"/>
              <w:rPr>
                <w:sz w:val="20"/>
                <w:szCs w:val="20"/>
                <w:color w:val="auto"/>
              </w:rPr>
            </w:pPr>
            <w:r>
              <w:rPr>
                <w:rFonts w:ascii="Arial" w:cs="Arial" w:eastAsia="Arial" w:hAnsi="Arial"/>
                <w:sz w:val="18"/>
                <w:szCs w:val="18"/>
                <w:i w:val="1"/>
                <w:iCs w:val="1"/>
                <w:color w:val="auto"/>
              </w:rPr>
              <w:t>Please complete and separately send by email to your ASX listings</w:t>
            </w:r>
          </w:p>
        </w:tc>
        <w:tc>
          <w:tcPr>
            <w:tcW w:w="4140" w:type="dxa"/>
            <w:vAlign w:val="bottom"/>
          </w:tcPr>
          <w:p>
            <w:pPr>
              <w:spacing w:after="0"/>
              <w:rPr>
                <w:sz w:val="24"/>
                <w:szCs w:val="24"/>
                <w:color w:val="auto"/>
              </w:rPr>
            </w:pPr>
          </w:p>
        </w:tc>
      </w:tr>
      <w:tr>
        <w:trPr>
          <w:trHeight w:val="216"/>
        </w:trPr>
        <w:tc>
          <w:tcPr>
            <w:tcW w:w="6880" w:type="dxa"/>
            <w:vAlign w:val="bottom"/>
          </w:tcPr>
          <w:p>
            <w:pPr>
              <w:ind w:left="680"/>
              <w:spacing w:after="0"/>
              <w:rPr>
                <w:sz w:val="20"/>
                <w:szCs w:val="20"/>
                <w:color w:val="auto"/>
              </w:rPr>
            </w:pPr>
            <w:r>
              <w:rPr>
                <w:rFonts w:ascii="Arial" w:cs="Arial" w:eastAsia="Arial" w:hAnsi="Arial"/>
                <w:sz w:val="18"/>
                <w:szCs w:val="18"/>
                <w:i w:val="1"/>
                <w:iCs w:val="1"/>
                <w:color w:val="auto"/>
              </w:rPr>
              <w:t>adviser a work sheet in the form of Annexure C to Guidance Note 21</w:t>
            </w:r>
          </w:p>
        </w:tc>
        <w:tc>
          <w:tcPr>
            <w:tcW w:w="4140" w:type="dxa"/>
            <w:vAlign w:val="bottom"/>
          </w:tcPr>
          <w:p>
            <w:pPr>
              <w:spacing w:after="0"/>
              <w:rPr>
                <w:sz w:val="18"/>
                <w:szCs w:val="18"/>
                <w:color w:val="auto"/>
              </w:rPr>
            </w:pPr>
          </w:p>
        </w:tc>
      </w:tr>
      <w:tr>
        <w:trPr>
          <w:trHeight w:val="216"/>
        </w:trPr>
        <w:tc>
          <w:tcPr>
            <w:tcW w:w="6880" w:type="dxa"/>
            <w:vAlign w:val="bottom"/>
          </w:tcPr>
          <w:p>
            <w:pPr>
              <w:ind w:left="680"/>
              <w:spacing w:after="0"/>
              <w:rPr>
                <w:sz w:val="20"/>
                <w:szCs w:val="20"/>
                <w:color w:val="auto"/>
              </w:rPr>
            </w:pPr>
            <w:r>
              <w:rPr>
                <w:rFonts w:ascii="Arial" w:cs="Arial" w:eastAsia="Arial" w:hAnsi="Arial"/>
                <w:sz w:val="18"/>
                <w:szCs w:val="18"/>
                <w:i w:val="1"/>
                <w:iCs w:val="1"/>
                <w:color w:val="auto"/>
              </w:rPr>
              <w:t>confirming the entity has the available capacity under listing rule 7.1A</w:t>
            </w:r>
          </w:p>
        </w:tc>
        <w:tc>
          <w:tcPr>
            <w:tcW w:w="4140" w:type="dxa"/>
            <w:vAlign w:val="bottom"/>
          </w:tcPr>
          <w:p>
            <w:pPr>
              <w:spacing w:after="0"/>
              <w:rPr>
                <w:sz w:val="18"/>
                <w:szCs w:val="18"/>
                <w:color w:val="auto"/>
              </w:rPr>
            </w:pPr>
          </w:p>
        </w:tc>
      </w:tr>
      <w:tr>
        <w:trPr>
          <w:trHeight w:val="230"/>
        </w:trPr>
        <w:tc>
          <w:tcPr>
            <w:tcW w:w="6880" w:type="dxa"/>
            <w:vAlign w:val="bottom"/>
          </w:tcPr>
          <w:p>
            <w:pPr>
              <w:ind w:left="680"/>
              <w:spacing w:after="0"/>
              <w:rPr>
                <w:sz w:val="20"/>
                <w:szCs w:val="20"/>
                <w:color w:val="auto"/>
              </w:rPr>
            </w:pPr>
            <w:r>
              <w:rPr>
                <w:rFonts w:ascii="Arial" w:cs="Arial" w:eastAsia="Arial" w:hAnsi="Arial"/>
                <w:sz w:val="18"/>
                <w:szCs w:val="18"/>
                <w:i w:val="1"/>
                <w:iCs w:val="1"/>
                <w:color w:val="auto"/>
              </w:rPr>
              <w:t>to issue that number of securities.</w:t>
            </w:r>
          </w:p>
        </w:tc>
        <w:tc>
          <w:tcPr>
            <w:tcW w:w="4140" w:type="dxa"/>
            <w:vAlign w:val="bottom"/>
          </w:tcPr>
          <w:p>
            <w:pPr>
              <w:spacing w:after="0"/>
              <w:rPr>
                <w:sz w:val="20"/>
                <w:szCs w:val="20"/>
                <w:color w:val="auto"/>
              </w:rPr>
            </w:pPr>
          </w:p>
        </w:tc>
      </w:tr>
      <w:tr>
        <w:trPr>
          <w:trHeight w:val="432"/>
        </w:trPr>
        <w:tc>
          <w:tcPr>
            <w:tcW w:w="6880" w:type="dxa"/>
            <w:vAlign w:val="bottom"/>
          </w:tcPr>
          <w:p>
            <w:pPr>
              <w:spacing w:after="0"/>
              <w:rPr>
                <w:sz w:val="20"/>
                <w:szCs w:val="20"/>
                <w:color w:val="auto"/>
              </w:rPr>
            </w:pPr>
            <w:r>
              <w:rPr>
                <w:rFonts w:ascii="Arial" w:cs="Arial" w:eastAsia="Arial" w:hAnsi="Arial"/>
                <w:sz w:val="18"/>
                <w:szCs w:val="18"/>
                <w:color w:val="auto"/>
              </w:rPr>
              <w:t>Introduced 01/12/19, amended 31/01/20</w:t>
            </w:r>
          </w:p>
        </w:tc>
        <w:tc>
          <w:tcPr>
            <w:tcW w:w="4140" w:type="dxa"/>
            <w:vAlign w:val="bottom"/>
          </w:tcPr>
          <w:p>
            <w:pPr>
              <w:spacing w:after="0"/>
              <w:rPr>
                <w:sz w:val="24"/>
                <w:szCs w:val="24"/>
                <w:color w:val="auto"/>
              </w:rPr>
            </w:pPr>
          </w:p>
        </w:tc>
      </w:tr>
      <w:tr>
        <w:trPr>
          <w:trHeight w:val="148"/>
        </w:trPr>
        <w:tc>
          <w:tcPr>
            <w:tcW w:w="6880" w:type="dxa"/>
            <w:vAlign w:val="bottom"/>
            <w:tcBorders>
              <w:bottom w:val="single" w:sz="8" w:color="auto"/>
            </w:tcBorders>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r>
      <w:tr>
        <w:trPr>
          <w:trHeight w:val="195"/>
        </w:trPr>
        <w:tc>
          <w:tcPr>
            <w:tcW w:w="6880" w:type="dxa"/>
            <w:vAlign w:val="bottom"/>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4140" w:type="dxa"/>
            <w:vAlign w:val="bottom"/>
          </w:tcPr>
          <w:p>
            <w:pPr>
              <w:spacing w:after="0"/>
              <w:rPr>
                <w:sz w:val="16"/>
                <w:szCs w:val="16"/>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i w:val="1"/>
                <w:iCs w:val="1"/>
                <w:color w:val="auto"/>
              </w:rPr>
              <w:t>31 January 2020</w:t>
            </w:r>
          </w:p>
        </w:tc>
        <w:tc>
          <w:tcPr>
            <w:tcW w:w="4140" w:type="dxa"/>
            <w:vAlign w:val="bottom"/>
          </w:tcPr>
          <w:p>
            <w:pPr>
              <w:jc w:val="right"/>
              <w:spacing w:after="0"/>
              <w:rPr>
                <w:sz w:val="20"/>
                <w:szCs w:val="20"/>
                <w:color w:val="auto"/>
              </w:rPr>
            </w:pPr>
            <w:r>
              <w:rPr>
                <w:rFonts w:ascii="Arial" w:cs="Arial" w:eastAsia="Arial" w:hAnsi="Arial"/>
                <w:sz w:val="18"/>
                <w:szCs w:val="18"/>
                <w:color w:val="auto"/>
              </w:rPr>
              <w:t>Page 15</w:t>
            </w:r>
          </w:p>
        </w:tc>
      </w:tr>
    </w:tbl>
    <w:p>
      <w:pPr>
        <w:sectPr>
          <w:pgSz w:w="11900" w:h="16838" w:orient="portrait"/>
          <w:cols w:equalWidth="0" w:num="1">
            <w:col w:w="11020"/>
          </w:cols>
          <w:pgMar w:left="440" w:top="270" w:right="4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6660" w:type="dxa"/>
            <w:vAlign w:val="bottom"/>
          </w:tcPr>
          <w:p>
            <w:pPr>
              <w:jc w:val="right"/>
              <w:spacing w:after="0"/>
              <w:rPr>
                <w:sz w:val="20"/>
                <w:szCs w:val="20"/>
                <w:color w:val="auto"/>
              </w:rPr>
            </w:pPr>
            <w:r>
              <w:rPr>
                <w:rFonts w:ascii="Arial" w:cs="Arial" w:eastAsia="Arial" w:hAnsi="Arial"/>
                <w:sz w:val="18"/>
                <w:szCs w:val="18"/>
                <w:b w:val="1"/>
                <w:bCs w:val="1"/>
                <w:color w:val="auto"/>
              </w:rPr>
              <w:t>Exhibit 99.2</w:t>
            </w:r>
          </w:p>
        </w:tc>
      </w:tr>
      <w:tr>
        <w:trPr>
          <w:trHeight w:val="441"/>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6660" w:type="dxa"/>
            <w:vAlign w:val="bottom"/>
          </w:tcPr>
          <w:p>
            <w:pPr>
              <w:spacing w:after="0"/>
              <w:rPr>
                <w:sz w:val="24"/>
                <w:szCs w:val="24"/>
                <w:color w:val="auto"/>
              </w:rPr>
            </w:pPr>
          </w:p>
        </w:tc>
      </w:tr>
      <w:tr>
        <w:trPr>
          <w:trHeight w:val="24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66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+Rule 3.10.3A, 3.10.3B, 3.10.3C</w:t>
            </w:r>
          </w:p>
        </w:tc>
      </w:tr>
      <w:tr>
        <w:trPr>
          <w:trHeight w:val="324"/>
        </w:trPr>
        <w:tc>
          <w:tcPr>
            <w:tcW w:w="4360" w:type="dxa"/>
            <w:vAlign w:val="bottom"/>
          </w:tcPr>
          <w:p>
            <w:pPr>
              <w:spacing w:after="0"/>
              <w:rPr>
                <w:sz w:val="24"/>
                <w:szCs w:val="24"/>
                <w:color w:val="auto"/>
              </w:rPr>
            </w:pPr>
          </w:p>
        </w:tc>
        <w:tc>
          <w:tcPr>
            <w:tcW w:w="6660" w:type="dxa"/>
            <w:vAlign w:val="bottom"/>
          </w:tcPr>
          <w:p>
            <w:pPr>
              <w:jc w:val="right"/>
              <w:ind w:right="4910"/>
              <w:spacing w:after="0"/>
              <w:rPr>
                <w:sz w:val="20"/>
                <w:szCs w:val="20"/>
                <w:color w:val="auto"/>
              </w:rPr>
            </w:pPr>
            <w:r>
              <w:rPr>
                <w:rFonts w:ascii="Arial" w:cs="Arial" w:eastAsia="Arial" w:hAnsi="Arial"/>
                <w:sz w:val="18"/>
                <w:szCs w:val="18"/>
                <w:b w:val="1"/>
                <w:bCs w:val="1"/>
                <w:color w:val="auto"/>
              </w:rPr>
              <w:t>Appendix 3G</w:t>
            </w: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Notification of issue, conversion or payment up of equity +securities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If you are an entity incorporated outside Australia and you are issuing a new class of +securities other than CDIs, you will need to obtain and provide an International Securities Identification Number (ISIN) for that class. Further information on the requirement for the notification of an ISIN is available from the Create Online Forms page. ASX is unable to create the new ISIN for non-Australian issuers.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1 – Entity and announcement details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Question</w:t>
            </w:r>
          </w:p>
        </w:tc>
        <w:tc>
          <w:tcPr>
            <w:tcW w:w="506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Question</w:t>
            </w:r>
          </w:p>
        </w:tc>
        <w:tc>
          <w:tcPr>
            <w:tcW w:w="220" w:type="dxa"/>
            <w:vAlign w:val="bottom"/>
          </w:tcPr>
          <w:p>
            <w:pPr>
              <w:spacing w:after="0"/>
              <w:rPr>
                <w:sz w:val="14"/>
                <w:szCs w:val="14"/>
                <w:color w:val="auto"/>
              </w:rPr>
            </w:pPr>
          </w:p>
        </w:tc>
        <w:tc>
          <w:tcPr>
            <w:tcW w:w="500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Answer</w:t>
            </w:r>
          </w:p>
        </w:tc>
        <w:tc>
          <w:tcPr>
            <w:tcW w:w="0" w:type="dxa"/>
            <w:vAlign w:val="bottom"/>
          </w:tcPr>
          <w:p>
            <w:pPr>
              <w:spacing w:after="0"/>
              <w:rPr>
                <w:sz w:val="1"/>
                <w:szCs w:val="1"/>
                <w:color w:val="auto"/>
              </w:rPr>
            </w:pPr>
          </w:p>
        </w:tc>
      </w:tr>
      <w:tr>
        <w:trPr>
          <w:trHeight w:val="191"/>
        </w:trPr>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no</w:t>
            </w:r>
          </w:p>
        </w:tc>
        <w:tc>
          <w:tcPr>
            <w:tcW w:w="600" w:type="dxa"/>
            <w:vAlign w:val="bottom"/>
          </w:tcPr>
          <w:p>
            <w:pPr>
              <w:spacing w:after="0"/>
              <w:rPr>
                <w:sz w:val="16"/>
                <w:szCs w:val="16"/>
                <w:color w:val="auto"/>
              </w:rPr>
            </w:pPr>
          </w:p>
        </w:tc>
        <w:tc>
          <w:tcPr>
            <w:tcW w:w="5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 w:type="dxa"/>
            <w:vAlign w:val="bottom"/>
            <w:gridSpan w:val="2"/>
          </w:tcPr>
          <w:p>
            <w:pPr>
              <w:spacing w:after="0"/>
              <w:rPr>
                <w:sz w:val="20"/>
                <w:szCs w:val="20"/>
                <w:color w:val="auto"/>
              </w:rPr>
            </w:pPr>
            <w:r>
              <w:rPr>
                <w:rFonts w:ascii="Arial" w:cs="Arial" w:eastAsia="Arial" w:hAnsi="Arial"/>
                <w:sz w:val="18"/>
                <w:szCs w:val="18"/>
                <w:color w:val="auto"/>
              </w:rPr>
              <w:t>1.1</w:t>
            </w: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entity</w:t>
            </w:r>
          </w:p>
        </w:tc>
        <w:tc>
          <w:tcPr>
            <w:tcW w:w="22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Opthea Limited (Opthea)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w w:val="96"/>
              </w:rPr>
              <w:t>We (the entity here named) give notice of the issue, conversion or</w:t>
            </w:r>
          </w:p>
        </w:tc>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payment up of the following unquoted +securities.</w:t>
            </w:r>
          </w:p>
        </w:tc>
        <w:tc>
          <w:tcPr>
            <w:tcW w:w="2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1.2</w:t>
            </w:r>
          </w:p>
        </w:tc>
        <w:tc>
          <w:tcPr>
            <w:tcW w:w="5060" w:type="dxa"/>
            <w:vAlign w:val="bottom"/>
          </w:tcPr>
          <w:p>
            <w:pPr>
              <w:spacing w:after="0"/>
              <w:rPr>
                <w:sz w:val="20"/>
                <w:szCs w:val="20"/>
                <w:color w:val="auto"/>
              </w:rPr>
            </w:pPr>
            <w:r>
              <w:rPr>
                <w:rFonts w:ascii="Arial" w:cs="Arial" w:eastAsia="Arial" w:hAnsi="Arial"/>
                <w:sz w:val="18"/>
                <w:szCs w:val="18"/>
                <w:color w:val="auto"/>
              </w:rPr>
              <w:t>*Registration type and number</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ABN 32 006 340 567</w:t>
            </w:r>
          </w:p>
        </w:tc>
        <w:tc>
          <w:tcPr>
            <w:tcW w:w="0" w:type="dxa"/>
            <w:vAlign w:val="bottom"/>
          </w:tcPr>
          <w:p>
            <w:pPr>
              <w:spacing w:after="0"/>
              <w:rPr>
                <w:sz w:val="1"/>
                <w:szCs w:val="1"/>
                <w:color w:val="auto"/>
              </w:rPr>
            </w:pPr>
          </w:p>
        </w:tc>
      </w:tr>
      <w:tr>
        <w:trPr>
          <w:trHeight w:val="310"/>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w w:val="92"/>
              </w:rPr>
              <w:t>Please supply your ABN, ARSN, ARBN, ACN or another registration</w:t>
            </w:r>
          </w:p>
        </w:tc>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w w:val="99"/>
              </w:rPr>
              <w:t>type and number (if you supply another registration type, please</w:t>
            </w:r>
          </w:p>
        </w:tc>
        <w:tc>
          <w:tcPr>
            <w:tcW w:w="2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w w:val="97"/>
              </w:rPr>
              <w:t>specify both the type of registration and the registration number).</w:t>
            </w:r>
          </w:p>
        </w:tc>
        <w:tc>
          <w:tcPr>
            <w:tcW w:w="2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1.3</w:t>
            </w:r>
          </w:p>
        </w:tc>
        <w:tc>
          <w:tcPr>
            <w:tcW w:w="5060" w:type="dxa"/>
            <w:vAlign w:val="bottom"/>
          </w:tcPr>
          <w:p>
            <w:pPr>
              <w:spacing w:after="0"/>
              <w:rPr>
                <w:sz w:val="20"/>
                <w:szCs w:val="20"/>
                <w:color w:val="auto"/>
              </w:rPr>
            </w:pPr>
            <w:r>
              <w:rPr>
                <w:rFonts w:ascii="Arial" w:cs="Arial" w:eastAsia="Arial" w:hAnsi="Arial"/>
                <w:sz w:val="18"/>
                <w:szCs w:val="18"/>
                <w:color w:val="auto"/>
              </w:rPr>
              <w:t>*ASX issuer code</w:t>
            </w:r>
          </w:p>
        </w:tc>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60" w:type="dxa"/>
            <w:vAlign w:val="bottom"/>
            <w:gridSpan w:val="2"/>
          </w:tcPr>
          <w:p>
            <w:pPr>
              <w:spacing w:after="0"/>
              <w:rPr>
                <w:sz w:val="20"/>
                <w:szCs w:val="20"/>
                <w:color w:val="auto"/>
              </w:rPr>
            </w:pPr>
            <w:r>
              <w:rPr>
                <w:rFonts w:ascii="Arial" w:cs="Arial" w:eastAsia="Arial" w:hAnsi="Arial"/>
                <w:sz w:val="18"/>
                <w:szCs w:val="18"/>
                <w:color w:val="auto"/>
              </w:rPr>
              <w:t>1.4</w:t>
            </w:r>
          </w:p>
        </w:tc>
        <w:tc>
          <w:tcPr>
            <w:tcW w:w="5060" w:type="dxa"/>
            <w:vAlign w:val="bottom"/>
          </w:tcPr>
          <w:p>
            <w:pPr>
              <w:spacing w:after="0"/>
              <w:rPr>
                <w:sz w:val="20"/>
                <w:szCs w:val="20"/>
                <w:color w:val="auto"/>
              </w:rPr>
            </w:pPr>
            <w:r>
              <w:rPr>
                <w:rFonts w:ascii="Arial" w:cs="Arial" w:eastAsia="Arial" w:hAnsi="Arial"/>
                <w:sz w:val="18"/>
                <w:szCs w:val="18"/>
                <w:color w:val="auto"/>
              </w:rPr>
              <w:t>*This announcement is</w:t>
            </w:r>
          </w:p>
        </w:tc>
        <w:tc>
          <w:tcPr>
            <w:tcW w:w="5220" w:type="dxa"/>
            <w:vAlign w:val="bottom"/>
            <w:gridSpan w:val="3"/>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new announcement</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Tick whichever is applicable.</w:t>
            </w:r>
          </w:p>
        </w:tc>
        <w:tc>
          <w:tcPr>
            <w:tcW w:w="5220" w:type="dxa"/>
            <w:vAlign w:val="bottom"/>
            <w:gridSpan w:val="3"/>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update/amendment to a previous announcement</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220" w:type="dxa"/>
            <w:vAlign w:val="bottom"/>
            <w:gridSpan w:val="3"/>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cancellation of a previous announcement</w:t>
            </w:r>
          </w:p>
        </w:tc>
        <w:tc>
          <w:tcPr>
            <w:tcW w:w="0" w:type="dxa"/>
            <w:vAlign w:val="bottom"/>
          </w:tcPr>
          <w:p>
            <w:pPr>
              <w:spacing w:after="0"/>
              <w:rPr>
                <w:sz w:val="1"/>
                <w:szCs w:val="1"/>
                <w:color w:val="auto"/>
              </w:rPr>
            </w:pP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1.4a</w:t>
            </w:r>
          </w:p>
        </w:tc>
        <w:tc>
          <w:tcPr>
            <w:tcW w:w="5060" w:type="dxa"/>
            <w:vAlign w:val="bottom"/>
          </w:tcPr>
          <w:p>
            <w:pPr>
              <w:spacing w:after="0"/>
              <w:rPr>
                <w:sz w:val="20"/>
                <w:szCs w:val="20"/>
                <w:color w:val="auto"/>
              </w:rPr>
            </w:pPr>
            <w:r>
              <w:rPr>
                <w:rFonts w:ascii="Arial" w:cs="Arial" w:eastAsia="Arial" w:hAnsi="Arial"/>
                <w:sz w:val="18"/>
                <w:szCs w:val="18"/>
                <w:color w:val="auto"/>
              </w:rPr>
              <w:t>*Reason for update</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0"/>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w w:val="94"/>
              </w:rPr>
              <w:t>Mandatory only if “Update” ticked in Q1.4 above. A reason must be</w:t>
            </w:r>
          </w:p>
        </w:tc>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provided for an update.</w:t>
            </w:r>
          </w:p>
        </w:tc>
        <w:tc>
          <w:tcPr>
            <w:tcW w:w="2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1.4b</w:t>
            </w:r>
          </w:p>
        </w:tc>
        <w:tc>
          <w:tcPr>
            <w:tcW w:w="5060" w:type="dxa"/>
            <w:vAlign w:val="bottom"/>
          </w:tcPr>
          <w:p>
            <w:pPr>
              <w:spacing w:after="0"/>
              <w:rPr>
                <w:sz w:val="20"/>
                <w:szCs w:val="20"/>
                <w:color w:val="auto"/>
              </w:rPr>
            </w:pPr>
            <w:r>
              <w:rPr>
                <w:rFonts w:ascii="Arial" w:cs="Arial" w:eastAsia="Arial" w:hAnsi="Arial"/>
                <w:sz w:val="18"/>
                <w:szCs w:val="18"/>
                <w:color w:val="auto"/>
              </w:rPr>
              <w:t>*Date of previous announcement to this update</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Mandatory only if “Update” ticked in Q1.4 above.</w:t>
            </w:r>
          </w:p>
        </w:tc>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1.4c</w:t>
            </w:r>
          </w:p>
        </w:tc>
        <w:tc>
          <w:tcPr>
            <w:tcW w:w="5060" w:type="dxa"/>
            <w:vAlign w:val="bottom"/>
          </w:tcPr>
          <w:p>
            <w:pPr>
              <w:spacing w:after="0"/>
              <w:rPr>
                <w:sz w:val="20"/>
                <w:szCs w:val="20"/>
                <w:color w:val="auto"/>
              </w:rPr>
            </w:pPr>
            <w:r>
              <w:rPr>
                <w:rFonts w:ascii="Arial" w:cs="Arial" w:eastAsia="Arial" w:hAnsi="Arial"/>
                <w:sz w:val="18"/>
                <w:szCs w:val="18"/>
                <w:color w:val="auto"/>
              </w:rPr>
              <w:t>*Reason for cancellation</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Mandatory only if “Cancellation” ticked in Q1.4 above.</w:t>
            </w:r>
          </w:p>
        </w:tc>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1.4d</w:t>
            </w:r>
          </w:p>
        </w:tc>
        <w:tc>
          <w:tcPr>
            <w:tcW w:w="5060" w:type="dxa"/>
            <w:vAlign w:val="bottom"/>
          </w:tcPr>
          <w:p>
            <w:pPr>
              <w:spacing w:after="0"/>
              <w:rPr>
                <w:sz w:val="20"/>
                <w:szCs w:val="20"/>
                <w:color w:val="auto"/>
              </w:rPr>
            </w:pPr>
            <w:r>
              <w:rPr>
                <w:rFonts w:ascii="Arial" w:cs="Arial" w:eastAsia="Arial" w:hAnsi="Arial"/>
                <w:sz w:val="18"/>
                <w:szCs w:val="18"/>
                <w:color w:val="auto"/>
              </w:rPr>
              <w:t>*Date of previous announcement to this cancellation</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Mandatory only if “Cancellation” ticked in Q1.4 above.</w:t>
            </w:r>
          </w:p>
        </w:tc>
        <w:tc>
          <w:tcPr>
            <w:tcW w:w="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1.5</w:t>
            </w:r>
          </w:p>
        </w:tc>
        <w:tc>
          <w:tcPr>
            <w:tcW w:w="5060" w:type="dxa"/>
            <w:vAlign w:val="bottom"/>
          </w:tcPr>
          <w:p>
            <w:pPr>
              <w:spacing w:after="0"/>
              <w:rPr>
                <w:sz w:val="20"/>
                <w:szCs w:val="20"/>
                <w:color w:val="auto"/>
              </w:rPr>
            </w:pPr>
            <w:r>
              <w:rPr>
                <w:rFonts w:ascii="Arial" w:cs="Arial" w:eastAsia="Arial" w:hAnsi="Arial"/>
                <w:sz w:val="18"/>
                <w:szCs w:val="18"/>
                <w:color w:val="auto"/>
              </w:rPr>
              <w:t>*Date of this announcement</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rPr>
              <w:t>5 March 2021</w:t>
            </w:r>
          </w:p>
        </w:tc>
        <w:tc>
          <w:tcPr>
            <w:tcW w:w="0" w:type="dxa"/>
            <w:vAlign w:val="bottom"/>
          </w:tcPr>
          <w:p>
            <w:pPr>
              <w:spacing w:after="0"/>
              <w:rPr>
                <w:sz w:val="1"/>
                <w:szCs w:val="1"/>
                <w:color w:val="auto"/>
              </w:rPr>
            </w:pPr>
          </w:p>
        </w:tc>
      </w:tr>
      <w:tr>
        <w:trPr>
          <w:trHeight w:val="148"/>
        </w:trPr>
        <w:tc>
          <w:tcPr>
            <w:tcW w:w="5820" w:type="dxa"/>
            <w:vAlign w:val="bottom"/>
            <w:tcBorders>
              <w:bottom w:val="single" w:sz="8" w:color="auto"/>
            </w:tcBorders>
            <w:gridSpan w:val="3"/>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9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820" w:type="dxa"/>
            <w:vAlign w:val="bottom"/>
            <w:gridSpan w:val="3"/>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2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i w:val="1"/>
                <w:iCs w:val="1"/>
                <w:color w:val="auto"/>
              </w:rPr>
              <w:t>31 January 2020</w:t>
            </w:r>
          </w:p>
        </w:tc>
        <w:tc>
          <w:tcPr>
            <w:tcW w:w="220" w:type="dxa"/>
            <w:vAlign w:val="bottom"/>
          </w:tcPr>
          <w:p>
            <w:pPr>
              <w:spacing w:after="0"/>
              <w:rPr>
                <w:sz w:val="20"/>
                <w:szCs w:val="20"/>
                <w:color w:val="auto"/>
              </w:rPr>
            </w:pPr>
          </w:p>
        </w:tc>
        <w:tc>
          <w:tcPr>
            <w:tcW w:w="5000" w:type="dxa"/>
            <w:vAlign w:val="bottom"/>
            <w:gridSpan w:val="2"/>
          </w:tcPr>
          <w:p>
            <w:pPr>
              <w:ind w:left="4480"/>
              <w:spacing w:after="0"/>
              <w:rPr>
                <w:sz w:val="20"/>
                <w:szCs w:val="20"/>
                <w:color w:val="auto"/>
              </w:rPr>
            </w:pPr>
            <w:r>
              <w:rPr>
                <w:rFonts w:ascii="Arial" w:cs="Arial" w:eastAsia="Arial" w:hAnsi="Arial"/>
                <w:sz w:val="18"/>
                <w:szCs w:val="18"/>
                <w:color w:val="auto"/>
                <w:w w:val="87"/>
              </w:rPr>
              <w:t>Page 1</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4960" w:type="dxa"/>
            <w:vAlign w:val="bottom"/>
          </w:tcPr>
          <w:p>
            <w:pPr>
              <w:jc w:val="right"/>
              <w:spacing w:after="0"/>
              <w:rPr>
                <w:sz w:val="20"/>
                <w:szCs w:val="20"/>
                <w:color w:val="auto"/>
              </w:rPr>
            </w:pPr>
            <w:r>
              <w:rPr>
                <w:rFonts w:ascii="Arial" w:cs="Arial" w:eastAsia="Arial" w:hAnsi="Arial"/>
                <w:sz w:val="18"/>
                <w:szCs w:val="18"/>
                <w:b w:val="1"/>
                <w:bCs w:val="1"/>
                <w:color w:val="auto"/>
              </w:rPr>
              <w:t>Appendix 3G</w:t>
            </w: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4960" w:type="dxa"/>
            <w:vAlign w:val="bottom"/>
          </w:tcPr>
          <w:p>
            <w:pPr>
              <w:jc w:val="right"/>
              <w:spacing w:after="0"/>
              <w:rPr>
                <w:sz w:val="20"/>
                <w:szCs w:val="20"/>
                <w:color w:val="auto"/>
              </w:rPr>
            </w:pPr>
            <w:r>
              <w:rPr>
                <w:rFonts w:ascii="Arial" w:cs="Arial" w:eastAsia="Arial" w:hAnsi="Arial"/>
                <w:sz w:val="18"/>
                <w:szCs w:val="18"/>
                <w:b w:val="1"/>
                <w:bCs w:val="1"/>
                <w:color w:val="auto"/>
              </w:rPr>
              <w:t>Notification of issue, conversion or</w:t>
            </w:r>
          </w:p>
        </w:tc>
      </w:tr>
      <w:tr>
        <w:trPr>
          <w:trHeight w:val="241"/>
        </w:trPr>
        <w:tc>
          <w:tcPr>
            <w:tcW w:w="606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payment up of equity +securities</w:t>
            </w:r>
          </w:p>
        </w:tc>
      </w:tr>
      <w:tr>
        <w:trPr>
          <w:trHeight w:val="405"/>
        </w:trPr>
        <w:tc>
          <w:tcPr>
            <w:tcW w:w="6060" w:type="dxa"/>
            <w:vAlign w:val="bottom"/>
          </w:tcPr>
          <w:p>
            <w:pPr>
              <w:spacing w:after="0"/>
              <w:rPr>
                <w:sz w:val="20"/>
                <w:szCs w:val="20"/>
                <w:color w:val="auto"/>
              </w:rPr>
            </w:pPr>
            <w:r>
              <w:rPr>
                <w:rFonts w:ascii="Arial" w:cs="Arial" w:eastAsia="Arial" w:hAnsi="Arial"/>
                <w:sz w:val="18"/>
                <w:szCs w:val="18"/>
                <w:color w:val="auto"/>
              </w:rPr>
              <w:t>Part 2 – Type of issue</w:t>
            </w:r>
          </w:p>
        </w:tc>
        <w:tc>
          <w:tcPr>
            <w:tcW w:w="49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020"/>
          </w:cols>
          <w:pgMar w:left="440" w:top="270" w:right="43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Arial" w:cs="Arial" w:eastAsia="Arial" w:hAnsi="Arial"/>
                <w:sz w:val="14"/>
                <w:szCs w:val="14"/>
                <w:b w:val="1"/>
                <w:bCs w:val="1"/>
                <w:color w:val="auto"/>
              </w:rPr>
              <w:t>Question</w:t>
            </w:r>
          </w:p>
        </w:tc>
        <w:tc>
          <w:tcPr>
            <w:tcW w:w="1780" w:type="dxa"/>
            <w:vAlign w:val="bottom"/>
            <w:vMerge w:val="restart"/>
          </w:tcPr>
          <w:p>
            <w:pPr>
              <w:ind w:left="1220"/>
              <w:spacing w:after="0"/>
              <w:rPr>
                <w:sz w:val="20"/>
                <w:szCs w:val="20"/>
                <w:color w:val="auto"/>
              </w:rPr>
            </w:pPr>
            <w:r>
              <w:rPr>
                <w:rFonts w:ascii="Arial" w:cs="Arial" w:eastAsia="Arial" w:hAnsi="Arial"/>
                <w:sz w:val="14"/>
                <w:szCs w:val="14"/>
                <w:b w:val="1"/>
                <w:bCs w:val="1"/>
                <w:color w:val="auto"/>
                <w:w w:val="88"/>
              </w:rPr>
              <w:t>Question</w:t>
            </w:r>
          </w:p>
        </w:tc>
        <w:tc>
          <w:tcPr>
            <w:tcW w:w="0" w:type="dxa"/>
            <w:vAlign w:val="bottom"/>
          </w:tcPr>
          <w:p>
            <w:pPr>
              <w:spacing w:after="0"/>
              <w:rPr>
                <w:sz w:val="1"/>
                <w:szCs w:val="1"/>
                <w:color w:val="auto"/>
              </w:rPr>
            </w:pPr>
          </w:p>
        </w:tc>
      </w:tr>
      <w:tr>
        <w:trPr>
          <w:trHeight w:val="186"/>
        </w:trPr>
        <w:tc>
          <w:tcPr>
            <w:tcW w:w="1760" w:type="dxa"/>
            <w:vAlign w:val="bottom"/>
          </w:tcPr>
          <w:p>
            <w:pPr>
              <w:spacing w:after="0"/>
              <w:rPr>
                <w:sz w:val="20"/>
                <w:szCs w:val="20"/>
                <w:color w:val="auto"/>
              </w:rPr>
            </w:pPr>
            <w:r>
              <w:rPr>
                <w:rFonts w:ascii="Arial" w:cs="Arial" w:eastAsia="Arial" w:hAnsi="Arial"/>
                <w:sz w:val="14"/>
                <w:szCs w:val="14"/>
                <w:b w:val="1"/>
                <w:bCs w:val="1"/>
                <w:u w:val="single" w:color="auto"/>
                <w:color w:val="auto"/>
              </w:rPr>
              <w:t>No</w:t>
            </w: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0</wp:posOffset>
            </wp:positionV>
            <wp:extent cx="32829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+securities the subject of this notification are: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Select whichever item is applicable.</w:t>
      </w:r>
    </w:p>
    <w:p>
      <w:pPr>
        <w:spacing w:after="0" w:line="131"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i w:val="1"/>
          <w:iCs w:val="1"/>
          <w:color w:val="auto"/>
        </w:rPr>
        <w:t>If you wish to notify ASX of different types of issues of securities, please complete a separate Appendix 3G for each type of issue.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214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 w:lineRule="exact"/>
        <w:rPr>
          <w:sz w:val="20"/>
          <w:szCs w:val="20"/>
          <w:color w:val="auto"/>
        </w:rPr>
      </w:pPr>
    </w:p>
    <w:p>
      <w:pPr>
        <w:ind w:left="351" w:right="120" w:hanging="351"/>
        <w:spacing w:after="0" w:line="262" w:lineRule="auto"/>
        <w:tabs>
          <w:tab w:leader="none" w:pos="31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+Securities issued as a result of options being exercised or other +convertible +securities being converted and that are not to be quoted on ASX</w:t>
      </w:r>
    </w:p>
    <w:p>
      <w:pPr>
        <w:spacing w:after="0" w:line="89" w:lineRule="exact"/>
        <w:rPr>
          <w:rFonts w:ascii="MS PGothic" w:cs="MS PGothic" w:eastAsia="MS PGothic" w:hAnsi="MS PGothic"/>
          <w:sz w:val="18"/>
          <w:szCs w:val="18"/>
          <w:color w:val="auto"/>
        </w:rPr>
      </w:pPr>
    </w:p>
    <w:p>
      <w:pPr>
        <w:ind w:left="351" w:right="200" w:hanging="351"/>
        <w:spacing w:after="0" w:line="277" w:lineRule="auto"/>
        <w:tabs>
          <w:tab w:leader="none" w:pos="31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Partly paid +securities that have been fully paid up and that are not to be quoted on ASX</w:t>
      </w:r>
    </w:p>
    <w:p>
      <w:pPr>
        <w:spacing w:after="0" w:line="76" w:lineRule="exact"/>
        <w:rPr>
          <w:sz w:val="20"/>
          <w:szCs w:val="20"/>
          <w:color w:val="auto"/>
        </w:rPr>
      </w:pPr>
    </w:p>
    <w:p>
      <w:pPr>
        <w:ind w:left="351" w:right="60" w:hanging="351"/>
        <w:spacing w:after="0" w:line="277" w:lineRule="auto"/>
        <w:tabs>
          <w:tab w:leader="none" w:pos="315"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+Securities issued under an +employee incentive scheme that are not being immediately quoted on ASX</w:t>
      </w:r>
    </w:p>
    <w:p>
      <w:pPr>
        <w:spacing w:after="0" w:line="76" w:lineRule="exact"/>
        <w:rPr>
          <w:sz w:val="20"/>
          <w:szCs w:val="20"/>
          <w:color w:val="auto"/>
        </w:rPr>
      </w:pPr>
    </w:p>
    <w:p>
      <w:pPr>
        <w:ind w:left="331" w:hanging="331"/>
        <w:spacing w:after="0"/>
        <w:tabs>
          <w:tab w:leader="none" w:pos="331"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Other [please specify]</w:t>
      </w:r>
    </w:p>
    <w:p>
      <w:pPr>
        <w:spacing w:after="0" w:line="131" w:lineRule="exact"/>
        <w:rPr>
          <w:sz w:val="20"/>
          <w:szCs w:val="20"/>
          <w:color w:val="auto"/>
        </w:rPr>
      </w:pPr>
    </w:p>
    <w:p>
      <w:pPr>
        <w:sectPr>
          <w:pgSz w:w="11900" w:h="16838" w:orient="portrait"/>
          <w:cols w:equalWidth="0" w:num="2">
            <w:col w:w="5840" w:space="109"/>
            <w:col w:w="5071"/>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Arial" w:cs="Arial" w:eastAsia="Arial" w:hAnsi="Arial"/>
                <w:sz w:val="18"/>
                <w:szCs w:val="18"/>
                <w:i w:val="1"/>
                <w:iCs w:val="1"/>
                <w:color w:val="auto"/>
                <w:w w:val="94"/>
              </w:rPr>
              <w:t>If you have selected ‘other’ please provide the circumstances of the</w:t>
            </w:r>
          </w:p>
        </w:tc>
      </w:tr>
      <w:tr>
        <w:trPr>
          <w:trHeight w:val="230"/>
        </w:trPr>
        <w:tc>
          <w:tcPr>
            <w:tcW w:w="5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Arial" w:cs="Arial" w:eastAsia="Arial" w:hAnsi="Arial"/>
                <w:sz w:val="18"/>
                <w:szCs w:val="18"/>
                <w:i w:val="1"/>
                <w:iCs w:val="1"/>
                <w:color w:val="auto"/>
              </w:rPr>
              <w:t>issue here:</w:t>
            </w:r>
          </w:p>
        </w:tc>
      </w:tr>
      <w:tr>
        <w:trPr>
          <w:trHeight w:val="323"/>
        </w:trPr>
        <w:tc>
          <w:tcPr>
            <w:tcW w:w="560" w:type="dxa"/>
            <w:vAlign w:val="bottom"/>
          </w:tcPr>
          <w:p>
            <w:pPr>
              <w:spacing w:after="0"/>
              <w:rPr>
                <w:sz w:val="20"/>
                <w:szCs w:val="20"/>
                <w:color w:val="auto"/>
              </w:rPr>
            </w:pPr>
            <w:r>
              <w:rPr>
                <w:rFonts w:ascii="Arial" w:cs="Arial" w:eastAsia="Arial" w:hAnsi="Arial"/>
                <w:sz w:val="18"/>
                <w:szCs w:val="18"/>
                <w:color w:val="auto"/>
              </w:rPr>
              <w:t>2.2a.1</w:t>
            </w:r>
          </w:p>
        </w:tc>
        <w:tc>
          <w:tcPr>
            <w:tcW w:w="5340" w:type="dxa"/>
            <w:vAlign w:val="bottom"/>
          </w:tcPr>
          <w:p>
            <w:pPr>
              <w:ind w:left="120"/>
              <w:spacing w:after="0"/>
              <w:rPr>
                <w:sz w:val="20"/>
                <w:szCs w:val="20"/>
                <w:color w:val="auto"/>
              </w:rPr>
            </w:pPr>
            <w:r>
              <w:rPr>
                <w:rFonts w:ascii="Arial" w:cs="Arial" w:eastAsia="Arial" w:hAnsi="Arial"/>
                <w:sz w:val="18"/>
                <w:szCs w:val="18"/>
                <w:color w:val="auto"/>
                <w:w w:val="89"/>
              </w:rPr>
              <w:t>Please state the number and type of options that were exercised or other</w:t>
            </w:r>
          </w:p>
        </w:tc>
        <w:tc>
          <w:tcPr>
            <w:tcW w:w="5120" w:type="dxa"/>
            <w:vAlign w:val="bottom"/>
          </w:tcPr>
          <w:p>
            <w:pPr>
              <w:ind w:left="40"/>
              <w:spacing w:after="0"/>
              <w:rPr>
                <w:sz w:val="20"/>
                <w:szCs w:val="20"/>
                <w:color w:val="auto"/>
              </w:rPr>
            </w:pPr>
            <w:r>
              <w:rPr>
                <w:rFonts w:ascii="Arial" w:cs="Arial" w:eastAsia="Arial" w:hAnsi="Arial"/>
                <w:sz w:val="18"/>
                <w:szCs w:val="18"/>
                <w:color w:val="auto"/>
              </w:rPr>
              <w:t>N/A</w:t>
            </w:r>
          </w:p>
        </w:tc>
      </w:tr>
      <w:tr>
        <w:trPr>
          <w:trHeight w:val="216"/>
        </w:trPr>
        <w:tc>
          <w:tcPr>
            <w:tcW w:w="5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+convertible securities that were converted (including their ASX</w:t>
            </w:r>
          </w:p>
        </w:tc>
        <w:tc>
          <w:tcPr>
            <w:tcW w:w="512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security code if available)?</w:t>
            </w:r>
          </w:p>
        </w:tc>
        <w:tc>
          <w:tcPr>
            <w:tcW w:w="5120" w:type="dxa"/>
            <w:vAlign w:val="bottom"/>
          </w:tcPr>
          <w:p>
            <w:pPr>
              <w:spacing w:after="0"/>
              <w:rPr>
                <w:sz w:val="20"/>
                <w:szCs w:val="20"/>
                <w:color w:val="auto"/>
              </w:rPr>
            </w:pPr>
          </w:p>
        </w:tc>
      </w:tr>
      <w:tr>
        <w:trPr>
          <w:trHeight w:val="310"/>
        </w:trPr>
        <w:tc>
          <w:tcPr>
            <w:tcW w:w="560" w:type="dxa"/>
            <w:vAlign w:val="bottom"/>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w w:val="92"/>
              </w:rPr>
              <w:t>Answer this question if your response to Q2.1 is “securities issued as a</w:t>
            </w:r>
          </w:p>
        </w:tc>
        <w:tc>
          <w:tcPr>
            <w:tcW w:w="512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w w:val="95"/>
              </w:rPr>
              <w:t>result of options being exercised or other convertible securities being</w:t>
            </w:r>
          </w:p>
        </w:tc>
        <w:tc>
          <w:tcPr>
            <w:tcW w:w="512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rPr>
              <w:t>converted and that are not to be quoted on ASX”.</w:t>
            </w:r>
          </w:p>
        </w:tc>
        <w:tc>
          <w:tcPr>
            <w:tcW w:w="5120" w:type="dxa"/>
            <w:vAlign w:val="bottom"/>
          </w:tcPr>
          <w:p>
            <w:pPr>
              <w:spacing w:after="0"/>
              <w:rPr>
                <w:sz w:val="20"/>
                <w:szCs w:val="20"/>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2.2a.2</w:t>
            </w:r>
          </w:p>
        </w:tc>
        <w:tc>
          <w:tcPr>
            <w:tcW w:w="5340" w:type="dxa"/>
            <w:vAlign w:val="bottom"/>
          </w:tcPr>
          <w:p>
            <w:pPr>
              <w:ind w:left="120"/>
              <w:spacing w:after="0"/>
              <w:rPr>
                <w:sz w:val="20"/>
                <w:szCs w:val="20"/>
                <w:color w:val="auto"/>
              </w:rPr>
            </w:pPr>
            <w:r>
              <w:rPr>
                <w:rFonts w:ascii="Arial" w:cs="Arial" w:eastAsia="Arial" w:hAnsi="Arial"/>
                <w:sz w:val="18"/>
                <w:szCs w:val="18"/>
                <w:color w:val="auto"/>
                <w:w w:val="90"/>
              </w:rPr>
              <w:t>And the date the options were exercised or other +convertible securities</w:t>
            </w:r>
          </w:p>
        </w:tc>
        <w:tc>
          <w:tcPr>
            <w:tcW w:w="5120" w:type="dxa"/>
            <w:vAlign w:val="bottom"/>
          </w:tcPr>
          <w:p>
            <w:pPr>
              <w:ind w:left="40"/>
              <w:spacing w:after="0"/>
              <w:rPr>
                <w:sz w:val="20"/>
                <w:szCs w:val="20"/>
                <w:color w:val="auto"/>
              </w:rPr>
            </w:pPr>
            <w:r>
              <w:rPr>
                <w:rFonts w:ascii="Arial" w:cs="Arial" w:eastAsia="Arial" w:hAnsi="Arial"/>
                <w:sz w:val="18"/>
                <w:szCs w:val="18"/>
                <w:color w:val="auto"/>
              </w:rPr>
              <w:t>N/A</w:t>
            </w:r>
          </w:p>
        </w:tc>
      </w:tr>
      <w:tr>
        <w:trPr>
          <w:trHeight w:val="230"/>
        </w:trPr>
        <w:tc>
          <w:tcPr>
            <w:tcW w:w="5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were converted:</w:t>
            </w:r>
          </w:p>
        </w:tc>
        <w:tc>
          <w:tcPr>
            <w:tcW w:w="5120" w:type="dxa"/>
            <w:vAlign w:val="bottom"/>
          </w:tcPr>
          <w:p>
            <w:pPr>
              <w:spacing w:after="0"/>
              <w:rPr>
                <w:sz w:val="20"/>
                <w:szCs w:val="20"/>
                <w:color w:val="auto"/>
              </w:rPr>
            </w:pPr>
          </w:p>
        </w:tc>
      </w:tr>
      <w:tr>
        <w:trPr>
          <w:trHeight w:val="310"/>
        </w:trPr>
        <w:tc>
          <w:tcPr>
            <w:tcW w:w="560" w:type="dxa"/>
            <w:vAlign w:val="bottom"/>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w w:val="92"/>
              </w:rPr>
              <w:t>Answer this question if your response to Q2.1 is “securities issued as a</w:t>
            </w:r>
          </w:p>
        </w:tc>
        <w:tc>
          <w:tcPr>
            <w:tcW w:w="512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w w:val="95"/>
              </w:rPr>
              <w:t>result of options being exercised or other convertible securities being</w:t>
            </w:r>
          </w:p>
        </w:tc>
        <w:tc>
          <w:tcPr>
            <w:tcW w:w="512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rPr>
              <w:t>converted and that are not to be quoted on ASX”.</w:t>
            </w:r>
          </w:p>
        </w:tc>
        <w:tc>
          <w:tcPr>
            <w:tcW w:w="5120" w:type="dxa"/>
            <w:vAlign w:val="bottom"/>
          </w:tcPr>
          <w:p>
            <w:pPr>
              <w:spacing w:after="0"/>
              <w:rPr>
                <w:sz w:val="20"/>
                <w:szCs w:val="20"/>
                <w:color w:val="auto"/>
              </w:rPr>
            </w:pPr>
          </w:p>
        </w:tc>
      </w:tr>
      <w:tr>
        <w:trPr>
          <w:trHeight w:val="310"/>
        </w:trPr>
        <w:tc>
          <w:tcPr>
            <w:tcW w:w="560" w:type="dxa"/>
            <w:vAlign w:val="bottom"/>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w w:val="95"/>
              </w:rPr>
              <w:t>Note: If this occurred over a range of dates, enter the date the last of</w:t>
            </w:r>
          </w:p>
        </w:tc>
        <w:tc>
          <w:tcPr>
            <w:tcW w:w="51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w w:val="98"/>
              </w:rPr>
              <w:t>the options was exercised or convertible securities was converted.</w:t>
            </w:r>
          </w:p>
        </w:tc>
        <w:tc>
          <w:tcPr>
            <w:tcW w:w="5120" w:type="dxa"/>
            <w:vAlign w:val="bottom"/>
          </w:tcPr>
          <w:p>
            <w:pPr>
              <w:spacing w:after="0"/>
              <w:rPr>
                <w:sz w:val="20"/>
                <w:szCs w:val="20"/>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2.2b.1</w:t>
            </w:r>
          </w:p>
        </w:tc>
        <w:tc>
          <w:tcPr>
            <w:tcW w:w="5340" w:type="dxa"/>
            <w:vAlign w:val="bottom"/>
          </w:tcPr>
          <w:p>
            <w:pPr>
              <w:ind w:left="120"/>
              <w:spacing w:after="0"/>
              <w:rPr>
                <w:sz w:val="20"/>
                <w:szCs w:val="20"/>
                <w:color w:val="auto"/>
              </w:rPr>
            </w:pPr>
            <w:r>
              <w:rPr>
                <w:rFonts w:ascii="Arial" w:cs="Arial" w:eastAsia="Arial" w:hAnsi="Arial"/>
                <w:sz w:val="18"/>
                <w:szCs w:val="18"/>
                <w:color w:val="auto"/>
                <w:w w:val="94"/>
              </w:rPr>
              <w:t>Please state the number and type of partly paid +securities that were</w:t>
            </w:r>
          </w:p>
        </w:tc>
        <w:tc>
          <w:tcPr>
            <w:tcW w:w="5120" w:type="dxa"/>
            <w:vAlign w:val="bottom"/>
          </w:tcPr>
          <w:p>
            <w:pPr>
              <w:ind w:left="40"/>
              <w:spacing w:after="0"/>
              <w:rPr>
                <w:sz w:val="20"/>
                <w:szCs w:val="20"/>
                <w:color w:val="auto"/>
              </w:rPr>
            </w:pPr>
            <w:r>
              <w:rPr>
                <w:rFonts w:ascii="Arial" w:cs="Arial" w:eastAsia="Arial" w:hAnsi="Arial"/>
                <w:sz w:val="18"/>
                <w:szCs w:val="18"/>
                <w:color w:val="auto"/>
              </w:rPr>
              <w:t>N/A</w:t>
            </w:r>
          </w:p>
        </w:tc>
      </w:tr>
      <w:tr>
        <w:trPr>
          <w:trHeight w:val="230"/>
        </w:trPr>
        <w:tc>
          <w:tcPr>
            <w:tcW w:w="5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fully paid up (including their ASX security code if available)?</w:t>
            </w:r>
          </w:p>
        </w:tc>
        <w:tc>
          <w:tcPr>
            <w:tcW w:w="5120" w:type="dxa"/>
            <w:vAlign w:val="bottom"/>
          </w:tcPr>
          <w:p>
            <w:pPr>
              <w:spacing w:after="0"/>
              <w:rPr>
                <w:sz w:val="20"/>
                <w:szCs w:val="20"/>
                <w:color w:val="auto"/>
              </w:rPr>
            </w:pPr>
          </w:p>
        </w:tc>
      </w:tr>
      <w:tr>
        <w:trPr>
          <w:trHeight w:val="310"/>
        </w:trPr>
        <w:tc>
          <w:tcPr>
            <w:tcW w:w="560" w:type="dxa"/>
            <w:vAlign w:val="bottom"/>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w w:val="93"/>
              </w:rPr>
              <w:t>Answer this question if your response to Q2.1 is “partly paid securities</w:t>
            </w:r>
          </w:p>
        </w:tc>
        <w:tc>
          <w:tcPr>
            <w:tcW w:w="51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rPr>
              <w:t>that have been paid up and that are not to be quoted on ASX”.</w:t>
            </w:r>
          </w:p>
        </w:tc>
        <w:tc>
          <w:tcPr>
            <w:tcW w:w="5120" w:type="dxa"/>
            <w:vAlign w:val="bottom"/>
          </w:tcPr>
          <w:p>
            <w:pPr>
              <w:spacing w:after="0"/>
              <w:rPr>
                <w:sz w:val="20"/>
                <w:szCs w:val="20"/>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2.2b.2</w:t>
            </w:r>
          </w:p>
        </w:tc>
        <w:tc>
          <w:tcPr>
            <w:tcW w:w="5340" w:type="dxa"/>
            <w:vAlign w:val="bottom"/>
          </w:tcPr>
          <w:p>
            <w:pPr>
              <w:ind w:left="120"/>
              <w:spacing w:after="0"/>
              <w:rPr>
                <w:sz w:val="20"/>
                <w:szCs w:val="20"/>
                <w:color w:val="auto"/>
              </w:rPr>
            </w:pPr>
            <w:r>
              <w:rPr>
                <w:rFonts w:ascii="Arial" w:cs="Arial" w:eastAsia="Arial" w:hAnsi="Arial"/>
                <w:sz w:val="18"/>
                <w:szCs w:val="18"/>
                <w:color w:val="auto"/>
              </w:rPr>
              <w:t xml:space="preserve">And the date the </w:t>
            </w:r>
            <w:r>
              <w:rPr>
                <w:rFonts w:ascii="Arial" w:cs="Arial" w:eastAsia="Arial" w:hAnsi="Arial"/>
                <w:sz w:val="15"/>
                <w:szCs w:val="15"/>
                <w:color w:val="auto"/>
              </w:rPr>
              <w:t>+</w:t>
            </w:r>
            <w:r>
              <w:rPr>
                <w:rFonts w:ascii="Arial" w:cs="Arial" w:eastAsia="Arial" w:hAnsi="Arial"/>
                <w:sz w:val="18"/>
                <w:szCs w:val="18"/>
                <w:color w:val="auto"/>
              </w:rPr>
              <w:t>securities were fully paid up:</w:t>
            </w:r>
          </w:p>
        </w:tc>
        <w:tc>
          <w:tcPr>
            <w:tcW w:w="5120" w:type="dxa"/>
            <w:vAlign w:val="bottom"/>
          </w:tcPr>
          <w:p>
            <w:pPr>
              <w:ind w:left="40"/>
              <w:spacing w:after="0"/>
              <w:rPr>
                <w:sz w:val="20"/>
                <w:szCs w:val="20"/>
                <w:color w:val="auto"/>
              </w:rPr>
            </w:pPr>
            <w:r>
              <w:rPr>
                <w:rFonts w:ascii="Arial" w:cs="Arial" w:eastAsia="Arial" w:hAnsi="Arial"/>
                <w:sz w:val="18"/>
                <w:szCs w:val="18"/>
                <w:color w:val="auto"/>
              </w:rPr>
              <w:t>N/A</w:t>
            </w:r>
          </w:p>
        </w:tc>
      </w:tr>
      <w:tr>
        <w:trPr>
          <w:trHeight w:val="310"/>
        </w:trPr>
        <w:tc>
          <w:tcPr>
            <w:tcW w:w="560" w:type="dxa"/>
            <w:vAlign w:val="bottom"/>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w w:val="93"/>
              </w:rPr>
              <w:t>Answer this question if your response to Q2.1 is “partly paid securities</w:t>
            </w:r>
          </w:p>
        </w:tc>
        <w:tc>
          <w:tcPr>
            <w:tcW w:w="51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rPr>
              <w:t>that have been paid up and that are not to be quoted on ASX”.</w:t>
            </w:r>
          </w:p>
        </w:tc>
        <w:tc>
          <w:tcPr>
            <w:tcW w:w="5120" w:type="dxa"/>
            <w:vAlign w:val="bottom"/>
          </w:tcPr>
          <w:p>
            <w:pPr>
              <w:spacing w:after="0"/>
              <w:rPr>
                <w:sz w:val="20"/>
                <w:szCs w:val="20"/>
                <w:color w:val="auto"/>
              </w:rPr>
            </w:pPr>
          </w:p>
        </w:tc>
      </w:tr>
      <w:tr>
        <w:trPr>
          <w:trHeight w:val="310"/>
        </w:trPr>
        <w:tc>
          <w:tcPr>
            <w:tcW w:w="560" w:type="dxa"/>
            <w:vAlign w:val="bottom"/>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w w:val="95"/>
              </w:rPr>
              <w:t>Note: If this occurred over a range of dates, enter the date the last of</w:t>
            </w:r>
          </w:p>
        </w:tc>
        <w:tc>
          <w:tcPr>
            <w:tcW w:w="51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rPr>
              <w:t>the securities was fully paid up.</w:t>
            </w:r>
          </w:p>
        </w:tc>
        <w:tc>
          <w:tcPr>
            <w:tcW w:w="5120" w:type="dxa"/>
            <w:vAlign w:val="bottom"/>
          </w:tcPr>
          <w:p>
            <w:pPr>
              <w:spacing w:after="0"/>
              <w:rPr>
                <w:sz w:val="20"/>
                <w:szCs w:val="20"/>
                <w:color w:val="auto"/>
              </w:rPr>
            </w:pPr>
          </w:p>
        </w:tc>
      </w:tr>
      <w:tr>
        <w:trPr>
          <w:trHeight w:val="148"/>
        </w:trPr>
        <w:tc>
          <w:tcPr>
            <w:tcW w:w="5900" w:type="dxa"/>
            <w:vAlign w:val="bottom"/>
            <w:tcBorders>
              <w:bottom w:val="single" w:sz="8" w:color="auto"/>
            </w:tcBorders>
            <w:gridSpan w:val="2"/>
          </w:tcPr>
          <w:p>
            <w:pPr>
              <w:spacing w:after="0"/>
              <w:rPr>
                <w:sz w:val="12"/>
                <w:szCs w:val="12"/>
                <w:color w:val="auto"/>
              </w:rPr>
            </w:pPr>
          </w:p>
        </w:tc>
        <w:tc>
          <w:tcPr>
            <w:tcW w:w="5120" w:type="dxa"/>
            <w:vAlign w:val="bottom"/>
            <w:tcBorders>
              <w:bottom w:val="single" w:sz="8" w:color="auto"/>
            </w:tcBorders>
          </w:tcPr>
          <w:p>
            <w:pPr>
              <w:spacing w:after="0"/>
              <w:rPr>
                <w:sz w:val="12"/>
                <w:szCs w:val="12"/>
                <w:color w:val="auto"/>
              </w:rPr>
            </w:pPr>
          </w:p>
        </w:tc>
      </w:tr>
      <w:tr>
        <w:trPr>
          <w:trHeight w:val="195"/>
        </w:trPr>
        <w:tc>
          <w:tcPr>
            <w:tcW w:w="590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5120" w:type="dxa"/>
            <w:vAlign w:val="bottom"/>
          </w:tcPr>
          <w:p>
            <w:pPr>
              <w:spacing w:after="0"/>
              <w:rPr>
                <w:sz w:val="16"/>
                <w:szCs w:val="16"/>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i w:val="1"/>
                <w:iCs w:val="1"/>
                <w:color w:val="auto"/>
              </w:rPr>
              <w:t>31 January 2020</w:t>
            </w:r>
          </w:p>
        </w:tc>
        <w:tc>
          <w:tcPr>
            <w:tcW w:w="5120" w:type="dxa"/>
            <w:vAlign w:val="bottom"/>
          </w:tcPr>
          <w:p>
            <w:pPr>
              <w:ind w:left="4620"/>
              <w:spacing w:after="0"/>
              <w:rPr>
                <w:sz w:val="20"/>
                <w:szCs w:val="20"/>
                <w:color w:val="auto"/>
              </w:rPr>
            </w:pPr>
            <w:r>
              <w:rPr>
                <w:rFonts w:ascii="Arial" w:cs="Arial" w:eastAsia="Arial" w:hAnsi="Arial"/>
                <w:sz w:val="18"/>
                <w:szCs w:val="18"/>
                <w:color w:val="auto"/>
                <w:w w:val="84"/>
              </w:rPr>
              <w:t>Page 2</w:t>
            </w:r>
          </w:p>
        </w:tc>
      </w:tr>
    </w:tbl>
    <w:p>
      <w:pPr>
        <w:sectPr>
          <w:pgSz w:w="11900" w:h="16838" w:orient="portrait"/>
          <w:cols w:equalWidth="0" w:num="1">
            <w:col w:w="11020"/>
          </w:cols>
          <w:pgMar w:left="440" w:top="270" w:right="439" w:bottom="1440" w:gutter="0" w:footer="0" w:header="0"/>
          <w:type w:val="continuous"/>
        </w:sectPr>
      </w:pPr>
    </w:p>
    <w:bookmarkStart w:id="20" w:name="page21"/>
    <w:bookmarkEnd w:id="20"/>
    <w:p>
      <w:pPr>
        <w:spacing w:after="0"/>
        <w:tabs>
          <w:tab w:leader="none" w:pos="9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r>
        <w:rPr>
          <w:sz w:val="20"/>
          <w:szCs w:val="20"/>
          <w:color w:val="auto"/>
        </w:rPr>
        <w:tab/>
      </w:r>
      <w:r>
        <w:rPr>
          <w:rFonts w:ascii="Arial" w:cs="Arial" w:eastAsia="Arial" w:hAnsi="Arial"/>
          <w:sz w:val="16"/>
          <w:szCs w:val="16"/>
          <w:b w:val="1"/>
          <w:bCs w:val="1"/>
          <w:color w:val="auto"/>
        </w:rPr>
        <w:t>Appendix 3G</w:t>
      </w:r>
    </w:p>
    <w:p>
      <w:pPr>
        <w:spacing w:after="0" w:line="27" w:lineRule="exact"/>
        <w:rPr>
          <w:sz w:val="20"/>
          <w:szCs w:val="20"/>
          <w:color w:val="auto"/>
        </w:rPr>
      </w:pPr>
    </w:p>
    <w:p>
      <w:pPr>
        <w:spacing w:after="0"/>
        <w:tabs>
          <w:tab w:leader="none" w:pos="8340" w:val="left"/>
        </w:tabs>
        <w:rPr>
          <w:sz w:val="20"/>
          <w:szCs w:val="20"/>
          <w:color w:val="auto"/>
        </w:rPr>
      </w:pPr>
      <w:r>
        <w:rPr>
          <w:rFonts w:ascii="Arial" w:cs="Arial" w:eastAsia="Arial" w:hAnsi="Arial"/>
          <w:sz w:val="18"/>
          <w:szCs w:val="18"/>
          <w:b w:val="1"/>
          <w:bCs w:val="1"/>
          <w:color w:val="auto"/>
        </w:rPr>
        <w:t>Please fill in and submit as a PDF announcement</w:t>
      </w:r>
      <w:r>
        <w:rPr>
          <w:sz w:val="20"/>
          <w:szCs w:val="20"/>
          <w:color w:val="auto"/>
        </w:rPr>
        <w:tab/>
      </w:r>
      <w:r>
        <w:rPr>
          <w:rFonts w:ascii="Arial" w:cs="Arial" w:eastAsia="Arial" w:hAnsi="Arial"/>
          <w:sz w:val="15"/>
          <w:szCs w:val="15"/>
          <w:b w:val="1"/>
          <w:bCs w:val="1"/>
          <w:color w:val="auto"/>
        </w:rPr>
        <w:t>Notification of issue, conversion or</w:t>
      </w:r>
    </w:p>
    <w:p>
      <w:pPr>
        <w:spacing w:after="0" w:line="9"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payment up of equity +securities</w:t>
      </w:r>
    </w:p>
    <w:p>
      <w:pPr>
        <w:sectPr>
          <w:pgSz w:w="11900" w:h="16838" w:orient="portrait"/>
          <w:cols w:equalWidth="0" w:num="1">
            <w:col w:w="11020"/>
          </w:cols>
          <w:pgMar w:left="440" w:top="270" w:right="439" w:bottom="1440" w:gutter="0" w:footer="0" w:header="0"/>
        </w:sectPr>
      </w:pPr>
    </w:p>
    <w:p>
      <w:pPr>
        <w:spacing w:after="0" w:line="166" w:lineRule="exact"/>
        <w:rPr>
          <w:sz w:val="20"/>
          <w:szCs w:val="20"/>
          <w:color w:val="auto"/>
        </w:rPr>
      </w:pPr>
    </w:p>
    <w:p>
      <w:pPr>
        <w:jc w:val="both"/>
        <w:ind w:left="780" w:hanging="782"/>
        <w:spacing w:after="0" w:line="286" w:lineRule="auto"/>
        <w:tabs>
          <w:tab w:leader="none" w:pos="760" w:val="left"/>
        </w:tabs>
        <w:rPr>
          <w:sz w:val="20"/>
          <w:szCs w:val="20"/>
          <w:color w:val="auto"/>
        </w:rPr>
      </w:pPr>
      <w:r>
        <w:rPr>
          <w:rFonts w:ascii="Arial" w:cs="Arial" w:eastAsia="Arial" w:hAnsi="Arial"/>
          <w:sz w:val="18"/>
          <w:szCs w:val="18"/>
          <w:color w:val="auto"/>
        </w:rPr>
        <w:t>2.2c.1</w:t>
      </w:r>
      <w:r>
        <w:rPr>
          <w:sz w:val="20"/>
          <w:szCs w:val="20"/>
          <w:color w:val="auto"/>
        </w:rPr>
        <w:tab/>
      </w:r>
      <w:r>
        <w:rPr>
          <w:rFonts w:ascii="Arial" w:cs="Arial" w:eastAsia="Arial" w:hAnsi="Arial"/>
          <w:sz w:val="17"/>
          <w:szCs w:val="17"/>
          <w:color w:val="auto"/>
        </w:rPr>
        <w:t>Please state the number and type of +securities (including their ASX security code) issued under an +employee incentive scheme that are not being immediately quoted on ASX</w:t>
      </w:r>
    </w:p>
    <w:p>
      <w:pPr>
        <w:spacing w:after="0" w:line="57" w:lineRule="exact"/>
        <w:rPr>
          <w:sz w:val="20"/>
          <w:szCs w:val="20"/>
          <w:color w:val="auto"/>
        </w:rPr>
      </w:pPr>
    </w:p>
    <w:p>
      <w:pPr>
        <w:ind w:left="780" w:right="60"/>
        <w:spacing w:after="0" w:line="263" w:lineRule="auto"/>
        <w:rPr>
          <w:sz w:val="20"/>
          <w:szCs w:val="20"/>
          <w:color w:val="auto"/>
        </w:rPr>
      </w:pPr>
      <w:r>
        <w:rPr>
          <w:rFonts w:ascii="Arial" w:cs="Arial" w:eastAsia="Arial" w:hAnsi="Arial"/>
          <w:sz w:val="18"/>
          <w:szCs w:val="18"/>
          <w:i w:val="1"/>
          <w:iCs w:val="1"/>
          <w:color w:val="auto"/>
        </w:rPr>
        <w:t>Answer this question if your response to Q2.1 is “securities issued under an employee incentive scheme that are not being immediately quoted on ASX”.</w:t>
      </w:r>
    </w:p>
    <w:p>
      <w:pPr>
        <w:spacing w:after="0" w:line="76" w:lineRule="exact"/>
        <w:rPr>
          <w:sz w:val="20"/>
          <w:szCs w:val="20"/>
          <w:color w:val="auto"/>
        </w:rPr>
      </w:pPr>
    </w:p>
    <w:p>
      <w:pPr>
        <w:jc w:val="both"/>
        <w:ind w:left="780" w:right="240" w:hanging="782"/>
        <w:spacing w:after="0" w:line="263" w:lineRule="auto"/>
        <w:tabs>
          <w:tab w:leader="none" w:pos="760" w:val="left"/>
        </w:tabs>
        <w:rPr>
          <w:sz w:val="20"/>
          <w:szCs w:val="20"/>
          <w:color w:val="auto"/>
        </w:rPr>
      </w:pPr>
      <w:r>
        <w:rPr>
          <w:rFonts w:ascii="Arial" w:cs="Arial" w:eastAsia="Arial" w:hAnsi="Arial"/>
          <w:sz w:val="18"/>
          <w:szCs w:val="18"/>
          <w:color w:val="auto"/>
        </w:rPr>
        <w:t>2.2c.2</w:t>
      </w:r>
      <w:r>
        <w:rPr>
          <w:sz w:val="20"/>
          <w:szCs w:val="20"/>
          <w:color w:val="auto"/>
        </w:rPr>
        <w:tab/>
      </w:r>
      <w:r>
        <w:rPr>
          <w:rFonts w:ascii="Arial" w:cs="Arial" w:eastAsia="Arial" w:hAnsi="Arial"/>
          <w:sz w:val="18"/>
          <w:szCs w:val="18"/>
          <w:color w:val="auto"/>
        </w:rPr>
        <w:t>*Please attach a document or provide details of a URL link for a document lodged with ASX detailing the terms of the +employee incentive scheme or a summary of the terms.</w:t>
      </w:r>
    </w:p>
    <w:p>
      <w:pPr>
        <w:spacing w:after="0" w:line="76" w:lineRule="exact"/>
        <w:rPr>
          <w:sz w:val="20"/>
          <w:szCs w:val="20"/>
          <w:color w:val="auto"/>
        </w:rPr>
      </w:pPr>
    </w:p>
    <w:p>
      <w:pPr>
        <w:ind w:left="780" w:right="60"/>
        <w:spacing w:after="0" w:line="263" w:lineRule="auto"/>
        <w:rPr>
          <w:sz w:val="20"/>
          <w:szCs w:val="20"/>
          <w:color w:val="auto"/>
        </w:rPr>
      </w:pPr>
      <w:r>
        <w:rPr>
          <w:rFonts w:ascii="Arial" w:cs="Arial" w:eastAsia="Arial" w:hAnsi="Arial"/>
          <w:sz w:val="18"/>
          <w:szCs w:val="18"/>
          <w:i w:val="1"/>
          <w:iCs w:val="1"/>
          <w:color w:val="auto"/>
        </w:rPr>
        <w:t>Answer this question if your response to Q2.1 is “securities issued under an employee incentive scheme that are not being immediately quoted on ASX”.</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OPTAB: 7,000,000 unquoted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u w:val="single" w:color="auto"/>
          <w:color w:val="auto"/>
        </w:rPr>
        <w:t>Opthea Non-Executive Director Share and Option Plan</w:t>
      </w:r>
      <w:r>
        <w:rPr>
          <w:rFonts w:ascii="Arial" w:cs="Arial" w:eastAsia="Arial" w:hAnsi="Arial"/>
          <w:sz w:val="18"/>
          <w:szCs w:val="18"/>
          <w:color w:val="auto"/>
        </w:rPr>
        <w:t xml:space="preserve"> (NED Plan) included in the Explanatory Notes to the Notice of Annual General Meeting.</w:t>
      </w:r>
    </w:p>
    <w:p>
      <w:pPr>
        <w:spacing w:after="0" w:line="831" w:lineRule="exact"/>
        <w:rPr>
          <w:sz w:val="20"/>
          <w:szCs w:val="20"/>
          <w:color w:val="auto"/>
        </w:rPr>
      </w:pPr>
    </w:p>
    <w:p>
      <w:pPr>
        <w:sectPr>
          <w:pgSz w:w="11900" w:h="16838" w:orient="portrait"/>
          <w:cols w:equalWidth="0" w:num="2">
            <w:col w:w="5720" w:space="220"/>
            <w:col w:w="5080"/>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2.2c.3</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w w:val="98"/>
              </w:rPr>
              <w:t>*Are any of these +securities being issued to +key management</w:t>
            </w:r>
          </w:p>
        </w:tc>
        <w:tc>
          <w:tcPr>
            <w:tcW w:w="4940" w:type="dxa"/>
            <w:vAlign w:val="bottom"/>
          </w:tcPr>
          <w:p>
            <w:pPr>
              <w:jc w:val="center"/>
              <w:ind w:right="4350"/>
              <w:spacing w:after="0"/>
              <w:rPr>
                <w:sz w:val="20"/>
                <w:szCs w:val="20"/>
                <w:color w:val="auto"/>
              </w:rPr>
            </w:pPr>
            <w:r>
              <w:rPr>
                <w:rFonts w:ascii="Arial" w:cs="Arial" w:eastAsia="Arial" w:hAnsi="Arial"/>
                <w:sz w:val="18"/>
                <w:szCs w:val="18"/>
                <w:color w:val="auto"/>
                <w:w w:val="95"/>
              </w:rPr>
              <w:t>No</w:t>
            </w:r>
          </w:p>
        </w:tc>
      </w:tr>
      <w:tr>
        <w:trPr>
          <w:trHeight w:val="230"/>
        </w:trPr>
        <w:tc>
          <w:tcPr>
            <w:tcW w:w="660" w:type="dxa"/>
            <w:vAlign w:val="bottom"/>
          </w:tcPr>
          <w:p>
            <w:pPr>
              <w:spacing w:after="0"/>
              <w:rPr>
                <w:sz w:val="20"/>
                <w:szCs w:val="20"/>
                <w:color w:val="auto"/>
              </w:rPr>
            </w:pP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personnel (KMP) or an +associate</w:t>
            </w:r>
          </w:p>
        </w:tc>
        <w:tc>
          <w:tcPr>
            <w:tcW w:w="94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10"/>
        </w:trPr>
        <w:tc>
          <w:tcPr>
            <w:tcW w:w="660" w:type="dxa"/>
            <w:vAlign w:val="bottom"/>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i w:val="1"/>
                <w:iCs w:val="1"/>
                <w:color w:val="auto"/>
                <w:w w:val="95"/>
              </w:rPr>
              <w:t>Answer this question if your response to Q2.1 is “securities issued</w:t>
            </w:r>
          </w:p>
        </w:tc>
        <w:tc>
          <w:tcPr>
            <w:tcW w:w="494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i w:val="1"/>
                <w:iCs w:val="1"/>
                <w:color w:val="auto"/>
                <w:w w:val="91"/>
              </w:rPr>
              <w:t>under an employee incentive scheme that are not being immediately</w:t>
            </w:r>
          </w:p>
        </w:tc>
        <w:tc>
          <w:tcPr>
            <w:tcW w:w="49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640" w:type="dxa"/>
            <w:vAlign w:val="bottom"/>
          </w:tcPr>
          <w:p>
            <w:pPr>
              <w:ind w:left="120"/>
              <w:spacing w:after="0"/>
              <w:rPr>
                <w:sz w:val="20"/>
                <w:szCs w:val="20"/>
                <w:color w:val="auto"/>
              </w:rPr>
            </w:pPr>
            <w:r>
              <w:rPr>
                <w:rFonts w:ascii="Arial" w:cs="Arial" w:eastAsia="Arial" w:hAnsi="Arial"/>
                <w:sz w:val="18"/>
                <w:szCs w:val="18"/>
                <w:i w:val="1"/>
                <w:iCs w:val="1"/>
                <w:color w:val="auto"/>
              </w:rPr>
              <w:t>quoted on ASX”.</w:t>
            </w:r>
          </w:p>
        </w:tc>
        <w:tc>
          <w:tcPr>
            <w:tcW w:w="2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w w:val="99"/>
              </w:rPr>
              <w:t>2.2c.3.a</w:t>
            </w:r>
          </w:p>
        </w:tc>
        <w:tc>
          <w:tcPr>
            <w:tcW w:w="10080" w:type="dxa"/>
            <w:vAlign w:val="bottom"/>
            <w:gridSpan w:val="4"/>
          </w:tcPr>
          <w:p>
            <w:pPr>
              <w:ind w:left="120"/>
              <w:spacing w:after="0"/>
              <w:rPr>
                <w:sz w:val="20"/>
                <w:szCs w:val="20"/>
                <w:color w:val="auto"/>
              </w:rPr>
            </w:pPr>
            <w:r>
              <w:rPr>
                <w:rFonts w:ascii="Arial" w:cs="Arial" w:eastAsia="Arial" w:hAnsi="Arial"/>
                <w:sz w:val="18"/>
                <w:szCs w:val="18"/>
                <w:color w:val="auto"/>
              </w:rPr>
              <w:t>*Provide details of the recipients and the number of +securities issued to each of them.</w:t>
            </w:r>
          </w:p>
        </w:tc>
      </w:tr>
      <w:tr>
        <w:trPr>
          <w:trHeight w:val="323"/>
        </w:trPr>
        <w:tc>
          <w:tcPr>
            <w:tcW w:w="660" w:type="dxa"/>
            <w:vAlign w:val="bottom"/>
          </w:tcPr>
          <w:p>
            <w:pPr>
              <w:spacing w:after="0"/>
              <w:rPr>
                <w:sz w:val="24"/>
                <w:szCs w:val="24"/>
                <w:color w:val="auto"/>
              </w:rPr>
            </w:pPr>
          </w:p>
        </w:tc>
        <w:tc>
          <w:tcPr>
            <w:tcW w:w="10080" w:type="dxa"/>
            <w:vAlign w:val="bottom"/>
            <w:gridSpan w:val="4"/>
          </w:tcPr>
          <w:p>
            <w:pPr>
              <w:ind w:left="120"/>
              <w:spacing w:after="0"/>
              <w:rPr>
                <w:sz w:val="20"/>
                <w:szCs w:val="20"/>
                <w:color w:val="auto"/>
              </w:rPr>
            </w:pPr>
            <w:r>
              <w:rPr>
                <w:rFonts w:ascii="Arial" w:cs="Arial" w:eastAsia="Arial" w:hAnsi="Arial"/>
                <w:sz w:val="18"/>
                <w:szCs w:val="18"/>
                <w:i w:val="1"/>
                <w:iCs w:val="1"/>
                <w:color w:val="auto"/>
                <w:w w:val="92"/>
              </w:rPr>
              <w:t>Answer this question if your response to Q2.1 is “securities issued under an employee incentive scheme that are not being immediately</w:t>
            </w:r>
          </w:p>
        </w:tc>
      </w:tr>
      <w:tr>
        <w:trPr>
          <w:trHeight w:val="216"/>
        </w:trPr>
        <w:tc>
          <w:tcPr>
            <w:tcW w:w="660" w:type="dxa"/>
            <w:vAlign w:val="bottom"/>
          </w:tcPr>
          <w:p>
            <w:pPr>
              <w:spacing w:after="0"/>
              <w:rPr>
                <w:sz w:val="18"/>
                <w:szCs w:val="18"/>
                <w:color w:val="auto"/>
              </w:rPr>
            </w:pPr>
          </w:p>
        </w:tc>
        <w:tc>
          <w:tcPr>
            <w:tcW w:w="10080" w:type="dxa"/>
            <w:vAlign w:val="bottom"/>
            <w:gridSpan w:val="4"/>
          </w:tcPr>
          <w:p>
            <w:pPr>
              <w:ind w:left="120"/>
              <w:spacing w:after="0"/>
              <w:rPr>
                <w:sz w:val="20"/>
                <w:szCs w:val="20"/>
                <w:color w:val="auto"/>
              </w:rPr>
            </w:pPr>
            <w:r>
              <w:rPr>
                <w:rFonts w:ascii="Arial" w:cs="Arial" w:eastAsia="Arial" w:hAnsi="Arial"/>
                <w:sz w:val="18"/>
                <w:szCs w:val="18"/>
                <w:i w:val="1"/>
                <w:iCs w:val="1"/>
                <w:color w:val="auto"/>
                <w:w w:val="93"/>
              </w:rPr>
              <w:t>quoted on ASX” and your response to Q2.2c.3 is “Yes”. Repeat the detail in the table below for each KMP involved in the issue. If the</w:t>
            </w:r>
          </w:p>
        </w:tc>
      </w:tr>
      <w:tr>
        <w:trPr>
          <w:trHeight w:val="216"/>
        </w:trPr>
        <w:tc>
          <w:tcPr>
            <w:tcW w:w="660" w:type="dxa"/>
            <w:vAlign w:val="bottom"/>
          </w:tcPr>
          <w:p>
            <w:pPr>
              <w:spacing w:after="0"/>
              <w:rPr>
                <w:sz w:val="18"/>
                <w:szCs w:val="18"/>
                <w:color w:val="auto"/>
              </w:rPr>
            </w:pPr>
          </w:p>
        </w:tc>
        <w:tc>
          <w:tcPr>
            <w:tcW w:w="10080" w:type="dxa"/>
            <w:vAlign w:val="bottom"/>
            <w:gridSpan w:val="4"/>
          </w:tcPr>
          <w:p>
            <w:pPr>
              <w:ind w:left="120"/>
              <w:spacing w:after="0"/>
              <w:rPr>
                <w:sz w:val="20"/>
                <w:szCs w:val="20"/>
                <w:color w:val="auto"/>
              </w:rPr>
            </w:pPr>
            <w:r>
              <w:rPr>
                <w:rFonts w:ascii="Arial" w:cs="Arial" w:eastAsia="Arial" w:hAnsi="Arial"/>
                <w:sz w:val="18"/>
                <w:szCs w:val="18"/>
                <w:i w:val="1"/>
                <w:iCs w:val="1"/>
                <w:color w:val="auto"/>
                <w:w w:val="91"/>
              </w:rPr>
              <w:t>securities are being issued to the KMP, repeat the name of the KMP or insert “Same” in “Name of registered holder”. If the securities are</w:t>
            </w:r>
          </w:p>
        </w:tc>
      </w:tr>
      <w:tr>
        <w:trPr>
          <w:trHeight w:val="230"/>
        </w:trPr>
        <w:tc>
          <w:tcPr>
            <w:tcW w:w="660" w:type="dxa"/>
            <w:vAlign w:val="bottom"/>
          </w:tcPr>
          <w:p>
            <w:pPr>
              <w:spacing w:after="0"/>
              <w:rPr>
                <w:sz w:val="20"/>
                <w:szCs w:val="20"/>
                <w:color w:val="auto"/>
              </w:rPr>
            </w:pPr>
          </w:p>
        </w:tc>
        <w:tc>
          <w:tcPr>
            <w:tcW w:w="10080" w:type="dxa"/>
            <w:vAlign w:val="bottom"/>
            <w:gridSpan w:val="4"/>
          </w:tcPr>
          <w:p>
            <w:pPr>
              <w:ind w:left="120"/>
              <w:spacing w:after="0"/>
              <w:rPr>
                <w:sz w:val="20"/>
                <w:szCs w:val="20"/>
                <w:color w:val="auto"/>
              </w:rPr>
            </w:pPr>
            <w:r>
              <w:rPr>
                <w:rFonts w:ascii="Arial" w:cs="Arial" w:eastAsia="Arial" w:hAnsi="Arial"/>
                <w:sz w:val="18"/>
                <w:szCs w:val="18"/>
                <w:i w:val="1"/>
                <w:iCs w:val="1"/>
                <w:color w:val="auto"/>
              </w:rPr>
              <w:t>being issued to an associate of a KMP, insert the name of the associate in “Name of registered holder”.</w:t>
            </w:r>
          </w:p>
        </w:tc>
      </w:tr>
      <w:tr>
        <w:trPr>
          <w:trHeight w:val="323"/>
        </w:trPr>
        <w:tc>
          <w:tcPr>
            <w:tcW w:w="66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Arial" w:cs="Arial" w:eastAsia="Arial" w:hAnsi="Arial"/>
                <w:sz w:val="18"/>
                <w:szCs w:val="18"/>
                <w:color w:val="auto"/>
              </w:rPr>
              <w:t>N/A</w:t>
            </w:r>
          </w:p>
        </w:tc>
        <w:tc>
          <w:tcPr>
            <w:tcW w:w="2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1640" w:type="dxa"/>
            <w:vAlign w:val="bottom"/>
          </w:tcPr>
          <w:p>
            <w:pPr>
              <w:ind w:left="120"/>
              <w:spacing w:after="0"/>
              <w:rPr>
                <w:sz w:val="20"/>
                <w:szCs w:val="20"/>
                <w:color w:val="auto"/>
              </w:rPr>
            </w:pPr>
            <w:r>
              <w:rPr>
                <w:rFonts w:ascii="Arial" w:cs="Arial" w:eastAsia="Arial" w:hAnsi="Arial"/>
                <w:sz w:val="18"/>
                <w:szCs w:val="18"/>
                <w:color w:val="auto"/>
              </w:rPr>
              <w:t>Name of KMP</w:t>
            </w:r>
          </w:p>
        </w:tc>
        <w:tc>
          <w:tcPr>
            <w:tcW w:w="2560" w:type="dxa"/>
            <w:vAlign w:val="bottom"/>
          </w:tcPr>
          <w:p>
            <w:pPr>
              <w:ind w:left="300"/>
              <w:spacing w:after="0"/>
              <w:rPr>
                <w:sz w:val="20"/>
                <w:szCs w:val="20"/>
                <w:color w:val="auto"/>
              </w:rPr>
            </w:pPr>
            <w:r>
              <w:rPr>
                <w:rFonts w:ascii="Arial" w:cs="Arial" w:eastAsia="Arial" w:hAnsi="Arial"/>
                <w:sz w:val="18"/>
                <w:szCs w:val="18"/>
                <w:color w:val="auto"/>
              </w:rPr>
              <w:t>Name of registered holder</w:t>
            </w:r>
          </w:p>
        </w:tc>
        <w:tc>
          <w:tcPr>
            <w:tcW w:w="5880" w:type="dxa"/>
            <w:vAlign w:val="bottom"/>
            <w:gridSpan w:val="2"/>
          </w:tcPr>
          <w:p>
            <w:pPr>
              <w:jc w:val="center"/>
              <w:ind w:right="3410"/>
              <w:spacing w:after="0"/>
              <w:rPr>
                <w:sz w:val="20"/>
                <w:szCs w:val="20"/>
                <w:color w:val="auto"/>
              </w:rPr>
            </w:pPr>
            <w:r>
              <w:rPr>
                <w:rFonts w:ascii="Arial" w:cs="Arial" w:eastAsia="Arial" w:hAnsi="Arial"/>
                <w:sz w:val="18"/>
                <w:szCs w:val="18"/>
                <w:color w:val="auto"/>
                <w:w w:val="92"/>
              </w:rPr>
              <w:t>Number of +securities</w:t>
            </w:r>
          </w:p>
        </w:tc>
      </w:tr>
    </w:tbl>
    <w:p>
      <w:pPr>
        <w:spacing w:after="0" w:line="121" w:lineRule="exact"/>
        <w:rPr>
          <w:sz w:val="20"/>
          <w:szCs w:val="20"/>
          <w:color w:val="auto"/>
        </w:rPr>
      </w:pPr>
    </w:p>
    <w:p>
      <w:pPr>
        <w:sectPr>
          <w:pgSz w:w="11900" w:h="16838" w:orient="portrait"/>
          <w:cols w:equalWidth="0" w:num="1">
            <w:col w:w="11020"/>
          </w:cols>
          <w:pgMar w:left="440" w:top="270" w:right="439" w:bottom="1440" w:gutter="0" w:footer="0" w:header="0"/>
          <w:type w:val="continuous"/>
        </w:sectPr>
      </w:pPr>
    </w:p>
    <w:p>
      <w:pPr>
        <w:spacing w:after="0"/>
        <w:tabs>
          <w:tab w:leader="none" w:pos="660" w:val="left"/>
        </w:tabs>
        <w:rPr>
          <w:sz w:val="20"/>
          <w:szCs w:val="20"/>
          <w:color w:val="auto"/>
        </w:rPr>
      </w:pPr>
      <w:r>
        <w:rPr>
          <w:rFonts w:ascii="Arial" w:cs="Arial" w:eastAsia="Arial" w:hAnsi="Arial"/>
          <w:sz w:val="18"/>
          <w:szCs w:val="18"/>
          <w:color w:val="auto"/>
        </w:rPr>
        <w:t>2.2d.1</w:t>
      </w:r>
      <w:r>
        <w:rPr>
          <w:sz w:val="20"/>
          <w:szCs w:val="20"/>
          <w:color w:val="auto"/>
        </w:rPr>
        <w:tab/>
      </w:r>
      <w:r>
        <w:rPr>
          <w:rFonts w:ascii="Arial" w:cs="Arial" w:eastAsia="Arial" w:hAnsi="Arial"/>
          <w:sz w:val="16"/>
          <w:szCs w:val="16"/>
          <w:color w:val="auto"/>
        </w:rPr>
        <w:t>*The purpose(s) for which the entity is issuing the +securities is:</w:t>
      </w:r>
    </w:p>
    <w:p>
      <w:pPr>
        <w:spacing w:after="0" w:line="131"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i w:val="1"/>
          <w:iCs w:val="1"/>
          <w:color w:val="auto"/>
        </w:rPr>
        <w:t>Answer this question if your response to Q2.1 is “Other”. You may select one or more of the items in the list.</w:t>
      </w:r>
    </w:p>
    <w:p>
      <w:pPr>
        <w:spacing w:after="0" w:line="20" w:lineRule="exact"/>
        <w:rPr>
          <w:sz w:val="20"/>
          <w:szCs w:val="20"/>
          <w:color w:val="auto"/>
        </w:rPr>
      </w:pPr>
      <w:r>
        <w:rPr>
          <w:sz w:val="20"/>
          <w:szCs w:val="20"/>
          <w:color w:val="auto"/>
        </w:rPr>
        <w:br w:type="column"/>
      </w:r>
    </w:p>
    <w:p>
      <w:pPr>
        <w:ind w:left="331" w:hanging="331"/>
        <w:spacing w:after="0"/>
        <w:tabs>
          <w:tab w:leader="none" w:pos="331"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To raise additional working capital</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To fund the retirement of debt</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9"/>
        </w:numPr>
        <w:rPr>
          <w:rFonts w:ascii="MS PGothic" w:cs="MS PGothic" w:eastAsia="MS PGothic" w:hAnsi="MS PGothic"/>
          <w:sz w:val="16"/>
          <w:szCs w:val="16"/>
          <w:color w:val="auto"/>
        </w:rPr>
      </w:pPr>
      <w:r>
        <w:rPr>
          <w:rFonts w:ascii="Arial" w:cs="Arial" w:eastAsia="Arial" w:hAnsi="Arial"/>
          <w:sz w:val="16"/>
          <w:szCs w:val="16"/>
          <w:color w:val="auto"/>
        </w:rPr>
        <w:t>To pay for the acquisition of an asset [</w:t>
      </w:r>
      <w:r>
        <w:rPr>
          <w:rFonts w:ascii="Arial" w:cs="Arial" w:eastAsia="Arial" w:hAnsi="Arial"/>
          <w:sz w:val="16"/>
          <w:szCs w:val="16"/>
          <w:i w:val="1"/>
          <w:iCs w:val="1"/>
          <w:color w:val="auto"/>
        </w:rPr>
        <w:t>provide details below</w:t>
      </w:r>
      <w:r>
        <w:rPr>
          <w:rFonts w:ascii="Arial" w:cs="Arial" w:eastAsia="Arial" w:hAnsi="Arial"/>
          <w:sz w:val="16"/>
          <w:szCs w:val="16"/>
          <w:color w:val="auto"/>
        </w:rPr>
        <w:t>]</w:t>
      </w:r>
    </w:p>
    <w:p>
      <w:pPr>
        <w:spacing w:after="0" w:line="153" w:lineRule="exact"/>
        <w:rPr>
          <w:rFonts w:ascii="MS PGothic" w:cs="MS PGothic" w:eastAsia="MS PGothic" w:hAnsi="MS PGothic"/>
          <w:sz w:val="16"/>
          <w:szCs w:val="16"/>
          <w:color w:val="auto"/>
        </w:rPr>
      </w:pPr>
    </w:p>
    <w:p>
      <w:pPr>
        <w:ind w:left="331" w:hanging="331"/>
        <w:spacing w:after="0"/>
        <w:tabs>
          <w:tab w:leader="none" w:pos="331"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To pay for services rendered [</w:t>
      </w:r>
      <w:r>
        <w:rPr>
          <w:rFonts w:ascii="Arial" w:cs="Arial" w:eastAsia="Arial" w:hAnsi="Arial"/>
          <w:sz w:val="18"/>
          <w:szCs w:val="18"/>
          <w:i w:val="1"/>
          <w:iCs w:val="1"/>
          <w:color w:val="auto"/>
        </w:rPr>
        <w:t>provide details below</w:t>
      </w:r>
      <w:r>
        <w:rPr>
          <w:rFonts w:ascii="Arial" w:cs="Arial" w:eastAsia="Arial" w:hAnsi="Arial"/>
          <w:sz w:val="18"/>
          <w:szCs w:val="18"/>
          <w:color w:val="auto"/>
        </w:rPr>
        <w:t>]</w:t>
      </w:r>
    </w:p>
    <w:p>
      <w:pPr>
        <w:spacing w:after="0" w:line="130" w:lineRule="exact"/>
        <w:rPr>
          <w:rFonts w:ascii="MS PGothic" w:cs="MS PGothic" w:eastAsia="MS PGothic" w:hAnsi="MS PGothic"/>
          <w:sz w:val="18"/>
          <w:szCs w:val="18"/>
          <w:color w:val="auto"/>
        </w:rPr>
      </w:pPr>
    </w:p>
    <w:p>
      <w:pPr>
        <w:ind w:left="331" w:hanging="331"/>
        <w:spacing w:after="0"/>
        <w:tabs>
          <w:tab w:leader="none" w:pos="331"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Other [</w:t>
      </w:r>
      <w:r>
        <w:rPr>
          <w:rFonts w:ascii="Arial" w:cs="Arial" w:eastAsia="Arial" w:hAnsi="Arial"/>
          <w:sz w:val="18"/>
          <w:szCs w:val="18"/>
          <w:i w:val="1"/>
          <w:iCs w:val="1"/>
          <w:color w:val="auto"/>
        </w:rPr>
        <w:t>provide details below</w:t>
      </w: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5480" w:space="469"/>
            <w:col w:w="5071"/>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i w:val="1"/>
                <w:iCs w:val="1"/>
                <w:color w:val="auto"/>
              </w:rPr>
              <w:t>Additional details</w:t>
            </w:r>
            <w:r>
              <w:rPr>
                <w:rFonts w:ascii="Arial" w:cs="Arial" w:eastAsia="Arial" w:hAnsi="Arial"/>
                <w:sz w:val="18"/>
                <w:szCs w:val="18"/>
                <w:color w:val="auto"/>
              </w:rPr>
              <w:t>:</w:t>
            </w:r>
          </w:p>
        </w:tc>
      </w:tr>
      <w:tr>
        <w:trPr>
          <w:trHeight w:val="337"/>
        </w:trPr>
        <w:tc>
          <w:tcPr>
            <w:tcW w:w="5840" w:type="dxa"/>
            <w:vAlign w:val="bottom"/>
          </w:tcPr>
          <w:p>
            <w:pPr>
              <w:spacing w:after="0"/>
              <w:rPr>
                <w:sz w:val="24"/>
                <w:szCs w:val="24"/>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23"/>
        </w:trPr>
        <w:tc>
          <w:tcPr>
            <w:tcW w:w="5840" w:type="dxa"/>
            <w:vAlign w:val="bottom"/>
          </w:tcPr>
          <w:p>
            <w:pPr>
              <w:spacing w:after="0"/>
              <w:rPr>
                <w:sz w:val="20"/>
                <w:szCs w:val="20"/>
                <w:color w:val="auto"/>
              </w:rPr>
            </w:pPr>
            <w:r>
              <w:rPr>
                <w:rFonts w:ascii="Arial" w:cs="Arial" w:eastAsia="Arial" w:hAnsi="Arial"/>
                <w:sz w:val="18"/>
                <w:szCs w:val="18"/>
                <w:color w:val="auto"/>
              </w:rPr>
              <w:t>2.2d.2   Please provide any further information needed to understand the</w:t>
            </w:r>
          </w:p>
        </w:tc>
        <w:tc>
          <w:tcPr>
            <w:tcW w:w="51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216"/>
        </w:trPr>
        <w:tc>
          <w:tcPr>
            <w:tcW w:w="5840" w:type="dxa"/>
            <w:vAlign w:val="bottom"/>
          </w:tcPr>
          <w:p>
            <w:pPr>
              <w:ind w:left="680"/>
              <w:spacing w:after="0"/>
              <w:rPr>
                <w:sz w:val="20"/>
                <w:szCs w:val="20"/>
                <w:color w:val="auto"/>
              </w:rPr>
            </w:pPr>
            <w:r>
              <w:rPr>
                <w:rFonts w:ascii="Arial" w:cs="Arial" w:eastAsia="Arial" w:hAnsi="Arial"/>
                <w:sz w:val="18"/>
                <w:szCs w:val="18"/>
                <w:color w:val="auto"/>
                <w:w w:val="91"/>
              </w:rPr>
              <w:t>circumstances in which you are notifying the issue of these +securities</w:t>
            </w:r>
          </w:p>
        </w:tc>
        <w:tc>
          <w:tcPr>
            <w:tcW w:w="5180" w:type="dxa"/>
            <w:vAlign w:val="bottom"/>
          </w:tcPr>
          <w:p>
            <w:pPr>
              <w:spacing w:after="0"/>
              <w:rPr>
                <w:sz w:val="18"/>
                <w:szCs w:val="18"/>
                <w:color w:val="auto"/>
              </w:rPr>
            </w:pPr>
          </w:p>
        </w:tc>
      </w:tr>
      <w:tr>
        <w:trPr>
          <w:trHeight w:val="216"/>
        </w:trPr>
        <w:tc>
          <w:tcPr>
            <w:tcW w:w="5840" w:type="dxa"/>
            <w:vAlign w:val="bottom"/>
          </w:tcPr>
          <w:p>
            <w:pPr>
              <w:ind w:left="680"/>
              <w:spacing w:after="0"/>
              <w:rPr>
                <w:sz w:val="20"/>
                <w:szCs w:val="20"/>
                <w:color w:val="auto"/>
              </w:rPr>
            </w:pPr>
            <w:r>
              <w:rPr>
                <w:rFonts w:ascii="Arial" w:cs="Arial" w:eastAsia="Arial" w:hAnsi="Arial"/>
                <w:sz w:val="18"/>
                <w:szCs w:val="18"/>
                <w:color w:val="auto"/>
                <w:w w:val="95"/>
              </w:rPr>
              <w:t>to ASX, including (if applicable) why the issue of the +securities has</w:t>
            </w:r>
          </w:p>
        </w:tc>
        <w:tc>
          <w:tcPr>
            <w:tcW w:w="5180" w:type="dxa"/>
            <w:vAlign w:val="bottom"/>
          </w:tcPr>
          <w:p>
            <w:pPr>
              <w:spacing w:after="0"/>
              <w:rPr>
                <w:sz w:val="18"/>
                <w:szCs w:val="18"/>
                <w:color w:val="auto"/>
              </w:rPr>
            </w:pPr>
          </w:p>
        </w:tc>
      </w:tr>
      <w:tr>
        <w:trPr>
          <w:trHeight w:val="230"/>
        </w:trPr>
        <w:tc>
          <w:tcPr>
            <w:tcW w:w="5840" w:type="dxa"/>
            <w:vAlign w:val="bottom"/>
          </w:tcPr>
          <w:p>
            <w:pPr>
              <w:ind w:left="680"/>
              <w:spacing w:after="0"/>
              <w:rPr>
                <w:sz w:val="20"/>
                <w:szCs w:val="20"/>
                <w:color w:val="auto"/>
              </w:rPr>
            </w:pPr>
            <w:r>
              <w:rPr>
                <w:rFonts w:ascii="Arial" w:cs="Arial" w:eastAsia="Arial" w:hAnsi="Arial"/>
                <w:sz w:val="18"/>
                <w:szCs w:val="18"/>
                <w:color w:val="auto"/>
              </w:rPr>
              <w:t>not been previously announced to the market in an Appendix 3B</w:t>
            </w:r>
          </w:p>
        </w:tc>
        <w:tc>
          <w:tcPr>
            <w:tcW w:w="5180" w:type="dxa"/>
            <w:vAlign w:val="bottom"/>
          </w:tcPr>
          <w:p>
            <w:pPr>
              <w:spacing w:after="0"/>
              <w:rPr>
                <w:sz w:val="20"/>
                <w:szCs w:val="20"/>
                <w:color w:val="auto"/>
              </w:rPr>
            </w:pPr>
          </w:p>
        </w:tc>
      </w:tr>
      <w:tr>
        <w:trPr>
          <w:trHeight w:val="310"/>
        </w:trPr>
        <w:tc>
          <w:tcPr>
            <w:tcW w:w="5840" w:type="dxa"/>
            <w:vAlign w:val="bottom"/>
          </w:tcPr>
          <w:p>
            <w:pPr>
              <w:ind w:left="680"/>
              <w:spacing w:after="0"/>
              <w:rPr>
                <w:sz w:val="20"/>
                <w:szCs w:val="20"/>
                <w:color w:val="auto"/>
              </w:rPr>
            </w:pPr>
            <w:r>
              <w:rPr>
                <w:rFonts w:ascii="Arial" w:cs="Arial" w:eastAsia="Arial" w:hAnsi="Arial"/>
                <w:sz w:val="18"/>
                <w:szCs w:val="18"/>
                <w:i w:val="1"/>
                <w:iCs w:val="1"/>
                <w:color w:val="auto"/>
                <w:w w:val="94"/>
              </w:rPr>
              <w:t>You must answer this question if your response to Q2.1 is “Other”. If</w:t>
            </w:r>
          </w:p>
        </w:tc>
        <w:tc>
          <w:tcPr>
            <w:tcW w:w="5180" w:type="dxa"/>
            <w:vAlign w:val="bottom"/>
          </w:tcPr>
          <w:p>
            <w:pPr>
              <w:spacing w:after="0"/>
              <w:rPr>
                <w:sz w:val="24"/>
                <w:szCs w:val="24"/>
                <w:color w:val="auto"/>
              </w:rPr>
            </w:pPr>
          </w:p>
        </w:tc>
      </w:tr>
      <w:tr>
        <w:trPr>
          <w:trHeight w:val="216"/>
        </w:trPr>
        <w:tc>
          <w:tcPr>
            <w:tcW w:w="5840" w:type="dxa"/>
            <w:vAlign w:val="bottom"/>
          </w:tcPr>
          <w:p>
            <w:pPr>
              <w:ind w:left="680"/>
              <w:spacing w:after="0"/>
              <w:rPr>
                <w:sz w:val="20"/>
                <w:szCs w:val="20"/>
                <w:color w:val="auto"/>
              </w:rPr>
            </w:pPr>
            <w:r>
              <w:rPr>
                <w:rFonts w:ascii="Arial" w:cs="Arial" w:eastAsia="Arial" w:hAnsi="Arial"/>
                <w:sz w:val="18"/>
                <w:szCs w:val="18"/>
                <w:i w:val="1"/>
                <w:iCs w:val="1"/>
                <w:color w:val="auto"/>
              </w:rPr>
              <w:t>there is no other information to provide, please answer “Not</w:t>
            </w:r>
          </w:p>
        </w:tc>
        <w:tc>
          <w:tcPr>
            <w:tcW w:w="5180" w:type="dxa"/>
            <w:vAlign w:val="bottom"/>
          </w:tcPr>
          <w:p>
            <w:pPr>
              <w:spacing w:after="0"/>
              <w:rPr>
                <w:sz w:val="18"/>
                <w:szCs w:val="18"/>
                <w:color w:val="auto"/>
              </w:rPr>
            </w:pPr>
          </w:p>
        </w:tc>
      </w:tr>
      <w:tr>
        <w:trPr>
          <w:trHeight w:val="230"/>
        </w:trPr>
        <w:tc>
          <w:tcPr>
            <w:tcW w:w="5840" w:type="dxa"/>
            <w:vAlign w:val="bottom"/>
          </w:tcPr>
          <w:p>
            <w:pPr>
              <w:ind w:left="680"/>
              <w:spacing w:after="0"/>
              <w:rPr>
                <w:sz w:val="20"/>
                <w:szCs w:val="20"/>
                <w:color w:val="auto"/>
              </w:rPr>
            </w:pPr>
            <w:r>
              <w:rPr>
                <w:rFonts w:ascii="Arial" w:cs="Arial" w:eastAsia="Arial" w:hAnsi="Arial"/>
                <w:sz w:val="18"/>
                <w:szCs w:val="18"/>
                <w:i w:val="1"/>
                <w:iCs w:val="1"/>
                <w:color w:val="auto"/>
              </w:rPr>
              <w:t>applicable” or “N/A”.</w:t>
            </w:r>
          </w:p>
        </w:tc>
        <w:tc>
          <w:tcPr>
            <w:tcW w:w="5180" w:type="dxa"/>
            <w:vAlign w:val="bottom"/>
          </w:tcPr>
          <w:p>
            <w:pPr>
              <w:spacing w:after="0"/>
              <w:rPr>
                <w:sz w:val="20"/>
                <w:szCs w:val="20"/>
                <w:color w:val="auto"/>
              </w:rPr>
            </w:pPr>
          </w:p>
        </w:tc>
      </w:tr>
      <w:tr>
        <w:trPr>
          <w:trHeight w:val="148"/>
        </w:trPr>
        <w:tc>
          <w:tcPr>
            <w:tcW w:w="5840" w:type="dxa"/>
            <w:vAlign w:val="bottom"/>
            <w:tcBorders>
              <w:bottom w:val="single" w:sz="8" w:color="auto"/>
            </w:tcBorders>
          </w:tcPr>
          <w:p>
            <w:pPr>
              <w:spacing w:after="0"/>
              <w:rPr>
                <w:sz w:val="12"/>
                <w:szCs w:val="12"/>
                <w:color w:val="auto"/>
              </w:rPr>
            </w:pPr>
          </w:p>
        </w:tc>
        <w:tc>
          <w:tcPr>
            <w:tcW w:w="5180" w:type="dxa"/>
            <w:vAlign w:val="bottom"/>
            <w:tcBorders>
              <w:bottom w:val="single" w:sz="8" w:color="auto"/>
            </w:tcBorders>
          </w:tcPr>
          <w:p>
            <w:pPr>
              <w:spacing w:after="0"/>
              <w:rPr>
                <w:sz w:val="12"/>
                <w:szCs w:val="12"/>
                <w:color w:val="auto"/>
              </w:rPr>
            </w:pPr>
          </w:p>
        </w:tc>
      </w:tr>
      <w:tr>
        <w:trPr>
          <w:trHeight w:val="195"/>
        </w:trPr>
        <w:tc>
          <w:tcPr>
            <w:tcW w:w="5840" w:type="dxa"/>
            <w:vAlign w:val="bottom"/>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5180" w:type="dxa"/>
            <w:vAlign w:val="bottom"/>
          </w:tcPr>
          <w:p>
            <w:pPr>
              <w:spacing w:after="0"/>
              <w:rPr>
                <w:sz w:val="16"/>
                <w:szCs w:val="16"/>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rPr>
              <w:t>31 January 2020</w:t>
            </w:r>
          </w:p>
        </w:tc>
        <w:tc>
          <w:tcPr>
            <w:tcW w:w="5180" w:type="dxa"/>
            <w:vAlign w:val="bottom"/>
          </w:tcPr>
          <w:p>
            <w:pPr>
              <w:ind w:left="4680"/>
              <w:spacing w:after="0"/>
              <w:rPr>
                <w:sz w:val="20"/>
                <w:szCs w:val="20"/>
                <w:color w:val="auto"/>
              </w:rPr>
            </w:pPr>
            <w:r>
              <w:rPr>
                <w:rFonts w:ascii="Arial" w:cs="Arial" w:eastAsia="Arial" w:hAnsi="Arial"/>
                <w:sz w:val="18"/>
                <w:szCs w:val="18"/>
                <w:color w:val="auto"/>
                <w:w w:val="84"/>
              </w:rPr>
              <w:t>Page 3</w:t>
            </w:r>
          </w:p>
        </w:tc>
      </w:tr>
    </w:tbl>
    <w:p>
      <w:pPr>
        <w:sectPr>
          <w:pgSz w:w="11900" w:h="16838" w:orient="portrait"/>
          <w:cols w:equalWidth="0" w:num="1">
            <w:col w:w="11020"/>
          </w:cols>
          <w:pgMar w:left="440" w:top="270" w:right="439" w:bottom="1440" w:gutter="0" w:footer="0" w:header="0"/>
          <w:type w:val="continuous"/>
        </w:sectPr>
      </w:pPr>
    </w:p>
    <w:bookmarkStart w:id="21" w:name="page22"/>
    <w:bookmarkEnd w:id="21"/>
    <w:p>
      <w:pPr>
        <w:ind w:right="182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appendix is </w:t>
      </w:r>
      <w:r>
        <w:rPr>
          <w:rFonts w:ascii="Arial" w:cs="Arial" w:eastAsia="Arial" w:hAnsi="Arial"/>
          <w:sz w:val="16"/>
          <w:szCs w:val="16"/>
          <w:b w:val="1"/>
          <w:bCs w:val="1"/>
          <w:i w:val="1"/>
          <w:iCs w:val="1"/>
          <w:color w:val="auto"/>
        </w:rPr>
        <w:t>not</w:t>
      </w:r>
      <w:r>
        <w:rPr>
          <w:rFonts w:ascii="Arial" w:cs="Arial" w:eastAsia="Arial" w:hAnsi="Arial"/>
          <w:sz w:val="16"/>
          <w:szCs w:val="16"/>
          <w:b w:val="1"/>
          <w:bCs w:val="1"/>
          <w:color w:val="auto"/>
        </w:rPr>
        <w:t xml:space="preserve"> available as an online form Please fill in and submit as a PDF announcement</w:t>
      </w:r>
    </w:p>
    <w:p>
      <w:pPr>
        <w:spacing w:after="0" w:line="26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+securities being issued are:</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Tick whichever is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Part 3A – number and type of +securities being issued (existing class)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Answer the questions in this part if your response to Q2.3 is “existing class”.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Appendix 3G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Notification of issue, conversion 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payment up of equity +securities</w:t>
      </w:r>
    </w:p>
    <w:p>
      <w:pPr>
        <w:spacing w:after="0" w:line="143" w:lineRule="exact"/>
        <w:rPr>
          <w:sz w:val="20"/>
          <w:szCs w:val="20"/>
          <w:color w:val="auto"/>
        </w:rPr>
      </w:pPr>
    </w:p>
    <w:p>
      <w:pPr>
        <w:ind w:left="360" w:right="560" w:hanging="351"/>
        <w:spacing w:after="0" w:line="277" w:lineRule="auto"/>
        <w:tabs>
          <w:tab w:leader="none" w:pos="314"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Additional +securities in an existing unquoted class that is already recorded by ASX (“existing class”)</w:t>
      </w:r>
    </w:p>
    <w:p>
      <w:pPr>
        <w:spacing w:after="0" w:line="76" w:lineRule="exact"/>
        <w:rPr>
          <w:sz w:val="20"/>
          <w:szCs w:val="20"/>
          <w:color w:val="auto"/>
        </w:rPr>
      </w:pPr>
    </w:p>
    <w:p>
      <w:pPr>
        <w:ind w:left="360" w:right="160" w:hanging="351"/>
        <w:spacing w:after="0" w:line="277" w:lineRule="auto"/>
        <w:tabs>
          <w:tab w:leader="none" w:pos="324"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New +securities in an unquoted class that is not yet recorded by ASX (“new class”)</w:t>
      </w:r>
    </w:p>
    <w:p>
      <w:pPr>
        <w:spacing w:after="0" w:line="999" w:lineRule="exact"/>
        <w:rPr>
          <w:sz w:val="20"/>
          <w:szCs w:val="20"/>
          <w:color w:val="auto"/>
        </w:rPr>
      </w:pPr>
    </w:p>
    <w:p>
      <w:pPr>
        <w:sectPr>
          <w:pgSz w:w="11900" w:h="16838" w:orient="portrait"/>
          <w:cols w:equalWidth="0" w:num="2">
            <w:col w:w="5560" w:space="380"/>
            <w:col w:w="5080"/>
          </w:cols>
          <w:pgMar w:left="440" w:top="270" w:right="439" w:bottom="144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Question</w:t>
            </w:r>
          </w:p>
        </w:tc>
        <w:tc>
          <w:tcPr>
            <w:tcW w:w="220" w:type="dxa"/>
            <w:vAlign w:val="bottom"/>
          </w:tcPr>
          <w:p>
            <w:pPr>
              <w:spacing w:after="0"/>
              <w:rPr>
                <w:sz w:val="14"/>
                <w:szCs w:val="14"/>
                <w:color w:val="auto"/>
              </w:rPr>
            </w:pPr>
          </w:p>
        </w:tc>
        <w:tc>
          <w:tcPr>
            <w:tcW w:w="49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Question</w:t>
            </w:r>
          </w:p>
        </w:tc>
        <w:tc>
          <w:tcPr>
            <w:tcW w:w="100" w:type="dxa"/>
            <w:vAlign w:val="bottom"/>
          </w:tcPr>
          <w:p>
            <w:pPr>
              <w:spacing w:after="0"/>
              <w:rPr>
                <w:sz w:val="14"/>
                <w:szCs w:val="14"/>
                <w:color w:val="auto"/>
              </w:rPr>
            </w:pPr>
          </w:p>
        </w:tc>
        <w:tc>
          <w:tcPr>
            <w:tcW w:w="486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Answer</w:t>
            </w:r>
          </w:p>
        </w:tc>
        <w:tc>
          <w:tcPr>
            <w:tcW w:w="0" w:type="dxa"/>
            <w:vAlign w:val="bottom"/>
          </w:tcPr>
          <w:p>
            <w:pPr>
              <w:spacing w:after="0"/>
              <w:rPr>
                <w:sz w:val="1"/>
                <w:szCs w:val="1"/>
                <w:color w:val="auto"/>
              </w:rPr>
            </w:pPr>
          </w:p>
        </w:tc>
      </w:tr>
      <w:tr>
        <w:trPr>
          <w:trHeight w:val="19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6"/>
                <w:szCs w:val="16"/>
                <w:color w:val="auto"/>
              </w:rPr>
            </w:pPr>
          </w:p>
        </w:tc>
        <w:tc>
          <w:tcPr>
            <w:tcW w:w="4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3"/>
              </w:rPr>
              <w:t>3A.</w:t>
            </w:r>
          </w:p>
        </w:tc>
        <w:tc>
          <w:tcPr>
            <w:tcW w:w="660" w:type="dxa"/>
            <w:vAlign w:val="bottom"/>
          </w:tcPr>
          <w:p>
            <w:pPr>
              <w:jc w:val="right"/>
              <w:ind w:right="430"/>
              <w:spacing w:after="0" w:line="190" w:lineRule="exact"/>
              <w:rPr>
                <w:sz w:val="20"/>
                <w:szCs w:val="20"/>
                <w:color w:val="auto"/>
              </w:rPr>
            </w:pPr>
            <w:r>
              <w:rPr>
                <w:rFonts w:ascii="Arial" w:cs="Arial" w:eastAsia="Arial" w:hAnsi="Arial"/>
                <w:sz w:val="18"/>
                <w:szCs w:val="18"/>
                <w:color w:val="auto"/>
              </w:rPr>
              <w:t>1</w:t>
            </w: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*ASX security code &amp; description</w:t>
            </w:r>
          </w:p>
        </w:tc>
        <w:tc>
          <w:tcPr>
            <w:tcW w:w="100" w:type="dxa"/>
            <w:vAlign w:val="bottom"/>
          </w:tcPr>
          <w:p>
            <w:pPr>
              <w:spacing w:after="0"/>
              <w:rPr>
                <w:sz w:val="18"/>
                <w:szCs w:val="18"/>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OPTAB: Unquoted Options</w:t>
            </w:r>
          </w:p>
        </w:tc>
        <w:tc>
          <w:tcPr>
            <w:tcW w:w="0" w:type="dxa"/>
            <w:vAlign w:val="bottom"/>
          </w:tcPr>
          <w:p>
            <w:pPr>
              <w:spacing w:after="0"/>
              <w:rPr>
                <w:sz w:val="1"/>
                <w:szCs w:val="1"/>
                <w:color w:val="auto"/>
              </w:rPr>
            </w:pPr>
          </w:p>
        </w:tc>
      </w:tr>
      <w:tr>
        <w:trPr>
          <w:trHeight w:val="310"/>
        </w:trPr>
        <w:tc>
          <w:tcPr>
            <w:tcW w:w="880" w:type="dxa"/>
            <w:vAlign w:val="bottom"/>
            <w:gridSpan w:val="2"/>
          </w:tcPr>
          <w:p>
            <w:pPr>
              <w:spacing w:after="0"/>
              <w:rPr>
                <w:sz w:val="20"/>
                <w:szCs w:val="20"/>
                <w:color w:val="auto"/>
              </w:rPr>
            </w:pPr>
            <w:r>
              <w:rPr>
                <w:rFonts w:ascii="Arial" w:cs="Arial" w:eastAsia="Arial" w:hAnsi="Arial"/>
                <w:sz w:val="18"/>
                <w:szCs w:val="18"/>
                <w:color w:val="auto"/>
              </w:rPr>
              <w:t>3A.2</w:t>
            </w:r>
          </w:p>
        </w:tc>
        <w:tc>
          <w:tcPr>
            <w:tcW w:w="5180" w:type="dxa"/>
            <w:vAlign w:val="bottom"/>
            <w:gridSpan w:val="2"/>
          </w:tcPr>
          <w:p>
            <w:pPr>
              <w:spacing w:after="0"/>
              <w:rPr>
                <w:sz w:val="20"/>
                <w:szCs w:val="20"/>
                <w:color w:val="auto"/>
              </w:rPr>
            </w:pPr>
            <w:r>
              <w:rPr>
                <w:rFonts w:ascii="Arial" w:cs="Arial" w:eastAsia="Arial" w:hAnsi="Arial"/>
                <w:sz w:val="18"/>
                <w:szCs w:val="18"/>
                <w:color w:val="auto"/>
              </w:rPr>
              <w:t>*Number of +securities being issued</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310"/>
        </w:trPr>
        <w:tc>
          <w:tcPr>
            <w:tcW w:w="880" w:type="dxa"/>
            <w:vAlign w:val="bottom"/>
            <w:gridSpan w:val="2"/>
          </w:tcPr>
          <w:p>
            <w:pPr>
              <w:spacing w:after="0"/>
              <w:rPr>
                <w:sz w:val="20"/>
                <w:szCs w:val="20"/>
                <w:color w:val="auto"/>
              </w:rPr>
            </w:pPr>
            <w:r>
              <w:rPr>
                <w:rFonts w:ascii="Arial" w:cs="Arial" w:eastAsia="Arial" w:hAnsi="Arial"/>
                <w:sz w:val="18"/>
                <w:szCs w:val="18"/>
                <w:color w:val="auto"/>
              </w:rPr>
              <w:t>3A.3a</w:t>
            </w:r>
          </w:p>
        </w:tc>
        <w:tc>
          <w:tcPr>
            <w:tcW w:w="5180" w:type="dxa"/>
            <w:vAlign w:val="bottom"/>
            <w:gridSpan w:val="2"/>
          </w:tcPr>
          <w:p>
            <w:pPr>
              <w:spacing w:after="0"/>
              <w:rPr>
                <w:sz w:val="20"/>
                <w:szCs w:val="20"/>
                <w:color w:val="auto"/>
              </w:rPr>
            </w:pPr>
            <w:r>
              <w:rPr>
                <w:rFonts w:ascii="Arial" w:cs="Arial" w:eastAsia="Arial" w:hAnsi="Arial"/>
                <w:sz w:val="18"/>
                <w:szCs w:val="18"/>
                <w:color w:val="auto"/>
                <w:w w:val="98"/>
              </w:rPr>
              <w:t>*Will the +securities being issued rank equally in all respects from</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their issue date with the existing issued +securities in that class?</w:t>
            </w: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80" w:type="dxa"/>
            <w:vAlign w:val="bottom"/>
            <w:gridSpan w:val="2"/>
          </w:tcPr>
          <w:p>
            <w:pPr>
              <w:spacing w:after="0"/>
              <w:rPr>
                <w:sz w:val="20"/>
                <w:szCs w:val="20"/>
                <w:color w:val="auto"/>
              </w:rPr>
            </w:pPr>
            <w:r>
              <w:rPr>
                <w:rFonts w:ascii="Arial" w:cs="Arial" w:eastAsia="Arial" w:hAnsi="Arial"/>
                <w:sz w:val="18"/>
                <w:szCs w:val="18"/>
                <w:color w:val="auto"/>
              </w:rPr>
              <w:t>3A.3b</w:t>
            </w:r>
          </w:p>
        </w:tc>
        <w:tc>
          <w:tcPr>
            <w:tcW w:w="5180" w:type="dxa"/>
            <w:vAlign w:val="bottom"/>
            <w:gridSpan w:val="2"/>
          </w:tcPr>
          <w:p>
            <w:pPr>
              <w:spacing w:after="0"/>
              <w:rPr>
                <w:sz w:val="20"/>
                <w:szCs w:val="20"/>
                <w:color w:val="auto"/>
              </w:rPr>
            </w:pPr>
            <w:r>
              <w:rPr>
                <w:rFonts w:ascii="Arial" w:cs="Arial" w:eastAsia="Arial" w:hAnsi="Arial"/>
                <w:sz w:val="18"/>
                <w:szCs w:val="18"/>
                <w:color w:val="auto"/>
              </w:rPr>
              <w:t>*Is the actual date from which the +securities will rank equally</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(non-ranking end date) known?</w:t>
            </w: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Answer this question if your response to Q3A.3a is “No”.</w:t>
            </w: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gridSpan w:val="2"/>
          </w:tcPr>
          <w:p>
            <w:pPr>
              <w:spacing w:after="0"/>
              <w:rPr>
                <w:sz w:val="20"/>
                <w:szCs w:val="20"/>
                <w:color w:val="auto"/>
              </w:rPr>
            </w:pPr>
            <w:r>
              <w:rPr>
                <w:rFonts w:ascii="Arial" w:cs="Arial" w:eastAsia="Arial" w:hAnsi="Arial"/>
                <w:sz w:val="18"/>
                <w:szCs w:val="18"/>
                <w:color w:val="auto"/>
              </w:rPr>
              <w:t>3A.3c</w:t>
            </w:r>
          </w:p>
        </w:tc>
        <w:tc>
          <w:tcPr>
            <w:tcW w:w="5180" w:type="dxa"/>
            <w:vAlign w:val="bottom"/>
            <w:gridSpan w:val="2"/>
          </w:tcPr>
          <w:p>
            <w:pPr>
              <w:spacing w:after="0"/>
              <w:rPr>
                <w:sz w:val="20"/>
                <w:szCs w:val="20"/>
                <w:color w:val="auto"/>
              </w:rPr>
            </w:pPr>
            <w:r>
              <w:rPr>
                <w:rFonts w:ascii="Arial" w:cs="Arial" w:eastAsia="Arial" w:hAnsi="Arial"/>
                <w:sz w:val="18"/>
                <w:szCs w:val="18"/>
                <w:color w:val="auto"/>
              </w:rPr>
              <w:t>*Provide the actual non-ranking end date</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3"/>
        </w:trPr>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i w:val="1"/>
                <w:iCs w:val="1"/>
                <w:color w:val="auto"/>
                <w:w w:val="99"/>
              </w:rPr>
              <w:t>Answer this question if your response to Q3A.3a is “No” and your</w:t>
            </w: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response to Q3A.3b is “Yes”.</w:t>
            </w: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80" w:type="dxa"/>
            <w:vAlign w:val="bottom"/>
            <w:gridSpan w:val="2"/>
          </w:tcPr>
          <w:p>
            <w:pPr>
              <w:spacing w:after="0"/>
              <w:rPr>
                <w:sz w:val="20"/>
                <w:szCs w:val="20"/>
                <w:color w:val="auto"/>
              </w:rPr>
            </w:pPr>
            <w:r>
              <w:rPr>
                <w:rFonts w:ascii="Arial" w:cs="Arial" w:eastAsia="Arial" w:hAnsi="Arial"/>
                <w:sz w:val="18"/>
                <w:szCs w:val="18"/>
                <w:color w:val="auto"/>
              </w:rPr>
              <w:t>3A.3d</w:t>
            </w:r>
          </w:p>
        </w:tc>
        <w:tc>
          <w:tcPr>
            <w:tcW w:w="5180" w:type="dxa"/>
            <w:vAlign w:val="bottom"/>
            <w:gridSpan w:val="2"/>
          </w:tcPr>
          <w:p>
            <w:pPr>
              <w:spacing w:after="0"/>
              <w:rPr>
                <w:sz w:val="20"/>
                <w:szCs w:val="20"/>
                <w:color w:val="auto"/>
              </w:rPr>
            </w:pPr>
            <w:r>
              <w:rPr>
                <w:rFonts w:ascii="Arial" w:cs="Arial" w:eastAsia="Arial" w:hAnsi="Arial"/>
                <w:sz w:val="18"/>
                <w:szCs w:val="18"/>
                <w:color w:val="auto"/>
              </w:rPr>
              <w:t>*Provide the estimated non-ranking end period</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0"/>
        </w:trPr>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i w:val="1"/>
                <w:iCs w:val="1"/>
                <w:color w:val="auto"/>
                <w:w w:val="99"/>
              </w:rPr>
              <w:t>Answer this question if your response to Q3A.3a is “No” and your</w:t>
            </w: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response to Q3A.3b is “No”.</w:t>
            </w: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3A.3e</w:t>
            </w:r>
          </w:p>
        </w:tc>
        <w:tc>
          <w:tcPr>
            <w:tcW w:w="5180" w:type="dxa"/>
            <w:vAlign w:val="bottom"/>
            <w:gridSpan w:val="2"/>
          </w:tcPr>
          <w:p>
            <w:pPr>
              <w:spacing w:after="0"/>
              <w:rPr>
                <w:sz w:val="20"/>
                <w:szCs w:val="20"/>
                <w:color w:val="auto"/>
              </w:rPr>
            </w:pPr>
            <w:r>
              <w:rPr>
                <w:rFonts w:ascii="Arial" w:cs="Arial" w:eastAsia="Arial" w:hAnsi="Arial"/>
                <w:sz w:val="18"/>
                <w:szCs w:val="18"/>
                <w:color w:val="auto"/>
                <w:w w:val="94"/>
              </w:rPr>
              <w:t>*Please state the extent to which the +securities do not rank equally:</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w w:val="92"/>
              </w:rPr>
              <w:t>in relation to the next dividend, distribution or interest payment; or</w:t>
            </w: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for any other reason</w:t>
            </w: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Answer this question if your response to Q3A.3a is “No”.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For example, the securities may not rank at all, or may rank</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proportionately based on the percentage of the period in question they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have been on issue, for the next dividend, distribution or interest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payment; or they may not be entitled to participate in some other event,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such as an entitlement issue.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 3B – number and type of +securities being issued (new class)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Answer the questions in this part if your response to Q2.3 is “new class”.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Question</w:t>
            </w:r>
          </w:p>
        </w:tc>
        <w:tc>
          <w:tcPr>
            <w:tcW w:w="516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Question</w:t>
            </w:r>
          </w:p>
        </w:tc>
        <w:tc>
          <w:tcPr>
            <w:tcW w:w="486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Answer</w:t>
            </w:r>
          </w:p>
        </w:tc>
        <w:tc>
          <w:tcPr>
            <w:tcW w:w="0" w:type="dxa"/>
            <w:vAlign w:val="bottom"/>
          </w:tcPr>
          <w:p>
            <w:pPr>
              <w:spacing w:after="0"/>
              <w:rPr>
                <w:sz w:val="1"/>
                <w:szCs w:val="1"/>
                <w:color w:val="auto"/>
              </w:rPr>
            </w:pPr>
          </w:p>
        </w:tc>
      </w:tr>
      <w:tr>
        <w:trPr>
          <w:trHeight w:val="19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5160" w:type="dxa"/>
            <w:vAlign w:val="bottom"/>
            <w:gridSpan w:val="2"/>
            <w:vMerge w:val="continue"/>
          </w:tcPr>
          <w:p>
            <w:pPr>
              <w:spacing w:after="0"/>
              <w:rPr>
                <w:sz w:val="16"/>
                <w:szCs w:val="16"/>
                <w:color w:val="auto"/>
              </w:rPr>
            </w:pPr>
          </w:p>
        </w:tc>
        <w:tc>
          <w:tcPr>
            <w:tcW w:w="4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3"/>
              </w:rPr>
              <w:t>3B.</w:t>
            </w:r>
          </w:p>
        </w:tc>
        <w:tc>
          <w:tcPr>
            <w:tcW w:w="780" w:type="dxa"/>
            <w:vAlign w:val="bottom"/>
          </w:tcPr>
          <w:p>
            <w:pPr>
              <w:jc w:val="right"/>
              <w:ind w:right="570"/>
              <w:spacing w:after="0" w:line="190" w:lineRule="exact"/>
              <w:rPr>
                <w:sz w:val="20"/>
                <w:szCs w:val="20"/>
                <w:color w:val="auto"/>
              </w:rPr>
            </w:pPr>
            <w:r>
              <w:rPr>
                <w:rFonts w:ascii="Arial" w:cs="Arial" w:eastAsia="Arial" w:hAnsi="Arial"/>
                <w:sz w:val="18"/>
                <w:szCs w:val="18"/>
                <w:color w:val="auto"/>
                <w:w w:val="99"/>
              </w:rPr>
              <w:t>1</w:t>
            </w: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*Security description</w:t>
            </w:r>
          </w:p>
        </w:tc>
        <w:tc>
          <w:tcPr>
            <w:tcW w:w="100" w:type="dxa"/>
            <w:vAlign w:val="bottom"/>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6160" w:type="dxa"/>
            <w:vAlign w:val="bottom"/>
            <w:tcBorders>
              <w:bottom w:val="single" w:sz="8" w:color="auto"/>
            </w:tcBorders>
            <w:gridSpan w:val="4"/>
          </w:tcPr>
          <w:p>
            <w:pPr>
              <w:spacing w:after="0"/>
              <w:rPr>
                <w:sz w:val="11"/>
                <w:szCs w:val="11"/>
                <w:color w:val="auto"/>
              </w:rPr>
            </w:pPr>
          </w:p>
        </w:tc>
        <w:tc>
          <w:tcPr>
            <w:tcW w:w="4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160" w:type="dxa"/>
            <w:vAlign w:val="bottom"/>
            <w:gridSpan w:val="4"/>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4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60" w:type="dxa"/>
            <w:vAlign w:val="bottom"/>
            <w:gridSpan w:val="4"/>
          </w:tcPr>
          <w:p>
            <w:pPr>
              <w:spacing w:after="0"/>
              <w:rPr>
                <w:sz w:val="20"/>
                <w:szCs w:val="20"/>
                <w:color w:val="auto"/>
              </w:rPr>
            </w:pPr>
            <w:r>
              <w:rPr>
                <w:rFonts w:ascii="Arial" w:cs="Arial" w:eastAsia="Arial" w:hAnsi="Arial"/>
                <w:sz w:val="18"/>
                <w:szCs w:val="18"/>
                <w:i w:val="1"/>
                <w:iCs w:val="1"/>
                <w:color w:val="auto"/>
              </w:rPr>
              <w:t>31 January 2020</w:t>
            </w:r>
          </w:p>
        </w:tc>
        <w:tc>
          <w:tcPr>
            <w:tcW w:w="4860" w:type="dxa"/>
            <w:vAlign w:val="bottom"/>
          </w:tcPr>
          <w:p>
            <w:pPr>
              <w:ind w:left="4360"/>
              <w:spacing w:after="0"/>
              <w:rPr>
                <w:sz w:val="20"/>
                <w:szCs w:val="20"/>
                <w:color w:val="auto"/>
              </w:rPr>
            </w:pPr>
            <w:r>
              <w:rPr>
                <w:rFonts w:ascii="Arial" w:cs="Arial" w:eastAsia="Arial" w:hAnsi="Arial"/>
                <w:sz w:val="18"/>
                <w:szCs w:val="18"/>
                <w:color w:val="auto"/>
                <w:w w:val="84"/>
              </w:rPr>
              <w:t>Page 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22" w:name="page23"/>
    <w:bookmarkEnd w:id="22"/>
    <w:p>
      <w:pPr>
        <w:spacing w:after="0"/>
        <w:tabs>
          <w:tab w:leader="none" w:pos="9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r>
        <w:rPr>
          <w:sz w:val="20"/>
          <w:szCs w:val="20"/>
          <w:color w:val="auto"/>
        </w:rPr>
        <w:tab/>
      </w:r>
      <w:r>
        <w:rPr>
          <w:rFonts w:ascii="Arial" w:cs="Arial" w:eastAsia="Arial" w:hAnsi="Arial"/>
          <w:sz w:val="16"/>
          <w:szCs w:val="16"/>
          <w:b w:val="1"/>
          <w:bCs w:val="1"/>
          <w:color w:val="auto"/>
        </w:rPr>
        <w:t>Appendix 3G</w:t>
      </w:r>
    </w:p>
    <w:p>
      <w:pPr>
        <w:spacing w:after="0" w:line="27" w:lineRule="exact"/>
        <w:rPr>
          <w:sz w:val="20"/>
          <w:szCs w:val="20"/>
          <w:color w:val="auto"/>
        </w:rPr>
      </w:pPr>
    </w:p>
    <w:p>
      <w:pPr>
        <w:spacing w:after="0"/>
        <w:tabs>
          <w:tab w:leader="none" w:pos="8340" w:val="left"/>
        </w:tabs>
        <w:rPr>
          <w:sz w:val="20"/>
          <w:szCs w:val="20"/>
          <w:color w:val="auto"/>
        </w:rPr>
      </w:pPr>
      <w:r>
        <w:rPr>
          <w:rFonts w:ascii="Arial" w:cs="Arial" w:eastAsia="Arial" w:hAnsi="Arial"/>
          <w:sz w:val="18"/>
          <w:szCs w:val="18"/>
          <w:b w:val="1"/>
          <w:bCs w:val="1"/>
          <w:color w:val="auto"/>
        </w:rPr>
        <w:t>Please fill in and submit as a PDF announcement</w:t>
      </w:r>
      <w:r>
        <w:rPr>
          <w:sz w:val="20"/>
          <w:szCs w:val="20"/>
          <w:color w:val="auto"/>
        </w:rPr>
        <w:tab/>
      </w:r>
      <w:r>
        <w:rPr>
          <w:rFonts w:ascii="Arial" w:cs="Arial" w:eastAsia="Arial" w:hAnsi="Arial"/>
          <w:sz w:val="15"/>
          <w:szCs w:val="15"/>
          <w:b w:val="1"/>
          <w:bCs w:val="1"/>
          <w:color w:val="auto"/>
        </w:rPr>
        <w:t>Notification of issue, conversion or</w:t>
      </w:r>
    </w:p>
    <w:p>
      <w:pPr>
        <w:spacing w:after="0" w:line="9"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payment up of equity +securities</w:t>
      </w:r>
    </w:p>
    <w:p>
      <w:pPr>
        <w:sectPr>
          <w:pgSz w:w="11900" w:h="16838" w:orient="portrait"/>
          <w:cols w:equalWidth="0" w:num="1">
            <w:col w:w="11020"/>
          </w:cols>
          <w:pgMar w:left="440" w:top="270" w:right="4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3B.2</w:t>
            </w:r>
          </w:p>
        </w:tc>
        <w:tc>
          <w:tcPr>
            <w:tcW w:w="5320" w:type="dxa"/>
            <w:vAlign w:val="bottom"/>
          </w:tcPr>
          <w:p>
            <w:pPr>
              <w:ind w:left="300"/>
              <w:spacing w:after="0"/>
              <w:rPr>
                <w:sz w:val="20"/>
                <w:szCs w:val="20"/>
                <w:color w:val="auto"/>
              </w:rPr>
            </w:pPr>
            <w:r>
              <w:rPr>
                <w:rFonts w:ascii="Arial" w:cs="Arial" w:eastAsia="Arial" w:hAnsi="Arial"/>
                <w:sz w:val="18"/>
                <w:szCs w:val="18"/>
                <w:color w:val="auto"/>
              </w:rPr>
              <w:t>*Security type</w:t>
            </w:r>
          </w:p>
        </w:tc>
      </w:tr>
      <w:tr>
        <w:trPr>
          <w:trHeight w:val="323"/>
        </w:trPr>
        <w:tc>
          <w:tcPr>
            <w:tcW w:w="700" w:type="dxa"/>
            <w:vAlign w:val="bottom"/>
          </w:tcPr>
          <w:p>
            <w:pPr>
              <w:spacing w:after="0"/>
              <w:rPr>
                <w:sz w:val="24"/>
                <w:szCs w:val="24"/>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w w:val="96"/>
              </w:rPr>
              <w:t>Select one item from the list that best describes the securities the</w:t>
            </w:r>
          </w:p>
        </w:tc>
      </w:tr>
      <w:tr>
        <w:trPr>
          <w:trHeight w:val="216"/>
        </w:trPr>
        <w:tc>
          <w:tcPr>
            <w:tcW w:w="70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w w:val="90"/>
              </w:rPr>
              <w:t>subject of this form. This will determine more detailed questions to be</w:t>
            </w:r>
          </w:p>
        </w:tc>
      </w:tr>
      <w:tr>
        <w:trPr>
          <w:trHeight w:val="216"/>
        </w:trPr>
        <w:tc>
          <w:tcPr>
            <w:tcW w:w="70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w w:val="92"/>
              </w:rPr>
              <w:t>asked about the security later in this section. Select “ordinary fully or</w:t>
            </w:r>
          </w:p>
        </w:tc>
      </w:tr>
      <w:tr>
        <w:trPr>
          <w:trHeight w:val="216"/>
        </w:trPr>
        <w:tc>
          <w:tcPr>
            <w:tcW w:w="70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w w:val="94"/>
              </w:rPr>
              <w:t>partly paid shares/units” for stapled securities or CDIs. For interest</w:t>
            </w:r>
          </w:p>
        </w:tc>
      </w:tr>
      <w:tr>
        <w:trPr>
          <w:trHeight w:val="216"/>
        </w:trPr>
        <w:tc>
          <w:tcPr>
            <w:tcW w:w="70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w w:val="99"/>
              </w:rPr>
              <w:t>rate securities, please select the appropriate choice from either</w:t>
            </w:r>
          </w:p>
        </w:tc>
      </w:tr>
      <w:tr>
        <w:trPr>
          <w:trHeight w:val="216"/>
        </w:trPr>
        <w:tc>
          <w:tcPr>
            <w:tcW w:w="70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w w:val="98"/>
              </w:rPr>
              <w:t>“Convertible debt securities” or “Nonconvertible debt securities”.</w:t>
            </w:r>
          </w:p>
        </w:tc>
      </w:tr>
      <w:tr>
        <w:trPr>
          <w:trHeight w:val="216"/>
        </w:trPr>
        <w:tc>
          <w:tcPr>
            <w:tcW w:w="70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rPr>
              <w:t>Select “Other” for performance shares/units and performance</w:t>
            </w:r>
          </w:p>
        </w:tc>
      </w:tr>
      <w:tr>
        <w:trPr>
          <w:trHeight w:val="216"/>
        </w:trPr>
        <w:tc>
          <w:tcPr>
            <w:tcW w:w="70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rPr>
              <w:t>options/rights or if the selections available in the list do not</w:t>
            </w:r>
          </w:p>
        </w:tc>
      </w:tr>
      <w:tr>
        <w:trPr>
          <w:trHeight w:val="230"/>
        </w:trPr>
        <w:tc>
          <w:tcPr>
            <w:tcW w:w="70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rPr>
              <w:t>appropriately describe the security being issued.</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3B.3</w:t>
            </w:r>
          </w:p>
        </w:tc>
        <w:tc>
          <w:tcPr>
            <w:tcW w:w="5320" w:type="dxa"/>
            <w:vAlign w:val="bottom"/>
          </w:tcPr>
          <w:p>
            <w:pPr>
              <w:ind w:left="300"/>
              <w:spacing w:after="0"/>
              <w:rPr>
                <w:sz w:val="20"/>
                <w:szCs w:val="20"/>
                <w:color w:val="auto"/>
              </w:rPr>
            </w:pPr>
            <w:r>
              <w:rPr>
                <w:rFonts w:ascii="Arial" w:cs="Arial" w:eastAsia="Arial" w:hAnsi="Arial"/>
                <w:sz w:val="18"/>
                <w:szCs w:val="18"/>
                <w:color w:val="auto"/>
              </w:rPr>
              <w:t>ISIN code</w:t>
            </w:r>
          </w:p>
        </w:tc>
      </w:tr>
      <w:tr>
        <w:trPr>
          <w:trHeight w:val="310"/>
        </w:trPr>
        <w:tc>
          <w:tcPr>
            <w:tcW w:w="700" w:type="dxa"/>
            <w:vAlign w:val="bottom"/>
          </w:tcPr>
          <w:p>
            <w:pPr>
              <w:spacing w:after="0"/>
              <w:rPr>
                <w:sz w:val="24"/>
                <w:szCs w:val="24"/>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rPr>
              <w:t>Answer this question if you are an entity incorporated outside</w:t>
            </w:r>
          </w:p>
        </w:tc>
      </w:tr>
      <w:tr>
        <w:trPr>
          <w:trHeight w:val="216"/>
        </w:trPr>
        <w:tc>
          <w:tcPr>
            <w:tcW w:w="70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w w:val="96"/>
              </w:rPr>
              <w:t>Australia and you are issuing a new class of securities other than</w:t>
            </w:r>
          </w:p>
        </w:tc>
      </w:tr>
      <w:tr>
        <w:trPr>
          <w:trHeight w:val="230"/>
        </w:trPr>
        <w:tc>
          <w:tcPr>
            <w:tcW w:w="70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8"/>
                <w:szCs w:val="18"/>
                <w:i w:val="1"/>
                <w:iCs w:val="1"/>
                <w:color w:val="auto"/>
              </w:rPr>
              <w:t>CDIs. See also the note at the top of this form.</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3B.4</w:t>
            </w:r>
          </w:p>
        </w:tc>
        <w:tc>
          <w:tcPr>
            <w:tcW w:w="5320" w:type="dxa"/>
            <w:vAlign w:val="bottom"/>
          </w:tcPr>
          <w:p>
            <w:pPr>
              <w:ind w:left="300"/>
              <w:spacing w:after="0"/>
              <w:rPr>
                <w:sz w:val="20"/>
                <w:szCs w:val="20"/>
                <w:color w:val="auto"/>
              </w:rPr>
            </w:pPr>
            <w:r>
              <w:rPr>
                <w:rFonts w:ascii="Arial" w:cs="Arial" w:eastAsia="Arial" w:hAnsi="Arial"/>
                <w:sz w:val="18"/>
                <w:szCs w:val="18"/>
                <w:color w:val="auto"/>
              </w:rPr>
              <w:t>*Number of +securities being issued</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3B.5a</w:t>
            </w:r>
          </w:p>
        </w:tc>
        <w:tc>
          <w:tcPr>
            <w:tcW w:w="5320" w:type="dxa"/>
            <w:vAlign w:val="bottom"/>
          </w:tcPr>
          <w:p>
            <w:pPr>
              <w:ind w:left="300"/>
              <w:spacing w:after="0"/>
              <w:rPr>
                <w:sz w:val="20"/>
                <w:szCs w:val="20"/>
                <w:color w:val="auto"/>
              </w:rPr>
            </w:pPr>
            <w:r>
              <w:rPr>
                <w:rFonts w:ascii="Arial" w:cs="Arial" w:eastAsia="Arial" w:hAnsi="Arial"/>
                <w:sz w:val="18"/>
                <w:szCs w:val="18"/>
                <w:color w:val="auto"/>
              </w:rPr>
              <w:t>*Will all the +securities issued in this class rank equally in all</w:t>
            </w:r>
          </w:p>
        </w:tc>
      </w:tr>
      <w:tr>
        <w:trPr>
          <w:trHeight w:val="230"/>
        </w:trPr>
        <w:tc>
          <w:tcPr>
            <w:tcW w:w="70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rPr>
              <w:t>respects from the issue date?</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315" w:hanging="315"/>
        <w:spacing w:after="0"/>
        <w:tabs>
          <w:tab w:leader="none" w:pos="315" w:val="left"/>
        </w:tabs>
        <w:numPr>
          <w:ilvl w:val="0"/>
          <w:numId w:val="22"/>
        </w:numPr>
        <w:rPr>
          <w:rFonts w:ascii="MS PGothic" w:cs="MS PGothic" w:eastAsia="MS PGothic" w:hAnsi="MS PGothic"/>
          <w:sz w:val="16"/>
          <w:szCs w:val="16"/>
          <w:color w:val="auto"/>
        </w:rPr>
      </w:pPr>
      <w:r>
        <w:rPr>
          <w:rFonts w:ascii="Arial" w:cs="Arial" w:eastAsia="Arial" w:hAnsi="Arial"/>
          <w:sz w:val="16"/>
          <w:szCs w:val="16"/>
          <w:color w:val="auto"/>
        </w:rPr>
        <w:t>Ordinary fully or partly paid shares/units</w:t>
      </w:r>
    </w:p>
    <w:p>
      <w:pPr>
        <w:spacing w:after="0" w:line="153" w:lineRule="exact"/>
        <w:rPr>
          <w:rFonts w:ascii="MS PGothic" w:cs="MS PGothic" w:eastAsia="MS PGothic" w:hAnsi="MS PGothic"/>
          <w:sz w:val="16"/>
          <w:szCs w:val="16"/>
          <w:color w:val="auto"/>
        </w:rPr>
      </w:pPr>
    </w:p>
    <w:p>
      <w:pPr>
        <w:ind w:left="315" w:hanging="315"/>
        <w:spacing w:after="0"/>
        <w:tabs>
          <w:tab w:leader="none" w:pos="315"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Options</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+Convertible debt securities</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Non-convertible +debt securities</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Redeemable preference shares/units</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452" w:lineRule="exact"/>
        <w:rPr>
          <w:sz w:val="20"/>
          <w:szCs w:val="20"/>
          <w:color w:val="auto"/>
        </w:rPr>
      </w:pPr>
    </w:p>
    <w:p>
      <w:pPr>
        <w:sectPr>
          <w:pgSz w:w="11900" w:h="16838" w:orient="portrait"/>
          <w:cols w:equalWidth="0" w:num="2">
            <w:col w:w="6020" w:space="145"/>
            <w:col w:w="4855"/>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3B.5b</w:t>
            </w: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*Is the actual date from which the +securities will rank equally</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(non-ranking end date) known?</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4"/>
                <w:szCs w:val="24"/>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Answer this question if your response to Q3B.5a is “No”.</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3B.5c</w:t>
            </w: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*Provide the actual non-ranking end date</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4"/>
                <w:szCs w:val="24"/>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Answer this question if your response to Q3B.5a is “No” and your</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response to Q3B.5b is “Yes”.</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3B.5d</w:t>
            </w: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*Provide the estimated non-ranking end period</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4"/>
                <w:szCs w:val="24"/>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Answer this question if your response to Q3B.5a is “No” and your</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response to Q3B.5b is “No”.</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3B.5e</w:t>
            </w: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*Please state the extent to which the +securities do not rank equally:</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in relation to the next dividend, distribution or interest payment;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gridSpan w:val="2"/>
          </w:tcPr>
          <w:p>
            <w:pPr>
              <w:ind w:left="80"/>
              <w:spacing w:after="0"/>
              <w:rPr>
                <w:sz w:val="20"/>
                <w:szCs w:val="20"/>
                <w:color w:val="auto"/>
              </w:rPr>
            </w:pPr>
            <w:r>
              <w:rPr>
                <w:rFonts w:ascii="Arial" w:cs="Arial" w:eastAsia="Arial" w:hAnsi="Arial"/>
                <w:sz w:val="18"/>
                <w:szCs w:val="18"/>
                <w:color w:val="auto"/>
              </w:rPr>
              <w:t>or</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9760" w:type="dxa"/>
            <w:vAlign w:val="bottom"/>
            <w:gridSpan w:val="2"/>
          </w:tcPr>
          <w:p>
            <w:pPr>
              <w:ind w:left="60"/>
              <w:spacing w:after="0"/>
              <w:rPr>
                <w:sz w:val="20"/>
                <w:szCs w:val="20"/>
                <w:color w:val="auto"/>
              </w:rPr>
            </w:pPr>
            <w:r>
              <w:rPr>
                <w:rFonts w:ascii="Arial" w:cs="Arial" w:eastAsia="Arial" w:hAnsi="Arial"/>
                <w:sz w:val="18"/>
                <w:szCs w:val="18"/>
                <w:color w:val="auto"/>
              </w:rPr>
              <w:t>for any other reason</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4"/>
                <w:szCs w:val="24"/>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Answer this question if your response to Q3B.5a is “No”.</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4"/>
                <w:szCs w:val="24"/>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For example, the securities may not rank at all, or may rank</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proportionately based on the percentage of the period in question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they have been on issue, for the next dividend, distribution or interest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payment; or they may not be entitled to participate in some other</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event, such as an entitlement issue.</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3B.6</w:t>
            </w: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Please attach a document or provide a URL link for a document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lodged with ASX setting out the material terms of the +securities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being issued</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4"/>
                <w:szCs w:val="24"/>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You may cross reference a disclosure document, PDS, information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memorandum, investor presentation or other announcement with this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information provided it has been released to the ASX Market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i w:val="1"/>
                <w:iCs w:val="1"/>
                <w:color w:val="auto"/>
              </w:rPr>
              <w:t>Announcements Platform.</w:t>
            </w:r>
          </w:p>
        </w:tc>
        <w:tc>
          <w:tcPr>
            <w:tcW w:w="0" w:type="dxa"/>
            <w:vAlign w:val="bottom"/>
          </w:tcPr>
          <w:p>
            <w:pPr>
              <w:spacing w:after="0"/>
              <w:rPr>
                <w:sz w:val="1"/>
                <w:szCs w:val="1"/>
                <w:color w:val="auto"/>
              </w:rPr>
            </w:pPr>
          </w:p>
        </w:tc>
      </w:tr>
      <w:tr>
        <w:trPr>
          <w:trHeight w:val="149"/>
        </w:trPr>
        <w:tc>
          <w:tcPr>
            <w:tcW w:w="11020" w:type="dxa"/>
            <w:vAlign w:val="bottom"/>
            <w:tcBorders>
              <w:bottom w:val="single" w:sz="8" w:color="auto"/>
            </w:tcBorders>
            <w:gridSpan w:val="3"/>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020" w:type="dxa"/>
            <w:vAlign w:val="bottom"/>
            <w:gridSpan w:val="3"/>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i w:val="1"/>
                <w:iCs w:val="1"/>
                <w:color w:val="auto"/>
                <w:w w:val="93"/>
              </w:rPr>
              <w:t>31 January 2020</w:t>
            </w:r>
          </w:p>
        </w:tc>
        <w:tc>
          <w:tcPr>
            <w:tcW w:w="9760" w:type="dxa"/>
            <w:vAlign w:val="bottom"/>
            <w:gridSpan w:val="2"/>
          </w:tcPr>
          <w:p>
            <w:pPr>
              <w:ind w:left="9240"/>
              <w:spacing w:after="0"/>
              <w:rPr>
                <w:sz w:val="20"/>
                <w:szCs w:val="20"/>
                <w:color w:val="auto"/>
              </w:rPr>
            </w:pPr>
            <w:r>
              <w:rPr>
                <w:rFonts w:ascii="Arial" w:cs="Arial" w:eastAsia="Arial" w:hAnsi="Arial"/>
                <w:sz w:val="18"/>
                <w:szCs w:val="18"/>
                <w:color w:val="auto"/>
                <w:w w:val="87"/>
              </w:rPr>
              <w:t>Page 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3820" w:type="dxa"/>
            <w:vAlign w:val="bottom"/>
          </w:tcPr>
          <w:p>
            <w:pPr>
              <w:jc w:val="right"/>
              <w:spacing w:after="0"/>
              <w:rPr>
                <w:sz w:val="20"/>
                <w:szCs w:val="20"/>
                <w:color w:val="auto"/>
              </w:rPr>
            </w:pPr>
            <w:r>
              <w:rPr>
                <w:rFonts w:ascii="Arial" w:cs="Arial" w:eastAsia="Arial" w:hAnsi="Arial"/>
                <w:sz w:val="18"/>
                <w:szCs w:val="18"/>
                <w:b w:val="1"/>
                <w:bCs w:val="1"/>
                <w:color w:val="auto"/>
              </w:rPr>
              <w:t>Appendix 3G</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3820" w:type="dxa"/>
            <w:vAlign w:val="bottom"/>
          </w:tcPr>
          <w:p>
            <w:pPr>
              <w:jc w:val="right"/>
              <w:spacing w:after="0"/>
              <w:rPr>
                <w:sz w:val="20"/>
                <w:szCs w:val="20"/>
                <w:color w:val="auto"/>
              </w:rPr>
            </w:pPr>
            <w:r>
              <w:rPr>
                <w:rFonts w:ascii="Arial" w:cs="Arial" w:eastAsia="Arial" w:hAnsi="Arial"/>
                <w:sz w:val="18"/>
                <w:szCs w:val="18"/>
                <w:b w:val="1"/>
                <w:bCs w:val="1"/>
                <w:color w:val="auto"/>
              </w:rPr>
              <w:t>Notification of issue, conversion or</w:t>
            </w:r>
          </w:p>
        </w:tc>
      </w:tr>
      <w:tr>
        <w:trPr>
          <w:trHeight w:val="234"/>
        </w:trPr>
        <w:tc>
          <w:tcPr>
            <w:tcW w:w="7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Arial" w:cs="Arial" w:eastAsia="Arial" w:hAnsi="Arial"/>
                <w:sz w:val="18"/>
                <w:szCs w:val="18"/>
                <w:b w:val="1"/>
                <w:bCs w:val="1"/>
                <w:color w:val="auto"/>
              </w:rPr>
              <w:t>payment up of equity +securities</w:t>
            </w: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3B.7</w:t>
            </w:r>
          </w:p>
        </w:tc>
        <w:tc>
          <w:tcPr>
            <w:tcW w:w="6480" w:type="dxa"/>
            <w:vAlign w:val="bottom"/>
          </w:tcPr>
          <w:p>
            <w:pPr>
              <w:ind w:left="280"/>
              <w:spacing w:after="0"/>
              <w:rPr>
                <w:sz w:val="20"/>
                <w:szCs w:val="20"/>
                <w:color w:val="auto"/>
              </w:rPr>
            </w:pPr>
            <w:r>
              <w:rPr>
                <w:rFonts w:ascii="Arial" w:cs="Arial" w:eastAsia="Arial" w:hAnsi="Arial"/>
                <w:sz w:val="18"/>
                <w:szCs w:val="18"/>
                <w:color w:val="auto"/>
              </w:rPr>
              <w:t>*Have you received confirmation from ASX that the terms of the</w:t>
            </w:r>
          </w:p>
        </w:tc>
        <w:tc>
          <w:tcPr>
            <w:tcW w:w="382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color w:val="auto"/>
              </w:rPr>
              <w:t>+securities are appropriate and equitable under listing rule 6.1?</w:t>
            </w:r>
          </w:p>
        </w:tc>
        <w:tc>
          <w:tcPr>
            <w:tcW w:w="382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Answer this question only if you are an ASX Listing. (ASX Foreign</w:t>
            </w:r>
          </w:p>
        </w:tc>
        <w:tc>
          <w:tcPr>
            <w:tcW w:w="38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Exempt Listings and ASX Debt Listings do not have to answer this</w:t>
            </w:r>
          </w:p>
        </w:tc>
        <w:tc>
          <w:tcPr>
            <w:tcW w:w="38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question).</w:t>
            </w:r>
          </w:p>
        </w:tc>
        <w:tc>
          <w:tcPr>
            <w:tcW w:w="3820" w:type="dxa"/>
            <w:vAlign w:val="bottom"/>
          </w:tcPr>
          <w:p>
            <w:pPr>
              <w:spacing w:after="0"/>
              <w:rPr>
                <w:sz w:val="20"/>
                <w:szCs w:val="20"/>
                <w:color w:val="auto"/>
              </w:rPr>
            </w:pPr>
          </w:p>
        </w:tc>
      </w:tr>
      <w:tr>
        <w:trPr>
          <w:trHeight w:val="323"/>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If your response is “No” and the securities have any unusual terms,</w:t>
            </w:r>
          </w:p>
        </w:tc>
        <w:tc>
          <w:tcPr>
            <w:tcW w:w="38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you should approach ASX as soon as possible for confirmation under</w:t>
            </w:r>
          </w:p>
        </w:tc>
        <w:tc>
          <w:tcPr>
            <w:tcW w:w="38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listing rule 6.1 that the terms are appropriate and equitable.</w:t>
            </w:r>
          </w:p>
        </w:tc>
        <w:tc>
          <w:tcPr>
            <w:tcW w:w="3820" w:type="dxa"/>
            <w:vAlign w:val="bottom"/>
          </w:tcPr>
          <w:p>
            <w:pPr>
              <w:spacing w:after="0"/>
              <w:rPr>
                <w:sz w:val="20"/>
                <w:szCs w:val="20"/>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3B.8a</w:t>
            </w:r>
          </w:p>
        </w:tc>
        <w:tc>
          <w:tcPr>
            <w:tcW w:w="6480" w:type="dxa"/>
            <w:vAlign w:val="bottom"/>
          </w:tcPr>
          <w:p>
            <w:pPr>
              <w:ind w:left="280"/>
              <w:spacing w:after="0"/>
              <w:rPr>
                <w:sz w:val="20"/>
                <w:szCs w:val="20"/>
                <w:color w:val="auto"/>
              </w:rPr>
            </w:pPr>
            <w:r>
              <w:rPr>
                <w:rFonts w:ascii="Arial" w:cs="Arial" w:eastAsia="Arial" w:hAnsi="Arial"/>
                <w:sz w:val="18"/>
                <w:szCs w:val="18"/>
                <w:b w:val="1"/>
                <w:bCs w:val="1"/>
                <w:color w:val="auto"/>
              </w:rPr>
              <w:t>Ordinary fully or partly paid shares/units details</w:t>
            </w:r>
          </w:p>
        </w:tc>
        <w:tc>
          <w:tcPr>
            <w:tcW w:w="3820" w:type="dxa"/>
            <w:vAlign w:val="bottom"/>
          </w:tcPr>
          <w:p>
            <w:pPr>
              <w:spacing w:after="0"/>
              <w:rPr>
                <w:sz w:val="24"/>
                <w:szCs w:val="24"/>
                <w:color w:val="auto"/>
              </w:rPr>
            </w:pPr>
          </w:p>
        </w:tc>
      </w:tr>
      <w:tr>
        <w:trPr>
          <w:trHeight w:val="338"/>
        </w:trPr>
        <w:tc>
          <w:tcPr>
            <w:tcW w:w="720" w:type="dxa"/>
            <w:vAlign w:val="bottom"/>
          </w:tcPr>
          <w:p>
            <w:pPr>
              <w:spacing w:after="0"/>
              <w:rPr>
                <w:sz w:val="24"/>
                <w:szCs w:val="24"/>
                <w:color w:val="auto"/>
              </w:rPr>
            </w:pPr>
          </w:p>
        </w:tc>
        <w:tc>
          <w:tcPr>
            <w:tcW w:w="10300" w:type="dxa"/>
            <w:vAlign w:val="bottom"/>
            <w:gridSpan w:val="2"/>
          </w:tcPr>
          <w:p>
            <w:pPr>
              <w:ind w:left="280"/>
              <w:spacing w:after="0"/>
              <w:rPr>
                <w:sz w:val="20"/>
                <w:szCs w:val="20"/>
                <w:color w:val="auto"/>
              </w:rPr>
            </w:pPr>
            <w:r>
              <w:rPr>
                <w:rFonts w:ascii="Arial" w:cs="Arial" w:eastAsia="Arial" w:hAnsi="Arial"/>
                <w:sz w:val="18"/>
                <w:szCs w:val="18"/>
                <w:i w:val="1"/>
                <w:iCs w:val="1"/>
                <w:color w:val="auto"/>
              </w:rPr>
              <w:t>Answer the questions in this section if you selected this security type in your response to Question 3B.2.</w:t>
            </w:r>
          </w:p>
        </w:tc>
      </w:tr>
      <w:tr>
        <w:trPr>
          <w:trHeight w:val="338"/>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color w:val="auto"/>
              </w:rPr>
              <w:t>*+Security currency</w:t>
            </w:r>
          </w:p>
        </w:tc>
        <w:tc>
          <w:tcPr>
            <w:tcW w:w="382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This is the currency in which the face amount of an issue is</w:t>
            </w:r>
          </w:p>
        </w:tc>
        <w:tc>
          <w:tcPr>
            <w:tcW w:w="38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denominated. It will also typically be the currency in which</w:t>
            </w:r>
          </w:p>
        </w:tc>
        <w:tc>
          <w:tcPr>
            <w:tcW w:w="38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distributions are declared.</w:t>
            </w:r>
          </w:p>
        </w:tc>
        <w:tc>
          <w:tcPr>
            <w:tcW w:w="3820" w:type="dxa"/>
            <w:vAlign w:val="bottom"/>
          </w:tcPr>
          <w:p>
            <w:pPr>
              <w:spacing w:after="0"/>
              <w:rPr>
                <w:sz w:val="20"/>
                <w:szCs w:val="20"/>
                <w:color w:val="auto"/>
              </w:rPr>
            </w:pP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color w:val="auto"/>
              </w:rPr>
              <w:t>*Will there be CDIs issued over the +securities?</w:t>
            </w:r>
          </w:p>
        </w:tc>
        <w:tc>
          <w:tcPr>
            <w:tcW w:w="382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color w:val="auto"/>
              </w:rPr>
              <w:t>*CDI ratio</w:t>
            </w:r>
          </w:p>
        </w:tc>
        <w:tc>
          <w:tcPr>
            <w:tcW w:w="382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Answer this question if you answered “Yes” to the previous question.</w:t>
            </w:r>
          </w:p>
        </w:tc>
        <w:tc>
          <w:tcPr>
            <w:tcW w:w="38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This is the ratio at which CDIs can be transmuted into the underlying</w:t>
            </w:r>
          </w:p>
        </w:tc>
        <w:tc>
          <w:tcPr>
            <w:tcW w:w="38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security (e.g. 4:1 means 4 CDIs represent 1 underlying security</w:t>
            </w:r>
          </w:p>
        </w:tc>
        <w:tc>
          <w:tcPr>
            <w:tcW w:w="38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whereas 1:4 means 1 CDI represents 4 underlying securities).</w:t>
            </w:r>
          </w:p>
        </w:tc>
        <w:tc>
          <w:tcPr>
            <w:tcW w:w="3820" w:type="dxa"/>
            <w:vAlign w:val="bottom"/>
          </w:tcPr>
          <w:p>
            <w:pPr>
              <w:spacing w:after="0"/>
              <w:rPr>
                <w:sz w:val="20"/>
                <w:szCs w:val="20"/>
                <w:color w:val="auto"/>
              </w:rPr>
            </w:pP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color w:val="auto"/>
              </w:rPr>
              <w:t>*Is it a partly paid class of +security?</w:t>
            </w:r>
          </w:p>
        </w:tc>
        <w:tc>
          <w:tcPr>
            <w:tcW w:w="382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color w:val="auto"/>
              </w:rPr>
              <w:t>*Paid up amount: unpaid amount</w:t>
            </w:r>
          </w:p>
        </w:tc>
        <w:tc>
          <w:tcPr>
            <w:tcW w:w="382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Answer this question if answered “Yes” to the previous question.</w:t>
            </w:r>
          </w:p>
        </w:tc>
        <w:tc>
          <w:tcPr>
            <w:tcW w:w="382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The paid up amount represents the amount of application money</w:t>
            </w:r>
          </w:p>
        </w:tc>
        <w:tc>
          <w:tcPr>
            <w:tcW w:w="38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and/or calls which have been paid on any security considered ‘partly</w:t>
            </w:r>
          </w:p>
        </w:tc>
        <w:tc>
          <w:tcPr>
            <w:tcW w:w="38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paid’</w:t>
            </w:r>
          </w:p>
        </w:tc>
        <w:tc>
          <w:tcPr>
            <w:tcW w:w="3820" w:type="dxa"/>
            <w:vAlign w:val="bottom"/>
          </w:tcPr>
          <w:p>
            <w:pPr>
              <w:spacing w:after="0"/>
              <w:rPr>
                <w:sz w:val="20"/>
                <w:szCs w:val="20"/>
                <w:color w:val="auto"/>
              </w:rPr>
            </w:pPr>
          </w:p>
        </w:tc>
      </w:tr>
      <w:tr>
        <w:trPr>
          <w:trHeight w:val="323"/>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The unpaid amount represents the unpaid or yet to be called amount</w:t>
            </w:r>
          </w:p>
        </w:tc>
        <w:tc>
          <w:tcPr>
            <w:tcW w:w="382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on any security considered ‘partly paid’.</w:t>
            </w:r>
          </w:p>
        </w:tc>
        <w:tc>
          <w:tcPr>
            <w:tcW w:w="3820" w:type="dxa"/>
            <w:vAlign w:val="bottom"/>
          </w:tcPr>
          <w:p>
            <w:pPr>
              <w:spacing w:after="0"/>
              <w:rPr>
                <w:sz w:val="20"/>
                <w:szCs w:val="20"/>
                <w:color w:val="auto"/>
              </w:rPr>
            </w:pPr>
          </w:p>
        </w:tc>
      </w:tr>
      <w:tr>
        <w:trPr>
          <w:trHeight w:val="323"/>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The amounts should be provided per the security currency (e.g. if the</w:t>
            </w:r>
          </w:p>
        </w:tc>
        <w:tc>
          <w:tcPr>
            <w:tcW w:w="38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security currency is AUD, then the paid up and unpaid amount per</w:t>
            </w:r>
          </w:p>
        </w:tc>
        <w:tc>
          <w:tcPr>
            <w:tcW w:w="38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security in AUD).</w:t>
            </w:r>
          </w:p>
        </w:tc>
        <w:tc>
          <w:tcPr>
            <w:tcW w:w="3820" w:type="dxa"/>
            <w:vAlign w:val="bottom"/>
          </w:tcPr>
          <w:p>
            <w:pPr>
              <w:spacing w:after="0"/>
              <w:rPr>
                <w:sz w:val="20"/>
                <w:szCs w:val="20"/>
                <w:color w:val="auto"/>
              </w:rPr>
            </w:pP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color w:val="auto"/>
              </w:rPr>
              <w:t>*Is it a stapled +security?</w:t>
            </w:r>
          </w:p>
        </w:tc>
        <w:tc>
          <w:tcPr>
            <w:tcW w:w="382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This is a security class that comprises a number of ordinary shares</w:t>
            </w:r>
          </w:p>
        </w:tc>
        <w:tc>
          <w:tcPr>
            <w:tcW w:w="38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and/or ordinary units issued by separate entities that are stapled</w:t>
            </w:r>
          </w:p>
        </w:tc>
        <w:tc>
          <w:tcPr>
            <w:tcW w:w="38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together for the purposes of trading.</w:t>
            </w:r>
          </w:p>
        </w:tc>
        <w:tc>
          <w:tcPr>
            <w:tcW w:w="3820" w:type="dxa"/>
            <w:vAlign w:val="bottom"/>
          </w:tcPr>
          <w:p>
            <w:pPr>
              <w:spacing w:after="0"/>
              <w:rPr>
                <w:sz w:val="20"/>
                <w:szCs w:val="20"/>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3B.8b</w:t>
            </w:r>
          </w:p>
        </w:tc>
        <w:tc>
          <w:tcPr>
            <w:tcW w:w="6480" w:type="dxa"/>
            <w:vAlign w:val="bottom"/>
          </w:tcPr>
          <w:p>
            <w:pPr>
              <w:ind w:left="280"/>
              <w:spacing w:after="0"/>
              <w:rPr>
                <w:sz w:val="20"/>
                <w:szCs w:val="20"/>
                <w:color w:val="auto"/>
              </w:rPr>
            </w:pPr>
            <w:r>
              <w:rPr>
                <w:rFonts w:ascii="Arial" w:cs="Arial" w:eastAsia="Arial" w:hAnsi="Arial"/>
                <w:sz w:val="18"/>
                <w:szCs w:val="18"/>
                <w:b w:val="1"/>
                <w:bCs w:val="1"/>
                <w:color w:val="auto"/>
              </w:rPr>
              <w:t>Option details</w:t>
            </w:r>
          </w:p>
        </w:tc>
        <w:tc>
          <w:tcPr>
            <w:tcW w:w="382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10300" w:type="dxa"/>
            <w:vAlign w:val="bottom"/>
            <w:gridSpan w:val="2"/>
          </w:tcPr>
          <w:p>
            <w:pPr>
              <w:ind w:left="280"/>
              <w:spacing w:after="0"/>
              <w:rPr>
                <w:sz w:val="20"/>
                <w:szCs w:val="20"/>
                <w:color w:val="auto"/>
              </w:rPr>
            </w:pPr>
            <w:r>
              <w:rPr>
                <w:rFonts w:ascii="Arial" w:cs="Arial" w:eastAsia="Arial" w:hAnsi="Arial"/>
                <w:sz w:val="18"/>
                <w:szCs w:val="18"/>
                <w:i w:val="1"/>
                <w:iCs w:val="1"/>
                <w:color w:val="auto"/>
              </w:rPr>
              <w:t>Answer the questions in this section if you selected this security type in your response to Question 3B.2.</w:t>
            </w: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color w:val="auto"/>
              </w:rPr>
              <w:t>*+Security currency</w:t>
            </w:r>
          </w:p>
        </w:tc>
        <w:tc>
          <w:tcPr>
            <w:tcW w:w="382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This is the currency in which the exercise price is payable.</w:t>
            </w:r>
          </w:p>
        </w:tc>
        <w:tc>
          <w:tcPr>
            <w:tcW w:w="382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color w:val="auto"/>
              </w:rPr>
              <w:t>*Exercise price</w:t>
            </w:r>
          </w:p>
        </w:tc>
        <w:tc>
          <w:tcPr>
            <w:tcW w:w="382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The price at which each option can be exercised and convert into the</w:t>
            </w:r>
          </w:p>
        </w:tc>
        <w:tc>
          <w:tcPr>
            <w:tcW w:w="38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underlying security. If there is no exercise price please answer as</w:t>
            </w:r>
          </w:p>
        </w:tc>
        <w:tc>
          <w:tcPr>
            <w:tcW w:w="38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$0.00.</w:t>
            </w:r>
          </w:p>
        </w:tc>
        <w:tc>
          <w:tcPr>
            <w:tcW w:w="3820" w:type="dxa"/>
            <w:vAlign w:val="bottom"/>
          </w:tcPr>
          <w:p>
            <w:pPr>
              <w:spacing w:after="0"/>
              <w:rPr>
                <w:sz w:val="20"/>
                <w:szCs w:val="20"/>
                <w:color w:val="auto"/>
              </w:rPr>
            </w:pPr>
          </w:p>
        </w:tc>
      </w:tr>
      <w:tr>
        <w:trPr>
          <w:trHeight w:val="310"/>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The exercise price should be provided per the security currency (i.e. if</w:t>
            </w:r>
          </w:p>
        </w:tc>
        <w:tc>
          <w:tcPr>
            <w:tcW w:w="38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the security currency is AUD, the exercise price should be expressed</w:t>
            </w:r>
          </w:p>
        </w:tc>
        <w:tc>
          <w:tcPr>
            <w:tcW w:w="382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in AUD).</w:t>
            </w:r>
          </w:p>
        </w:tc>
        <w:tc>
          <w:tcPr>
            <w:tcW w:w="3820" w:type="dxa"/>
            <w:vAlign w:val="bottom"/>
          </w:tcPr>
          <w:p>
            <w:pPr>
              <w:spacing w:after="0"/>
              <w:rPr>
                <w:sz w:val="20"/>
                <w:szCs w:val="20"/>
                <w:color w:val="auto"/>
              </w:rPr>
            </w:pP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color w:val="auto"/>
              </w:rPr>
              <w:t>*Expiry date</w:t>
            </w:r>
          </w:p>
        </w:tc>
        <w:tc>
          <w:tcPr>
            <w:tcW w:w="3820" w:type="dxa"/>
            <w:vAlign w:val="bottom"/>
          </w:tcPr>
          <w:p>
            <w:pPr>
              <w:spacing w:after="0"/>
              <w:rPr>
                <w:sz w:val="24"/>
                <w:szCs w:val="24"/>
                <w:color w:val="auto"/>
              </w:rPr>
            </w:pPr>
          </w:p>
        </w:tc>
      </w:tr>
      <w:tr>
        <w:trPr>
          <w:trHeight w:val="324"/>
        </w:trPr>
        <w:tc>
          <w:tcPr>
            <w:tcW w:w="720" w:type="dxa"/>
            <w:vAlign w:val="bottom"/>
          </w:tcPr>
          <w:p>
            <w:pPr>
              <w:spacing w:after="0"/>
              <w:rPr>
                <w:sz w:val="24"/>
                <w:szCs w:val="24"/>
                <w:color w:val="auto"/>
              </w:rPr>
            </w:pPr>
          </w:p>
        </w:tc>
        <w:tc>
          <w:tcPr>
            <w:tcW w:w="6480" w:type="dxa"/>
            <w:vAlign w:val="bottom"/>
          </w:tcPr>
          <w:p>
            <w:pPr>
              <w:ind w:left="280"/>
              <w:spacing w:after="0"/>
              <w:rPr>
                <w:sz w:val="20"/>
                <w:szCs w:val="20"/>
                <w:color w:val="auto"/>
              </w:rPr>
            </w:pPr>
            <w:r>
              <w:rPr>
                <w:rFonts w:ascii="Arial" w:cs="Arial" w:eastAsia="Arial" w:hAnsi="Arial"/>
                <w:sz w:val="18"/>
                <w:szCs w:val="18"/>
                <w:i w:val="1"/>
                <w:iCs w:val="1"/>
                <w:color w:val="auto"/>
              </w:rPr>
              <w:t>The date on which the options expire or terminate.</w:t>
            </w:r>
          </w:p>
        </w:tc>
        <w:tc>
          <w:tcPr>
            <w:tcW w:w="3820" w:type="dxa"/>
            <w:vAlign w:val="bottom"/>
          </w:tcPr>
          <w:p>
            <w:pPr>
              <w:spacing w:after="0"/>
              <w:rPr>
                <w:sz w:val="24"/>
                <w:szCs w:val="24"/>
                <w:color w:val="auto"/>
              </w:rPr>
            </w:pPr>
          </w:p>
        </w:tc>
      </w:tr>
      <w:tr>
        <w:trPr>
          <w:trHeight w:val="149"/>
        </w:trPr>
        <w:tc>
          <w:tcPr>
            <w:tcW w:w="7200" w:type="dxa"/>
            <w:vAlign w:val="bottom"/>
            <w:tcBorders>
              <w:bottom w:val="single" w:sz="8" w:color="auto"/>
            </w:tcBorders>
            <w:gridSpan w:val="2"/>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r>
      <w:tr>
        <w:trPr>
          <w:trHeight w:val="195"/>
        </w:trPr>
        <w:tc>
          <w:tcPr>
            <w:tcW w:w="720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3820" w:type="dxa"/>
            <w:vAlign w:val="bottom"/>
          </w:tcPr>
          <w:p>
            <w:pPr>
              <w:spacing w:after="0"/>
              <w:rPr>
                <w:sz w:val="16"/>
                <w:szCs w:val="16"/>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31 January 2020</w:t>
            </w:r>
          </w:p>
        </w:tc>
        <w:tc>
          <w:tcPr>
            <w:tcW w:w="3820" w:type="dxa"/>
            <w:vAlign w:val="bottom"/>
          </w:tcPr>
          <w:p>
            <w:pPr>
              <w:jc w:val="right"/>
              <w:spacing w:after="0"/>
              <w:rPr>
                <w:sz w:val="20"/>
                <w:szCs w:val="20"/>
                <w:color w:val="auto"/>
              </w:rPr>
            </w:pPr>
            <w:r>
              <w:rPr>
                <w:rFonts w:ascii="Arial" w:cs="Arial" w:eastAsia="Arial" w:hAnsi="Arial"/>
                <w:sz w:val="18"/>
                <w:szCs w:val="18"/>
                <w:color w:val="auto"/>
              </w:rPr>
              <w:t>Page 6</w:t>
            </w:r>
          </w:p>
        </w:tc>
      </w:tr>
    </w:tbl>
    <w:p>
      <w:pPr>
        <w:sectPr>
          <w:pgSz w:w="11900" w:h="16838" w:orient="portrait"/>
          <w:cols w:equalWidth="0" w:num="1">
            <w:col w:w="11020"/>
          </w:cols>
          <w:pgMar w:left="440" w:top="270" w:right="439" w:bottom="1440" w:gutter="0" w:footer="0" w:header="0"/>
        </w:sectPr>
      </w:pPr>
    </w:p>
    <w:bookmarkStart w:id="24" w:name="page25"/>
    <w:bookmarkEnd w:id="24"/>
    <w:p>
      <w:pPr>
        <w:spacing w:after="0"/>
        <w:tabs>
          <w:tab w:leader="none" w:pos="9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r>
        <w:rPr>
          <w:sz w:val="20"/>
          <w:szCs w:val="20"/>
          <w:color w:val="auto"/>
        </w:rPr>
        <w:tab/>
      </w:r>
      <w:r>
        <w:rPr>
          <w:rFonts w:ascii="Arial" w:cs="Arial" w:eastAsia="Arial" w:hAnsi="Arial"/>
          <w:sz w:val="16"/>
          <w:szCs w:val="16"/>
          <w:b w:val="1"/>
          <w:bCs w:val="1"/>
          <w:color w:val="auto"/>
        </w:rPr>
        <w:t>Appendix 3G</w:t>
      </w:r>
    </w:p>
    <w:p>
      <w:pPr>
        <w:spacing w:after="0" w:line="27" w:lineRule="exact"/>
        <w:rPr>
          <w:sz w:val="20"/>
          <w:szCs w:val="20"/>
          <w:color w:val="auto"/>
        </w:rPr>
      </w:pPr>
    </w:p>
    <w:p>
      <w:pPr>
        <w:spacing w:after="0"/>
        <w:tabs>
          <w:tab w:leader="none" w:pos="8340" w:val="left"/>
        </w:tabs>
        <w:rPr>
          <w:sz w:val="20"/>
          <w:szCs w:val="20"/>
          <w:color w:val="auto"/>
        </w:rPr>
      </w:pPr>
      <w:r>
        <w:rPr>
          <w:rFonts w:ascii="Arial" w:cs="Arial" w:eastAsia="Arial" w:hAnsi="Arial"/>
          <w:sz w:val="18"/>
          <w:szCs w:val="18"/>
          <w:b w:val="1"/>
          <w:bCs w:val="1"/>
          <w:color w:val="auto"/>
        </w:rPr>
        <w:t>Please fill in and submit as a PDF announcement</w:t>
      </w:r>
      <w:r>
        <w:rPr>
          <w:sz w:val="20"/>
          <w:szCs w:val="20"/>
          <w:color w:val="auto"/>
        </w:rPr>
        <w:tab/>
      </w:r>
      <w:r>
        <w:rPr>
          <w:rFonts w:ascii="Arial" w:cs="Arial" w:eastAsia="Arial" w:hAnsi="Arial"/>
          <w:sz w:val="15"/>
          <w:szCs w:val="15"/>
          <w:b w:val="1"/>
          <w:bCs w:val="1"/>
          <w:color w:val="auto"/>
        </w:rPr>
        <w:t>Notification of issue, conversion 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payment up of equity +securities</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*Details of the number and type of +security (including its ASX</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security code if the +security is quoted on or recorded by ASX) that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will be issued if an option is exercised</w:t>
      </w:r>
    </w:p>
    <w:p>
      <w:pPr>
        <w:spacing w:after="0" w:line="11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For example, if the option can be exercised to receive one fully paid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ordinary share with ASX security code ABC, please insert “One fully</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paid ordinary share (ASX:ABC)“.</w:t>
      </w:r>
    </w:p>
    <w:p>
      <w:pPr>
        <w:spacing w:after="0" w:line="11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3B.8c</w:t>
      </w:r>
      <w:r>
        <w:rPr>
          <w:sz w:val="20"/>
          <w:szCs w:val="20"/>
          <w:color w:val="auto"/>
        </w:rPr>
        <w:tab/>
      </w:r>
      <w:r>
        <w:rPr>
          <w:rFonts w:ascii="Arial" w:cs="Arial" w:eastAsia="Arial" w:hAnsi="Arial"/>
          <w:sz w:val="16"/>
          <w:szCs w:val="16"/>
          <w:color w:val="auto"/>
        </w:rPr>
        <w:t>Details of non-convertible +debt securities, +convertible debt securities, or redeemable preference shares/units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Answer the questions in this section if you selected one of these security types in your response to Question 3B.2.</w:t>
      </w:r>
    </w:p>
    <w:p>
      <w:pPr>
        <w:spacing w:after="0" w:line="117" w:lineRule="exact"/>
        <w:rPr>
          <w:sz w:val="20"/>
          <w:szCs w:val="20"/>
          <w:color w:val="auto"/>
        </w:rPr>
      </w:pPr>
    </w:p>
    <w:p>
      <w:pPr>
        <w:ind w:left="1000" w:right="560"/>
        <w:spacing w:after="0" w:line="277" w:lineRule="auto"/>
        <w:rPr>
          <w:sz w:val="20"/>
          <w:szCs w:val="20"/>
          <w:color w:val="auto"/>
        </w:rPr>
      </w:pPr>
      <w:r>
        <w:rPr>
          <w:rFonts w:ascii="Arial" w:cs="Arial" w:eastAsia="Arial" w:hAnsi="Arial"/>
          <w:sz w:val="18"/>
          <w:szCs w:val="18"/>
          <w:i w:val="1"/>
          <w:iCs w:val="1"/>
          <w:color w:val="auto"/>
        </w:rPr>
        <w:t>Refer to Guidance Note 34 and the “</w:t>
      </w:r>
      <w:r>
        <w:rPr>
          <w:rFonts w:ascii="Arial" w:cs="Arial" w:eastAsia="Arial" w:hAnsi="Arial"/>
          <w:sz w:val="18"/>
          <w:szCs w:val="18"/>
          <w:i w:val="1"/>
          <w:iCs w:val="1"/>
          <w:u w:val="single" w:color="auto"/>
          <w:color w:val="auto"/>
        </w:rPr>
        <w:t>Guide to the Naming Conventions and Security Descriptions for ASX Quoted Debt and Hybrid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Securities</w:t>
      </w:r>
      <w:r>
        <w:rPr>
          <w:rFonts w:ascii="Arial" w:cs="Arial" w:eastAsia="Arial" w:hAnsi="Arial"/>
          <w:sz w:val="18"/>
          <w:szCs w:val="18"/>
          <w:i w:val="1"/>
          <w:iCs w:val="1"/>
          <w:color w:val="auto"/>
        </w:rPr>
        <w:t>” for further information on certain terms used in this section</w:t>
      </w:r>
    </w:p>
    <w:p>
      <w:pPr>
        <w:sectPr>
          <w:pgSz w:w="11900" w:h="16838" w:orient="portrait"/>
          <w:cols w:equalWidth="0" w:num="1">
            <w:col w:w="11020"/>
          </w:cols>
          <w:pgMar w:left="440" w:top="270" w:right="439" w:bottom="1440" w:gutter="0" w:footer="0" w:header="0"/>
        </w:sectPr>
      </w:pP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*Type of +security</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Select one item from the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*+Security currency</w:t>
      </w:r>
    </w:p>
    <w:p>
      <w:pPr>
        <w:spacing w:after="0" w:line="117" w:lineRule="exact"/>
        <w:rPr>
          <w:sz w:val="20"/>
          <w:szCs w:val="20"/>
          <w:color w:val="auto"/>
        </w:rPr>
      </w:pPr>
    </w:p>
    <w:p>
      <w:pPr>
        <w:ind w:left="1000"/>
        <w:spacing w:after="0" w:line="263" w:lineRule="auto"/>
        <w:rPr>
          <w:sz w:val="20"/>
          <w:szCs w:val="20"/>
          <w:color w:val="auto"/>
        </w:rPr>
      </w:pPr>
      <w:r>
        <w:rPr>
          <w:rFonts w:ascii="Arial" w:cs="Arial" w:eastAsia="Arial" w:hAnsi="Arial"/>
          <w:sz w:val="18"/>
          <w:szCs w:val="18"/>
          <w:i w:val="1"/>
          <w:iCs w:val="1"/>
          <w:color w:val="auto"/>
        </w:rPr>
        <w:t>This is the currency in which the face value of the security is denominated. It will also typically be the currency in which interest or distributions are paid.</w:t>
      </w:r>
    </w:p>
    <w:p>
      <w:pPr>
        <w:spacing w:after="0" w:line="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Face value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This is the principal amount of each security.</w:t>
      </w:r>
    </w:p>
    <w:p>
      <w:pPr>
        <w:spacing w:after="0" w:line="117" w:lineRule="exact"/>
        <w:rPr>
          <w:sz w:val="20"/>
          <w:szCs w:val="20"/>
          <w:color w:val="auto"/>
        </w:rPr>
      </w:pPr>
    </w:p>
    <w:p>
      <w:pPr>
        <w:ind w:left="1000" w:right="180"/>
        <w:spacing w:after="0" w:line="342" w:lineRule="auto"/>
        <w:rPr>
          <w:sz w:val="20"/>
          <w:szCs w:val="20"/>
          <w:color w:val="auto"/>
        </w:rPr>
      </w:pPr>
      <w:r>
        <w:rPr>
          <w:rFonts w:ascii="Arial" w:cs="Arial" w:eastAsia="Arial" w:hAnsi="Arial"/>
          <w:sz w:val="16"/>
          <w:szCs w:val="16"/>
          <w:i w:val="1"/>
          <w:iCs w:val="1"/>
          <w:color w:val="auto"/>
        </w:rPr>
        <w:t>The face value should be provided per the security currency (i.e. if security currency is AUD, then the face value per security in AUD).</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rate type</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Select one item from the list</w:t>
      </w:r>
    </w:p>
    <w:p>
      <w:pPr>
        <w:spacing w:after="0" w:line="131" w:lineRule="exact"/>
        <w:rPr>
          <w:sz w:val="20"/>
          <w:szCs w:val="20"/>
          <w:color w:val="auto"/>
        </w:rPr>
      </w:pPr>
    </w:p>
    <w:p>
      <w:pPr>
        <w:ind w:left="1000" w:right="100"/>
        <w:spacing w:after="0" w:line="259" w:lineRule="auto"/>
        <w:rPr>
          <w:sz w:val="20"/>
          <w:szCs w:val="20"/>
          <w:color w:val="auto"/>
        </w:rPr>
      </w:pPr>
      <w:r>
        <w:rPr>
          <w:rFonts w:ascii="Arial" w:cs="Arial" w:eastAsia="Arial" w:hAnsi="Arial"/>
          <w:sz w:val="18"/>
          <w:szCs w:val="18"/>
          <w:i w:val="1"/>
          <w:iCs w:val="1"/>
          <w:color w:val="auto"/>
        </w:rPr>
        <w:t>Select the appropriate interest rate type per the terms of the security. Definitions for each type are provided in the Guide to the Naming Conventions and Security Descriptions for ASX Quoted Debt and Hybrid Securities</w:t>
      </w:r>
    </w:p>
    <w:p>
      <w:pPr>
        <w:spacing w:after="0" w:line="200" w:lineRule="exact"/>
        <w:rPr>
          <w:sz w:val="20"/>
          <w:szCs w:val="20"/>
          <w:color w:val="auto"/>
        </w:rPr>
      </w:pPr>
    </w:p>
    <w:p>
      <w:pPr>
        <w:spacing w:after="0" w:line="257" w:lineRule="exact"/>
        <w:rPr>
          <w:sz w:val="20"/>
          <w:szCs w:val="20"/>
          <w:color w:val="auto"/>
        </w:rPr>
      </w:pPr>
    </w:p>
    <w:p>
      <w:pPr>
        <w:ind w:left="1000" w:right="1580"/>
        <w:spacing w:after="0" w:line="418" w:lineRule="auto"/>
        <w:rPr>
          <w:sz w:val="20"/>
          <w:szCs w:val="20"/>
          <w:color w:val="auto"/>
        </w:rPr>
      </w:pPr>
      <w:r>
        <w:rPr>
          <w:rFonts w:ascii="Arial" w:cs="Arial" w:eastAsia="Arial" w:hAnsi="Arial"/>
          <w:sz w:val="18"/>
          <w:szCs w:val="18"/>
          <w:color w:val="auto"/>
        </w:rPr>
        <w:t xml:space="preserve">Frequency of coupon/interest payments per year </w:t>
      </w:r>
      <w:r>
        <w:rPr>
          <w:rFonts w:ascii="Arial" w:cs="Arial" w:eastAsia="Arial" w:hAnsi="Arial"/>
          <w:sz w:val="18"/>
          <w:szCs w:val="18"/>
          <w:i w:val="1"/>
          <w:iCs w:val="1"/>
          <w:color w:val="auto"/>
        </w:rPr>
        <w:t>Select one item from the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First interest payment date</w:t>
      </w:r>
    </w:p>
    <w:p>
      <w:pPr>
        <w:spacing w:after="0" w:line="131" w:lineRule="exact"/>
        <w:rPr>
          <w:sz w:val="20"/>
          <w:szCs w:val="20"/>
          <w:color w:val="auto"/>
        </w:rPr>
      </w:pPr>
    </w:p>
    <w:p>
      <w:pPr>
        <w:ind w:left="1000" w:right="200"/>
        <w:spacing w:after="0" w:line="263" w:lineRule="auto"/>
        <w:rPr>
          <w:sz w:val="20"/>
          <w:szCs w:val="20"/>
          <w:color w:val="auto"/>
        </w:rPr>
      </w:pPr>
      <w:r>
        <w:rPr>
          <w:rFonts w:ascii="Arial" w:cs="Arial" w:eastAsia="Arial" w:hAnsi="Arial"/>
          <w:sz w:val="18"/>
          <w:szCs w:val="18"/>
          <w:i w:val="1"/>
          <w:iCs w:val="1"/>
          <w:color w:val="auto"/>
        </w:rPr>
        <w:t>A response is not required if you have selected “No coupon/interest payments” in response to the question above on the frequency of coupon/interest payments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315" w:hanging="315"/>
        <w:spacing w:after="0"/>
        <w:tabs>
          <w:tab w:leader="none" w:pos="315"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Simple corporate bond</w:t>
      </w:r>
    </w:p>
    <w:p>
      <w:pPr>
        <w:spacing w:after="0" w:line="117" w:lineRule="exact"/>
        <w:rPr>
          <w:rFonts w:ascii="MS PGothic" w:cs="MS PGothic" w:eastAsia="MS PGothic" w:hAnsi="MS PGothic"/>
          <w:sz w:val="18"/>
          <w:szCs w:val="18"/>
          <w:color w:val="auto"/>
        </w:rPr>
      </w:pPr>
    </w:p>
    <w:p>
      <w:pPr>
        <w:ind w:left="315" w:hanging="315"/>
        <w:spacing w:after="0"/>
        <w:tabs>
          <w:tab w:leader="none" w:pos="315" w:val="left"/>
        </w:tabs>
        <w:numPr>
          <w:ilvl w:val="0"/>
          <w:numId w:val="23"/>
        </w:numPr>
        <w:rPr>
          <w:rFonts w:ascii="MS PGothic" w:cs="MS PGothic" w:eastAsia="MS PGothic" w:hAnsi="MS PGothic"/>
          <w:sz w:val="16"/>
          <w:szCs w:val="16"/>
          <w:color w:val="auto"/>
        </w:rPr>
      </w:pPr>
      <w:r>
        <w:rPr>
          <w:rFonts w:ascii="Arial" w:cs="Arial" w:eastAsia="Arial" w:hAnsi="Arial"/>
          <w:sz w:val="16"/>
          <w:szCs w:val="16"/>
          <w:color w:val="auto"/>
        </w:rPr>
        <w:t>Non-convertible note or bond</w:t>
      </w:r>
    </w:p>
    <w:p>
      <w:pPr>
        <w:spacing w:after="0" w:line="140" w:lineRule="exact"/>
        <w:rPr>
          <w:rFonts w:ascii="MS PGothic" w:cs="MS PGothic" w:eastAsia="MS PGothic" w:hAnsi="MS PGothic"/>
          <w:sz w:val="16"/>
          <w:szCs w:val="16"/>
          <w:color w:val="auto"/>
        </w:rPr>
      </w:pPr>
    </w:p>
    <w:p>
      <w:pPr>
        <w:ind w:left="315" w:hanging="315"/>
        <w:spacing w:after="0"/>
        <w:tabs>
          <w:tab w:leader="none" w:pos="315"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Convertible note or bond</w:t>
      </w:r>
    </w:p>
    <w:p>
      <w:pPr>
        <w:spacing w:after="0" w:line="117" w:lineRule="exact"/>
        <w:rPr>
          <w:rFonts w:ascii="MS PGothic" w:cs="MS PGothic" w:eastAsia="MS PGothic" w:hAnsi="MS PGothic"/>
          <w:sz w:val="18"/>
          <w:szCs w:val="18"/>
          <w:color w:val="auto"/>
        </w:rPr>
      </w:pPr>
    </w:p>
    <w:p>
      <w:pPr>
        <w:ind w:left="315" w:hanging="315"/>
        <w:spacing w:after="0"/>
        <w:tabs>
          <w:tab w:leader="none" w:pos="315"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Preference share/unit</w:t>
      </w:r>
    </w:p>
    <w:p>
      <w:pPr>
        <w:spacing w:after="0" w:line="117" w:lineRule="exact"/>
        <w:rPr>
          <w:rFonts w:ascii="MS PGothic" w:cs="MS PGothic" w:eastAsia="MS PGothic" w:hAnsi="MS PGothic"/>
          <w:sz w:val="18"/>
          <w:szCs w:val="18"/>
          <w:color w:val="auto"/>
        </w:rPr>
      </w:pPr>
    </w:p>
    <w:p>
      <w:pPr>
        <w:ind w:left="315" w:hanging="315"/>
        <w:spacing w:after="0"/>
        <w:tabs>
          <w:tab w:leader="none" w:pos="315"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Capital note</w:t>
      </w:r>
    </w:p>
    <w:p>
      <w:pPr>
        <w:spacing w:after="0" w:line="117" w:lineRule="exact"/>
        <w:rPr>
          <w:rFonts w:ascii="MS PGothic" w:cs="MS PGothic" w:eastAsia="MS PGothic" w:hAnsi="MS PGothic"/>
          <w:sz w:val="18"/>
          <w:szCs w:val="18"/>
          <w:color w:val="auto"/>
        </w:rPr>
      </w:pPr>
    </w:p>
    <w:p>
      <w:pPr>
        <w:ind w:left="315" w:hanging="315"/>
        <w:spacing w:after="0"/>
        <w:tabs>
          <w:tab w:leader="none" w:pos="315"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Hybrid security</w:t>
      </w:r>
    </w:p>
    <w:p>
      <w:pPr>
        <w:spacing w:after="0" w:line="117" w:lineRule="exact"/>
        <w:rPr>
          <w:rFonts w:ascii="MS PGothic" w:cs="MS PGothic" w:eastAsia="MS PGothic" w:hAnsi="MS PGothic"/>
          <w:sz w:val="18"/>
          <w:szCs w:val="18"/>
          <w:color w:val="auto"/>
        </w:rPr>
      </w:pPr>
    </w:p>
    <w:p>
      <w:pPr>
        <w:ind w:left="315" w:hanging="315"/>
        <w:spacing w:after="0"/>
        <w:tabs>
          <w:tab w:leader="none" w:pos="315"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Fixed rate</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Floating rate</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Indexed rate</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Variable rate</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Zero coupon/no interest</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Monthly</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Quarterly</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Semi-annual</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Annual</w:t>
      </w:r>
    </w:p>
    <w:p>
      <w:pPr>
        <w:spacing w:after="0" w:line="130" w:lineRule="exact"/>
        <w:rPr>
          <w:rFonts w:ascii="MS PGothic" w:cs="MS PGothic" w:eastAsia="MS PGothic" w:hAnsi="MS PGothic"/>
          <w:sz w:val="18"/>
          <w:szCs w:val="18"/>
          <w:color w:val="auto"/>
        </w:rPr>
      </w:pPr>
    </w:p>
    <w:p>
      <w:pPr>
        <w:ind w:left="315" w:hanging="315"/>
        <w:spacing w:after="0"/>
        <w:tabs>
          <w:tab w:leader="none" w:pos="315" w:val="left"/>
        </w:tabs>
        <w:numPr>
          <w:ilvl w:val="0"/>
          <w:numId w:val="24"/>
        </w:numPr>
        <w:rPr>
          <w:rFonts w:ascii="MS PGothic" w:cs="MS PGothic" w:eastAsia="MS PGothic" w:hAnsi="MS PGothic"/>
          <w:sz w:val="16"/>
          <w:szCs w:val="16"/>
          <w:color w:val="auto"/>
        </w:rPr>
      </w:pPr>
      <w:r>
        <w:rPr>
          <w:rFonts w:ascii="Arial" w:cs="Arial" w:eastAsia="Arial" w:hAnsi="Arial"/>
          <w:sz w:val="16"/>
          <w:szCs w:val="16"/>
          <w:color w:val="auto"/>
        </w:rPr>
        <w:t>No coupon/interest payments</w:t>
      </w:r>
    </w:p>
    <w:p>
      <w:pPr>
        <w:spacing w:after="0" w:line="153" w:lineRule="exact"/>
        <w:rPr>
          <w:rFonts w:ascii="MS PGothic" w:cs="MS PGothic" w:eastAsia="MS PGothic" w:hAnsi="MS PGothic"/>
          <w:sz w:val="16"/>
          <w:szCs w:val="16"/>
          <w:color w:val="auto"/>
        </w:rPr>
      </w:pPr>
    </w:p>
    <w:p>
      <w:pPr>
        <w:ind w:left="315" w:hanging="315"/>
        <w:spacing w:after="0"/>
        <w:tabs>
          <w:tab w:leader="none" w:pos="315"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1237" w:lineRule="exact"/>
        <w:rPr>
          <w:sz w:val="20"/>
          <w:szCs w:val="20"/>
          <w:color w:val="auto"/>
        </w:rPr>
      </w:pPr>
    </w:p>
    <w:p>
      <w:pPr>
        <w:sectPr>
          <w:pgSz w:w="11900" w:h="16838" w:orient="portrait"/>
          <w:cols w:equalWidth="0" w:num="2">
            <w:col w:w="6040" w:space="125"/>
            <w:col w:w="4855"/>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460" w:type="dxa"/>
            <w:vAlign w:val="bottom"/>
          </w:tcPr>
          <w:p>
            <w:pPr>
              <w:ind w:left="1000"/>
              <w:spacing w:after="0"/>
              <w:rPr>
                <w:sz w:val="20"/>
                <w:szCs w:val="20"/>
                <w:color w:val="auto"/>
              </w:rPr>
            </w:pPr>
            <w:r>
              <w:rPr>
                <w:rFonts w:ascii="Arial" w:cs="Arial" w:eastAsia="Arial" w:hAnsi="Arial"/>
                <w:sz w:val="18"/>
                <w:szCs w:val="18"/>
                <w:color w:val="auto"/>
              </w:rPr>
              <w:t>Interest rate per annum</w:t>
            </w:r>
          </w:p>
        </w:tc>
        <w:tc>
          <w:tcPr>
            <w:tcW w:w="5560" w:type="dxa"/>
            <w:vAlign w:val="bottom"/>
          </w:tcPr>
          <w:p>
            <w:pPr>
              <w:ind w:left="700"/>
              <w:spacing w:after="0"/>
              <w:rPr>
                <w:sz w:val="20"/>
                <w:szCs w:val="20"/>
                <w:color w:val="auto"/>
              </w:rPr>
            </w:pPr>
            <w:r>
              <w:rPr>
                <w:rFonts w:ascii="Arial" w:cs="Arial" w:eastAsia="Arial" w:hAnsi="Arial"/>
                <w:sz w:val="18"/>
                <w:szCs w:val="18"/>
                <w:color w:val="auto"/>
              </w:rPr>
              <w:t>% p.a.</w:t>
            </w:r>
          </w:p>
        </w:tc>
      </w:tr>
      <w:tr>
        <w:trPr>
          <w:trHeight w:val="324"/>
        </w:trPr>
        <w:tc>
          <w:tcPr>
            <w:tcW w:w="5460" w:type="dxa"/>
            <w:vAlign w:val="bottom"/>
          </w:tcPr>
          <w:p>
            <w:pPr>
              <w:ind w:left="1000"/>
              <w:spacing w:after="0"/>
              <w:rPr>
                <w:sz w:val="20"/>
                <w:szCs w:val="20"/>
                <w:color w:val="auto"/>
              </w:rPr>
            </w:pPr>
            <w:r>
              <w:rPr>
                <w:rFonts w:ascii="Arial" w:cs="Arial" w:eastAsia="Arial" w:hAnsi="Arial"/>
                <w:sz w:val="18"/>
                <w:szCs w:val="18"/>
                <w:i w:val="1"/>
                <w:iCs w:val="1"/>
                <w:color w:val="auto"/>
              </w:rPr>
              <w:t>Answer this question if the interest rate type is fixed.</w:t>
            </w:r>
          </w:p>
        </w:tc>
        <w:tc>
          <w:tcPr>
            <w:tcW w:w="5560" w:type="dxa"/>
            <w:vAlign w:val="bottom"/>
          </w:tcPr>
          <w:p>
            <w:pPr>
              <w:spacing w:after="0"/>
              <w:rPr>
                <w:sz w:val="24"/>
                <w:szCs w:val="24"/>
                <w:color w:val="auto"/>
              </w:rPr>
            </w:pPr>
          </w:p>
        </w:tc>
      </w:tr>
      <w:tr>
        <w:trPr>
          <w:trHeight w:val="149"/>
        </w:trPr>
        <w:tc>
          <w:tcPr>
            <w:tcW w:w="5460" w:type="dxa"/>
            <w:vAlign w:val="bottom"/>
            <w:tcBorders>
              <w:bottom w:val="single" w:sz="8" w:color="auto"/>
            </w:tcBorders>
          </w:tcPr>
          <w:p>
            <w:pPr>
              <w:spacing w:after="0"/>
              <w:rPr>
                <w:sz w:val="12"/>
                <w:szCs w:val="12"/>
                <w:color w:val="auto"/>
              </w:rPr>
            </w:pPr>
          </w:p>
        </w:tc>
        <w:tc>
          <w:tcPr>
            <w:tcW w:w="5560" w:type="dxa"/>
            <w:vAlign w:val="bottom"/>
            <w:tcBorders>
              <w:bottom w:val="single" w:sz="8" w:color="auto"/>
            </w:tcBorders>
          </w:tcPr>
          <w:p>
            <w:pPr>
              <w:spacing w:after="0"/>
              <w:rPr>
                <w:sz w:val="12"/>
                <w:szCs w:val="12"/>
                <w:color w:val="auto"/>
              </w:rPr>
            </w:pPr>
          </w:p>
        </w:tc>
      </w:tr>
      <w:tr>
        <w:trPr>
          <w:trHeight w:val="195"/>
        </w:trPr>
        <w:tc>
          <w:tcPr>
            <w:tcW w:w="5460" w:type="dxa"/>
            <w:vAlign w:val="bottom"/>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5560" w:type="dxa"/>
            <w:vAlign w:val="bottom"/>
          </w:tcPr>
          <w:p>
            <w:pPr>
              <w:spacing w:after="0"/>
              <w:rPr>
                <w:sz w:val="16"/>
                <w:szCs w:val="16"/>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i w:val="1"/>
                <w:iCs w:val="1"/>
                <w:color w:val="auto"/>
              </w:rPr>
              <w:t>31 January 2020</w:t>
            </w:r>
          </w:p>
        </w:tc>
        <w:tc>
          <w:tcPr>
            <w:tcW w:w="5560" w:type="dxa"/>
            <w:vAlign w:val="bottom"/>
          </w:tcPr>
          <w:p>
            <w:pPr>
              <w:ind w:left="5060"/>
              <w:spacing w:after="0"/>
              <w:rPr>
                <w:sz w:val="20"/>
                <w:szCs w:val="20"/>
                <w:color w:val="auto"/>
              </w:rPr>
            </w:pPr>
            <w:r>
              <w:rPr>
                <w:rFonts w:ascii="Arial" w:cs="Arial" w:eastAsia="Arial" w:hAnsi="Arial"/>
                <w:sz w:val="18"/>
                <w:szCs w:val="18"/>
                <w:color w:val="auto"/>
                <w:w w:val="84"/>
              </w:rPr>
              <w:t>Page 7</w:t>
            </w:r>
          </w:p>
        </w:tc>
      </w:tr>
    </w:tbl>
    <w:p>
      <w:pPr>
        <w:sectPr>
          <w:pgSz w:w="11900" w:h="16838" w:orient="portrait"/>
          <w:cols w:equalWidth="0" w:num="1">
            <w:col w:w="11020"/>
          </w:cols>
          <w:pgMar w:left="440" w:top="270" w:right="439" w:bottom="1440" w:gutter="0" w:footer="0" w:header="0"/>
          <w:type w:val="continuous"/>
        </w:sectPr>
      </w:pPr>
    </w:p>
    <w:bookmarkStart w:id="25" w:name="page26"/>
    <w:bookmarkEnd w:id="25"/>
    <w:p>
      <w:pPr>
        <w:ind w:right="220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appendix is </w:t>
      </w:r>
      <w:r>
        <w:rPr>
          <w:rFonts w:ascii="Arial" w:cs="Arial" w:eastAsia="Arial" w:hAnsi="Arial"/>
          <w:sz w:val="16"/>
          <w:szCs w:val="16"/>
          <w:b w:val="1"/>
          <w:bCs w:val="1"/>
          <w:i w:val="1"/>
          <w:iCs w:val="1"/>
          <w:color w:val="auto"/>
        </w:rPr>
        <w:t>not</w:t>
      </w:r>
      <w:r>
        <w:rPr>
          <w:rFonts w:ascii="Arial" w:cs="Arial" w:eastAsia="Arial" w:hAnsi="Arial"/>
          <w:sz w:val="16"/>
          <w:szCs w:val="16"/>
          <w:b w:val="1"/>
          <w:bCs w:val="1"/>
          <w:color w:val="auto"/>
        </w:rPr>
        <w:t xml:space="preserve"> available as an online form Please fill in and submit as a PDF announcement</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*Is the interest rate per annum estimated at this time?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Answer this question if the interest rate type is fixed.</w:t>
      </w:r>
    </w:p>
    <w:p>
      <w:pPr>
        <w:spacing w:after="0" w:line="117" w:lineRule="exact"/>
        <w:rPr>
          <w:sz w:val="20"/>
          <w:szCs w:val="20"/>
          <w:color w:val="auto"/>
        </w:rPr>
      </w:pPr>
    </w:p>
    <w:p>
      <w:pPr>
        <w:ind w:left="880" w:right="240"/>
        <w:spacing w:after="0" w:line="308" w:lineRule="auto"/>
        <w:rPr>
          <w:sz w:val="20"/>
          <w:szCs w:val="20"/>
          <w:color w:val="auto"/>
        </w:rPr>
      </w:pPr>
      <w:r>
        <w:rPr>
          <w:rFonts w:ascii="Arial" w:cs="Arial" w:eastAsia="Arial" w:hAnsi="Arial"/>
          <w:sz w:val="17"/>
          <w:szCs w:val="17"/>
          <w:color w:val="auto"/>
        </w:rPr>
        <w:t>If the interest rate per annum is estimated, then what is the date for this information to be announced to the market (if known)</w:t>
      </w:r>
    </w:p>
    <w:p>
      <w:pPr>
        <w:spacing w:after="0" w:line="38" w:lineRule="exact"/>
        <w:rPr>
          <w:sz w:val="20"/>
          <w:szCs w:val="20"/>
          <w:color w:val="auto"/>
        </w:rPr>
      </w:pPr>
    </w:p>
    <w:p>
      <w:pPr>
        <w:ind w:left="880" w:right="40"/>
        <w:spacing w:after="0" w:line="263" w:lineRule="auto"/>
        <w:rPr>
          <w:sz w:val="20"/>
          <w:szCs w:val="20"/>
          <w:color w:val="auto"/>
        </w:rPr>
      </w:pPr>
      <w:r>
        <w:rPr>
          <w:rFonts w:ascii="Arial" w:cs="Arial" w:eastAsia="Arial" w:hAnsi="Arial"/>
          <w:sz w:val="18"/>
          <w:szCs w:val="18"/>
          <w:i w:val="1"/>
          <w:iCs w:val="1"/>
          <w:color w:val="auto"/>
        </w:rPr>
        <w:t>Answer this question if the interest rate type is fixed and your response to the previous question is “Yes”. Answer “Unknown” if the date is not known at this time.</w:t>
      </w:r>
    </w:p>
    <w:p>
      <w:pPr>
        <w:spacing w:after="0" w:line="76" w:lineRule="exact"/>
        <w:rPr>
          <w:sz w:val="20"/>
          <w:szCs w:val="20"/>
          <w:color w:val="auto"/>
        </w:rPr>
      </w:pPr>
    </w:p>
    <w:p>
      <w:pPr>
        <w:ind w:left="880" w:right="240"/>
        <w:spacing w:after="0" w:line="277" w:lineRule="auto"/>
        <w:rPr>
          <w:sz w:val="20"/>
          <w:szCs w:val="20"/>
          <w:color w:val="auto"/>
        </w:rPr>
      </w:pPr>
      <w:r>
        <w:rPr>
          <w:rFonts w:ascii="Arial" w:cs="Arial" w:eastAsia="Arial" w:hAnsi="Arial"/>
          <w:sz w:val="18"/>
          <w:szCs w:val="18"/>
          <w:color w:val="auto"/>
        </w:rPr>
        <w:t>*Does the interest rate include a reference rate, base rate or market rate (e.g. BBSW or CPI)?</w:t>
      </w:r>
    </w:p>
    <w:p>
      <w:pPr>
        <w:spacing w:after="0" w:line="62" w:lineRule="exact"/>
        <w:rPr>
          <w:sz w:val="20"/>
          <w:szCs w:val="20"/>
          <w:color w:val="auto"/>
        </w:rPr>
      </w:pPr>
    </w:p>
    <w:p>
      <w:pPr>
        <w:ind w:left="880" w:right="300"/>
        <w:spacing w:after="0" w:line="397" w:lineRule="auto"/>
        <w:rPr>
          <w:sz w:val="20"/>
          <w:szCs w:val="20"/>
          <w:color w:val="auto"/>
        </w:rPr>
      </w:pPr>
      <w:r>
        <w:rPr>
          <w:rFonts w:ascii="Arial" w:cs="Arial" w:eastAsia="Arial" w:hAnsi="Arial"/>
          <w:sz w:val="17"/>
          <w:szCs w:val="17"/>
          <w:i w:val="1"/>
          <w:iCs w:val="1"/>
          <w:color w:val="auto"/>
        </w:rPr>
        <w:t xml:space="preserve">Answer this question if the interest rate type is floating or indexed </w:t>
      </w:r>
      <w:r>
        <w:rPr>
          <w:rFonts w:ascii="Arial" w:cs="Arial" w:eastAsia="Arial" w:hAnsi="Arial"/>
          <w:sz w:val="17"/>
          <w:szCs w:val="17"/>
          <w:color w:val="auto"/>
        </w:rPr>
        <w:t>*What is the reference rate, base rate or market rate?</w:t>
      </w:r>
    </w:p>
    <w:p>
      <w:pPr>
        <w:spacing w:after="0" w:line="1"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i w:val="1"/>
          <w:iCs w:val="1"/>
          <w:color w:val="auto"/>
        </w:rPr>
        <w:t>Answer this question if the interest rate type is floating or indexed and your response to the previous question is “Yes”.</w:t>
      </w:r>
    </w:p>
    <w:p>
      <w:pPr>
        <w:spacing w:after="0" w:line="62" w:lineRule="exact"/>
        <w:rPr>
          <w:sz w:val="20"/>
          <w:szCs w:val="20"/>
          <w:color w:val="auto"/>
        </w:rPr>
      </w:pPr>
    </w:p>
    <w:p>
      <w:pPr>
        <w:ind w:left="880" w:right="20"/>
        <w:spacing w:after="0" w:line="277" w:lineRule="auto"/>
        <w:rPr>
          <w:sz w:val="20"/>
          <w:szCs w:val="20"/>
          <w:color w:val="auto"/>
        </w:rPr>
      </w:pPr>
      <w:r>
        <w:rPr>
          <w:rFonts w:ascii="Arial" w:cs="Arial" w:eastAsia="Arial" w:hAnsi="Arial"/>
          <w:sz w:val="18"/>
          <w:szCs w:val="18"/>
          <w:color w:val="auto"/>
        </w:rPr>
        <w:t>*Does the interest rate include a margin above the reference rate, base rate or market rate?</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Answer this question if the interest rate type is floating or indexed.</w:t>
      </w:r>
    </w:p>
    <w:p>
      <w:pPr>
        <w:spacing w:after="0" w:line="129" w:lineRule="exact"/>
        <w:rPr>
          <w:sz w:val="20"/>
          <w:szCs w:val="20"/>
          <w:color w:val="auto"/>
        </w:rPr>
      </w:pPr>
    </w:p>
    <w:p>
      <w:pPr>
        <w:ind w:left="880" w:right="40"/>
        <w:spacing w:after="0" w:line="277" w:lineRule="auto"/>
        <w:rPr>
          <w:sz w:val="20"/>
          <w:szCs w:val="20"/>
          <w:color w:val="auto"/>
        </w:rPr>
      </w:pPr>
      <w:r>
        <w:rPr>
          <w:rFonts w:ascii="Arial" w:cs="Arial" w:eastAsia="Arial" w:hAnsi="Arial"/>
          <w:sz w:val="18"/>
          <w:szCs w:val="18"/>
          <w:color w:val="auto"/>
        </w:rPr>
        <w:t>*What is the margin above the reference rate, base rate or market rate (expressed as a percent per annum)</w:t>
      </w:r>
    </w:p>
    <w:p>
      <w:pPr>
        <w:spacing w:after="0" w:line="62"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i w:val="1"/>
          <w:iCs w:val="1"/>
          <w:color w:val="auto"/>
        </w:rPr>
        <w:t>Answer this question if the interest rate type is floating or indexed and your response to the previous question is “Yes”.</w:t>
      </w:r>
    </w:p>
    <w:p>
      <w:pPr>
        <w:spacing w:after="0" w:line="62" w:lineRule="exact"/>
        <w:rPr>
          <w:sz w:val="20"/>
          <w:szCs w:val="20"/>
          <w:color w:val="auto"/>
        </w:rPr>
      </w:pPr>
    </w:p>
    <w:p>
      <w:pPr>
        <w:ind w:left="880" w:right="240"/>
        <w:spacing w:after="0" w:line="277" w:lineRule="auto"/>
        <w:rPr>
          <w:sz w:val="20"/>
          <w:szCs w:val="20"/>
          <w:color w:val="auto"/>
        </w:rPr>
      </w:pPr>
      <w:r>
        <w:rPr>
          <w:rFonts w:ascii="Arial" w:cs="Arial" w:eastAsia="Arial" w:hAnsi="Arial"/>
          <w:sz w:val="18"/>
          <w:szCs w:val="18"/>
          <w:color w:val="auto"/>
        </w:rPr>
        <w:t>*S128F of the Income Tax Assessment Act status applicable to the +security</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Select one item from the list</w:t>
      </w:r>
    </w:p>
    <w:p>
      <w:pPr>
        <w:spacing w:after="0" w:line="131" w:lineRule="exact"/>
        <w:rPr>
          <w:sz w:val="20"/>
          <w:szCs w:val="20"/>
          <w:color w:val="auto"/>
        </w:rPr>
      </w:pPr>
    </w:p>
    <w:p>
      <w:pPr>
        <w:ind w:left="880" w:right="60"/>
        <w:spacing w:after="0" w:line="286" w:lineRule="auto"/>
        <w:rPr>
          <w:sz w:val="20"/>
          <w:szCs w:val="20"/>
          <w:color w:val="auto"/>
        </w:rPr>
      </w:pPr>
      <w:r>
        <w:rPr>
          <w:rFonts w:ascii="Arial" w:cs="Arial" w:eastAsia="Arial" w:hAnsi="Arial"/>
          <w:sz w:val="17"/>
          <w:szCs w:val="17"/>
          <w:i w:val="1"/>
          <w:iCs w:val="1"/>
          <w:color w:val="auto"/>
        </w:rPr>
        <w:t>For financial products which are likely to give rise to a payment to which s128F of the Income Tax Assessment Act applies, ASX requests issuers to confirm the s128F status of the security: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Appendix 3G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Notification of issue, conversion 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payment up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 w:hanging="315"/>
        <w:spacing w:after="0"/>
        <w:tabs>
          <w:tab w:leader="none" w:pos="32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s128F exempt</w:t>
      </w:r>
    </w:p>
    <w:p>
      <w:pPr>
        <w:spacing w:after="0" w:line="130" w:lineRule="exact"/>
        <w:rPr>
          <w:rFonts w:ascii="MS PGothic" w:cs="MS PGothic" w:eastAsia="MS PGothic" w:hAnsi="MS PGothic"/>
          <w:sz w:val="18"/>
          <w:szCs w:val="18"/>
          <w:color w:val="auto"/>
        </w:rPr>
      </w:pPr>
    </w:p>
    <w:p>
      <w:pPr>
        <w:ind w:left="320" w:hanging="315"/>
        <w:spacing w:after="0"/>
        <w:tabs>
          <w:tab w:leader="none" w:pos="32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Not s128F exempt</w:t>
      </w:r>
    </w:p>
    <w:p>
      <w:pPr>
        <w:spacing w:after="0" w:line="130" w:lineRule="exact"/>
        <w:rPr>
          <w:rFonts w:ascii="MS PGothic" w:cs="MS PGothic" w:eastAsia="MS PGothic" w:hAnsi="MS PGothic"/>
          <w:sz w:val="18"/>
          <w:szCs w:val="18"/>
          <w:color w:val="auto"/>
        </w:rPr>
      </w:pPr>
    </w:p>
    <w:p>
      <w:pPr>
        <w:ind w:left="320" w:hanging="315"/>
        <w:spacing w:after="0"/>
        <w:tabs>
          <w:tab w:leader="none" w:pos="32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s128F exemption status unknown</w:t>
      </w:r>
    </w:p>
    <w:p>
      <w:pPr>
        <w:spacing w:after="0" w:line="130" w:lineRule="exact"/>
        <w:rPr>
          <w:rFonts w:ascii="MS PGothic" w:cs="MS PGothic" w:eastAsia="MS PGothic" w:hAnsi="MS PGothic"/>
          <w:sz w:val="18"/>
          <w:szCs w:val="18"/>
          <w:color w:val="auto"/>
        </w:rPr>
      </w:pPr>
    </w:p>
    <w:p>
      <w:pPr>
        <w:ind w:left="320" w:hanging="315"/>
        <w:spacing w:after="0"/>
        <w:tabs>
          <w:tab w:leader="none" w:pos="32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Not applicable</w:t>
      </w:r>
    </w:p>
    <w:p>
      <w:pPr>
        <w:spacing w:after="0" w:line="562" w:lineRule="exact"/>
        <w:rPr>
          <w:sz w:val="20"/>
          <w:szCs w:val="20"/>
          <w:color w:val="auto"/>
        </w:rPr>
      </w:pPr>
    </w:p>
    <w:p>
      <w:pPr>
        <w:sectPr>
          <w:pgSz w:w="11900" w:h="16838" w:orient="portrait"/>
          <w:cols w:equalWidth="0" w:num="2">
            <w:col w:w="5940" w:space="220"/>
            <w:col w:w="4860"/>
          </w:cols>
          <w:pgMar w:left="440" w:top="270" w:right="439" w:bottom="1440" w:gutter="0" w:footer="0" w:header="0"/>
        </w:sectPr>
      </w:pPr>
    </w:p>
    <w:p>
      <w:pPr>
        <w:ind w:left="1240" w:right="5460" w:hanging="353"/>
        <w:spacing w:after="0" w:line="277" w:lineRule="auto"/>
        <w:tabs>
          <w:tab w:leader="none" w:pos="1224"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“s128F exempt” means interest payments are not taxable to non-residents;</w:t>
      </w:r>
    </w:p>
    <w:p>
      <w:pPr>
        <w:spacing w:after="0" w:line="62" w:lineRule="exact"/>
        <w:rPr>
          <w:rFonts w:ascii="Arial" w:cs="Arial" w:eastAsia="Arial" w:hAnsi="Arial"/>
          <w:sz w:val="18"/>
          <w:szCs w:val="18"/>
          <w:i w:val="1"/>
          <w:iCs w:val="1"/>
          <w:color w:val="auto"/>
        </w:rPr>
      </w:pPr>
    </w:p>
    <w:p>
      <w:pPr>
        <w:ind w:left="1240" w:right="5440" w:hanging="353"/>
        <w:spacing w:after="0" w:line="277" w:lineRule="auto"/>
        <w:tabs>
          <w:tab w:leader="none" w:pos="1224"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“Not s128F exempt” means interest payments are taxable to non-residents;</w:t>
      </w:r>
    </w:p>
    <w:p>
      <w:pPr>
        <w:spacing w:after="0" w:line="62" w:lineRule="exact"/>
        <w:rPr>
          <w:rFonts w:ascii="Arial" w:cs="Arial" w:eastAsia="Arial" w:hAnsi="Arial"/>
          <w:sz w:val="18"/>
          <w:szCs w:val="18"/>
          <w:i w:val="1"/>
          <w:iCs w:val="1"/>
          <w:color w:val="auto"/>
        </w:rPr>
      </w:pPr>
    </w:p>
    <w:p>
      <w:pPr>
        <w:ind w:left="1240" w:right="5260" w:hanging="353"/>
        <w:spacing w:after="0" w:line="277" w:lineRule="auto"/>
        <w:tabs>
          <w:tab w:leader="none" w:pos="1224"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“s128F exemption status unknown” means the issuer is unable to advise the status;</w:t>
      </w:r>
    </w:p>
    <w:p>
      <w:pPr>
        <w:spacing w:after="0" w:line="62" w:lineRule="exact"/>
        <w:rPr>
          <w:rFonts w:ascii="Arial" w:cs="Arial" w:eastAsia="Arial" w:hAnsi="Arial"/>
          <w:sz w:val="18"/>
          <w:szCs w:val="18"/>
          <w:i w:val="1"/>
          <w:iCs w:val="1"/>
          <w:color w:val="auto"/>
        </w:rPr>
      </w:pPr>
    </w:p>
    <w:p>
      <w:pPr>
        <w:ind w:left="1240" w:hanging="353"/>
        <w:spacing w:after="0"/>
        <w:tabs>
          <w:tab w:leader="none" w:pos="124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“Not applicable” means s128F is not applicable to this security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*Is the +security perpetual (i.e. no maturity date)?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Answer this question if the security is not perpetual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i w:val="1"/>
          <w:iCs w:val="1"/>
          <w:color w:val="auto"/>
        </w:rPr>
        <w:t>31 January 2020</w:t>
      </w:r>
      <w:r>
        <w:rPr>
          <w:sz w:val="20"/>
          <w:szCs w:val="20"/>
          <w:color w:val="auto"/>
        </w:rPr>
        <w:tab/>
      </w:r>
      <w:r>
        <w:rPr>
          <w:rFonts w:ascii="Arial" w:cs="Arial" w:eastAsia="Arial" w:hAnsi="Arial"/>
          <w:sz w:val="15"/>
          <w:szCs w:val="15"/>
          <w:color w:val="auto"/>
        </w:rPr>
        <w:t>Page 8</w:t>
      </w:r>
    </w:p>
    <w:p>
      <w:pPr>
        <w:sectPr>
          <w:pgSz w:w="11900" w:h="16838" w:orient="portrait"/>
          <w:cols w:equalWidth="0" w:num="1">
            <w:col w:w="11020"/>
          </w:cols>
          <w:pgMar w:left="440" w:top="270" w:right="439" w:bottom="1440" w:gutter="0" w:footer="0" w:header="0"/>
          <w:type w:val="continuous"/>
        </w:sectPr>
      </w:pPr>
    </w:p>
    <w:bookmarkStart w:id="26" w:name="page27"/>
    <w:bookmarkEnd w:id="26"/>
    <w:p>
      <w:pPr>
        <w:ind w:right="21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appendix is </w:t>
      </w:r>
      <w:r>
        <w:rPr>
          <w:rFonts w:ascii="Arial" w:cs="Arial" w:eastAsia="Arial" w:hAnsi="Arial"/>
          <w:sz w:val="16"/>
          <w:szCs w:val="16"/>
          <w:b w:val="1"/>
          <w:bCs w:val="1"/>
          <w:i w:val="1"/>
          <w:iCs w:val="1"/>
          <w:color w:val="auto"/>
        </w:rPr>
        <w:t>not</w:t>
      </w:r>
      <w:r>
        <w:rPr>
          <w:rFonts w:ascii="Arial" w:cs="Arial" w:eastAsia="Arial" w:hAnsi="Arial"/>
          <w:sz w:val="16"/>
          <w:szCs w:val="16"/>
          <w:b w:val="1"/>
          <w:bCs w:val="1"/>
          <w:color w:val="auto"/>
        </w:rPr>
        <w:t xml:space="preserve"> available as an online form Please fill in and submit as a PDF announcement</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*Select other features applicable to the +security</w:t>
      </w:r>
    </w:p>
    <w:p>
      <w:pPr>
        <w:spacing w:after="0" w:line="200" w:lineRule="exact"/>
        <w:rPr>
          <w:sz w:val="20"/>
          <w:szCs w:val="20"/>
          <w:color w:val="auto"/>
        </w:rPr>
      </w:pPr>
    </w:p>
    <w:p>
      <w:pPr>
        <w:spacing w:after="0" w:line="268" w:lineRule="exact"/>
        <w:rPr>
          <w:sz w:val="20"/>
          <w:szCs w:val="20"/>
          <w:color w:val="auto"/>
        </w:rPr>
      </w:pPr>
    </w:p>
    <w:p>
      <w:pPr>
        <w:jc w:val="both"/>
        <w:ind w:left="880" w:right="80"/>
        <w:spacing w:after="0" w:line="286" w:lineRule="auto"/>
        <w:rPr>
          <w:sz w:val="20"/>
          <w:szCs w:val="20"/>
          <w:color w:val="auto"/>
        </w:rPr>
      </w:pPr>
      <w:r>
        <w:rPr>
          <w:rFonts w:ascii="Arial" w:cs="Arial" w:eastAsia="Arial" w:hAnsi="Arial"/>
          <w:sz w:val="17"/>
          <w:szCs w:val="17"/>
          <w:i w:val="1"/>
          <w:iCs w:val="1"/>
          <w:color w:val="auto"/>
        </w:rPr>
        <w:t>Up to 4 features can be selected. Further information is available in the Guide to the Naming Conventions and Security Descriptions for ASX Quoted Debt and Hybrid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80" w:right="620"/>
        <w:spacing w:after="0" w:line="342" w:lineRule="auto"/>
        <w:rPr>
          <w:sz w:val="20"/>
          <w:szCs w:val="20"/>
          <w:color w:val="auto"/>
        </w:rPr>
      </w:pPr>
      <w:r>
        <w:rPr>
          <w:rFonts w:ascii="Arial" w:cs="Arial" w:eastAsia="Arial" w:hAnsi="Arial"/>
          <w:sz w:val="16"/>
          <w:szCs w:val="16"/>
          <w:color w:val="auto"/>
        </w:rPr>
        <w:t>*Is there a first trigger date on which a right of conversion, redemption, call or put can be exercised (whichever is first)?</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yes, what is the first trigger date</w:t>
      </w:r>
    </w:p>
    <w:p>
      <w:pPr>
        <w:spacing w:after="0" w:line="117" w:lineRule="exact"/>
        <w:rPr>
          <w:sz w:val="20"/>
          <w:szCs w:val="20"/>
          <w:color w:val="auto"/>
        </w:rPr>
      </w:pPr>
    </w:p>
    <w:p>
      <w:pPr>
        <w:ind w:left="880" w:right="360"/>
        <w:spacing w:after="0" w:line="277" w:lineRule="auto"/>
        <w:rPr>
          <w:sz w:val="20"/>
          <w:szCs w:val="20"/>
          <w:color w:val="auto"/>
        </w:rPr>
      </w:pPr>
      <w:r>
        <w:rPr>
          <w:rFonts w:ascii="Arial" w:cs="Arial" w:eastAsia="Arial" w:hAnsi="Arial"/>
          <w:sz w:val="18"/>
          <w:szCs w:val="18"/>
          <w:i w:val="1"/>
          <w:iCs w:val="1"/>
          <w:color w:val="auto"/>
        </w:rPr>
        <w:t>Answer this question if your response to the previous question is “Yes”.</w:t>
      </w:r>
    </w:p>
    <w:p>
      <w:pPr>
        <w:spacing w:after="0" w:line="62" w:lineRule="exact"/>
        <w:rPr>
          <w:sz w:val="20"/>
          <w:szCs w:val="20"/>
          <w:color w:val="auto"/>
        </w:rPr>
      </w:pPr>
    </w:p>
    <w:p>
      <w:pPr>
        <w:ind w:left="880"/>
        <w:spacing w:after="0" w:line="311" w:lineRule="auto"/>
        <w:rPr>
          <w:sz w:val="20"/>
          <w:szCs w:val="20"/>
          <w:color w:val="auto"/>
        </w:rPr>
      </w:pPr>
      <w:r>
        <w:rPr>
          <w:rFonts w:ascii="Arial" w:cs="Arial" w:eastAsia="Arial" w:hAnsi="Arial"/>
          <w:sz w:val="16"/>
          <w:szCs w:val="16"/>
          <w:color w:val="auto"/>
        </w:rPr>
        <w:t>Details of the number and type of +security (including its ASX security code if the +security is quoted on ASX) that will be issued if the securities to be quoted are converted, transformed or exchanged</w:t>
      </w:r>
    </w:p>
    <w:p>
      <w:pPr>
        <w:spacing w:after="0" w:line="41" w:lineRule="exact"/>
        <w:rPr>
          <w:sz w:val="20"/>
          <w:szCs w:val="20"/>
          <w:color w:val="auto"/>
        </w:rPr>
      </w:pPr>
    </w:p>
    <w:p>
      <w:pPr>
        <w:jc w:val="both"/>
        <w:ind w:left="880" w:right="220"/>
        <w:spacing w:after="0" w:line="308" w:lineRule="auto"/>
        <w:rPr>
          <w:sz w:val="20"/>
          <w:szCs w:val="20"/>
          <w:color w:val="auto"/>
        </w:rPr>
      </w:pPr>
      <w:r>
        <w:rPr>
          <w:rFonts w:ascii="Arial" w:cs="Arial" w:eastAsia="Arial" w:hAnsi="Arial"/>
          <w:sz w:val="17"/>
          <w:szCs w:val="17"/>
          <w:i w:val="1"/>
          <w:iCs w:val="1"/>
          <w:color w:val="auto"/>
        </w:rPr>
        <w:t>Answer this question if the security features include “converting”, “convertible”, “transformable” or “exchangeable”.</w:t>
      </w:r>
    </w:p>
    <w:p>
      <w:pPr>
        <w:spacing w:after="0" w:line="38" w:lineRule="exact"/>
        <w:rPr>
          <w:sz w:val="20"/>
          <w:szCs w:val="20"/>
          <w:color w:val="auto"/>
        </w:rPr>
      </w:pPr>
    </w:p>
    <w:p>
      <w:pPr>
        <w:jc w:val="both"/>
        <w:ind w:left="880" w:right="220"/>
        <w:spacing w:after="0" w:line="263" w:lineRule="auto"/>
        <w:rPr>
          <w:sz w:val="20"/>
          <w:szCs w:val="20"/>
          <w:color w:val="auto"/>
        </w:rPr>
      </w:pPr>
      <w:r>
        <w:rPr>
          <w:rFonts w:ascii="Arial" w:cs="Arial" w:eastAsia="Arial" w:hAnsi="Arial"/>
          <w:sz w:val="18"/>
          <w:szCs w:val="18"/>
          <w:i w:val="1"/>
          <w:iCs w:val="1"/>
          <w:color w:val="auto"/>
        </w:rPr>
        <w:t>For example, if the security can be converted into 1,000 fully paid ordinary shares with ASX security code ABC, please insert “1,000 fully paid ordinary shares (ASX:ABC)“.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Appendix 3G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Notification of issue, conversion 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payment up of equity +securities</w:t>
      </w:r>
    </w:p>
    <w:p>
      <w:pPr>
        <w:spacing w:after="0" w:line="143" w:lineRule="exact"/>
        <w:rPr>
          <w:sz w:val="20"/>
          <w:szCs w:val="20"/>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Simple</w:t>
      </w:r>
    </w:p>
    <w:p>
      <w:pPr>
        <w:spacing w:after="0" w:line="130"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Subordinated</w:t>
      </w:r>
    </w:p>
    <w:p>
      <w:pPr>
        <w:spacing w:after="0" w:line="130"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Secured</w:t>
      </w:r>
    </w:p>
    <w:p>
      <w:pPr>
        <w:spacing w:after="0" w:line="130"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Converting</w:t>
      </w:r>
    </w:p>
    <w:p>
      <w:pPr>
        <w:spacing w:after="0" w:line="211"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Convertible</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Transformable</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Exchangeable</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Cumulative</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Non-Cumulative</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Redeemable</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Extendable</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Reset</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Step-Down</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Step-Up</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Stapled</w:t>
      </w:r>
    </w:p>
    <w:p>
      <w:pPr>
        <w:spacing w:after="0" w:line="117" w:lineRule="exact"/>
        <w:rPr>
          <w:rFonts w:ascii="MS PGothic" w:cs="MS PGothic" w:eastAsia="MS PGothic" w:hAnsi="MS PGothic"/>
          <w:sz w:val="18"/>
          <w:szCs w:val="18"/>
          <w:color w:val="auto"/>
        </w:rPr>
      </w:pPr>
    </w:p>
    <w:p>
      <w:pPr>
        <w:ind w:left="320" w:hanging="315"/>
        <w:spacing w:after="0"/>
        <w:tabs>
          <w:tab w:leader="none" w:pos="32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None of the above</w:t>
      </w:r>
    </w:p>
    <w:p>
      <w:pPr>
        <w:spacing w:after="0" w:line="3681" w:lineRule="exact"/>
        <w:rPr>
          <w:sz w:val="20"/>
          <w:szCs w:val="20"/>
          <w:color w:val="auto"/>
        </w:rPr>
      </w:pPr>
    </w:p>
    <w:p>
      <w:pPr>
        <w:sectPr>
          <w:pgSz w:w="11900" w:h="16838" w:orient="portrait"/>
          <w:cols w:equalWidth="0" w:num="2">
            <w:col w:w="5880" w:space="280"/>
            <w:col w:w="4860"/>
          </w:cols>
          <w:pgMar w:left="440" w:top="270" w:right="439" w:bottom="1440" w:gutter="0" w:footer="0" w:header="0"/>
        </w:sectPr>
      </w:pPr>
    </w:p>
    <w:p>
      <w:pPr>
        <w:spacing w:after="0"/>
        <w:rPr>
          <w:sz w:val="20"/>
          <w:szCs w:val="20"/>
          <w:color w:val="auto"/>
        </w:rPr>
      </w:pPr>
      <w:r>
        <w:rPr>
          <w:rFonts w:ascii="Arial" w:cs="Arial" w:eastAsia="Arial" w:hAnsi="Arial"/>
          <w:sz w:val="18"/>
          <w:szCs w:val="18"/>
          <w:color w:val="auto"/>
        </w:rPr>
        <w:t>Part 4 – Issue details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Question</w:t>
            </w:r>
          </w:p>
        </w:tc>
        <w:tc>
          <w:tcPr>
            <w:tcW w:w="528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Question</w:t>
            </w:r>
          </w:p>
        </w:tc>
        <w:tc>
          <w:tcPr>
            <w:tcW w:w="500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Answer</w:t>
            </w:r>
          </w:p>
        </w:tc>
        <w:tc>
          <w:tcPr>
            <w:tcW w:w="0" w:type="dxa"/>
            <w:vAlign w:val="bottom"/>
          </w:tcPr>
          <w:p>
            <w:pPr>
              <w:spacing w:after="0"/>
              <w:rPr>
                <w:sz w:val="1"/>
                <w:szCs w:val="1"/>
                <w:color w:val="auto"/>
              </w:rPr>
            </w:pPr>
          </w:p>
        </w:tc>
      </w:tr>
      <w:tr>
        <w:trPr>
          <w:trHeight w:val="19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5280" w:type="dxa"/>
            <w:vAlign w:val="bottom"/>
            <w:gridSpan w:val="2"/>
            <w:vMerge w:val="continue"/>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4.1</w:t>
            </w:r>
          </w:p>
        </w:tc>
        <w:tc>
          <w:tcPr>
            <w:tcW w:w="540" w:type="dxa"/>
            <w:vAlign w:val="bottom"/>
          </w:tcPr>
          <w:p>
            <w:pPr>
              <w:spacing w:after="0"/>
              <w:rPr>
                <w:sz w:val="18"/>
                <w:szCs w:val="18"/>
                <w:color w:val="auto"/>
              </w:rPr>
            </w:pP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*Have the +securities been issued yet?</w:t>
            </w:r>
          </w:p>
        </w:tc>
        <w:tc>
          <w:tcPr>
            <w:tcW w:w="22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4.1a</w:t>
            </w:r>
          </w:p>
        </w:tc>
        <w:tc>
          <w:tcPr>
            <w:tcW w:w="5280" w:type="dxa"/>
            <w:vAlign w:val="bottom"/>
            <w:gridSpan w:val="2"/>
          </w:tcPr>
          <w:p>
            <w:pPr>
              <w:spacing w:after="0"/>
              <w:rPr>
                <w:sz w:val="20"/>
                <w:szCs w:val="20"/>
                <w:color w:val="auto"/>
              </w:rPr>
            </w:pPr>
            <w:r>
              <w:rPr>
                <w:rFonts w:ascii="Arial" w:cs="Arial" w:eastAsia="Arial" w:hAnsi="Arial"/>
                <w:sz w:val="18"/>
                <w:szCs w:val="18"/>
                <w:color w:val="auto"/>
              </w:rPr>
              <w:t>*What was their date of issue?</w:t>
            </w:r>
          </w:p>
        </w:tc>
        <w:tc>
          <w:tcPr>
            <w:tcW w:w="5000" w:type="dxa"/>
            <w:vAlign w:val="bottom"/>
            <w:gridSpan w:val="2"/>
          </w:tcPr>
          <w:p>
            <w:pPr>
              <w:spacing w:after="0"/>
              <w:rPr>
                <w:sz w:val="20"/>
                <w:szCs w:val="20"/>
                <w:color w:val="auto"/>
              </w:rPr>
            </w:pPr>
            <w:r>
              <w:rPr>
                <w:rFonts w:ascii="Arial" w:cs="Arial" w:eastAsia="Arial" w:hAnsi="Arial"/>
                <w:sz w:val="18"/>
                <w:szCs w:val="18"/>
                <w:color w:val="auto"/>
              </w:rPr>
              <w:t>1 March 2021</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Answer this question if your response to Q4.1 is “Yes”.</w:t>
            </w: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4.1b</w:t>
            </w:r>
          </w:p>
        </w:tc>
        <w:tc>
          <w:tcPr>
            <w:tcW w:w="5280" w:type="dxa"/>
            <w:vAlign w:val="bottom"/>
            <w:gridSpan w:val="2"/>
          </w:tcPr>
          <w:p>
            <w:pPr>
              <w:spacing w:after="0"/>
              <w:rPr>
                <w:sz w:val="20"/>
                <w:szCs w:val="20"/>
                <w:color w:val="auto"/>
              </w:rPr>
            </w:pPr>
            <w:r>
              <w:rPr>
                <w:rFonts w:ascii="Arial" w:cs="Arial" w:eastAsia="Arial" w:hAnsi="Arial"/>
                <w:sz w:val="18"/>
                <w:szCs w:val="18"/>
                <w:color w:val="auto"/>
              </w:rPr>
              <w:t>*What is their proposed date of issue?</w:t>
            </w:r>
          </w:p>
        </w:tc>
        <w:tc>
          <w:tcPr>
            <w:tcW w:w="500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Answer this question if your response to Q4.1 is “No”.</w:t>
            </w: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4.2</w:t>
            </w:r>
          </w:p>
        </w:tc>
        <w:tc>
          <w:tcPr>
            <w:tcW w:w="5280" w:type="dxa"/>
            <w:vAlign w:val="bottom"/>
            <w:gridSpan w:val="2"/>
          </w:tcPr>
          <w:p>
            <w:pPr>
              <w:spacing w:after="0"/>
              <w:rPr>
                <w:sz w:val="20"/>
                <w:szCs w:val="20"/>
                <w:color w:val="auto"/>
              </w:rPr>
            </w:pPr>
            <w:r>
              <w:rPr>
                <w:rFonts w:ascii="Arial" w:cs="Arial" w:eastAsia="Arial" w:hAnsi="Arial"/>
                <w:sz w:val="18"/>
                <w:szCs w:val="18"/>
                <w:color w:val="auto"/>
              </w:rPr>
              <w:t>*Are the +securities being issued for a cash consideration?</w:t>
            </w:r>
          </w:p>
        </w:tc>
        <w:tc>
          <w:tcPr>
            <w:tcW w:w="5000" w:type="dxa"/>
            <w:vAlign w:val="bottom"/>
            <w:gridSpan w:val="2"/>
          </w:tcPr>
          <w:p>
            <w:pP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10"/>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w w:val="99"/>
              </w:rPr>
              <w:t>If the securities are being issued for nil cash consideration, answer</w:t>
            </w: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this question “No”.</w:t>
            </w:r>
          </w:p>
        </w:tc>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6040" w:type="dxa"/>
            <w:vAlign w:val="bottom"/>
            <w:tcBorders>
              <w:bottom w:val="single" w:sz="8" w:color="auto"/>
            </w:tcBorders>
            <w:gridSpan w:val="4"/>
          </w:tcPr>
          <w:p>
            <w:pPr>
              <w:spacing w:after="0"/>
              <w:rPr>
                <w:sz w:val="12"/>
                <w:szCs w:val="12"/>
                <w:color w:val="auto"/>
              </w:rPr>
            </w:pPr>
          </w:p>
        </w:tc>
        <w:tc>
          <w:tcPr>
            <w:tcW w:w="49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40" w:type="dxa"/>
            <w:vAlign w:val="bottom"/>
            <w:gridSpan w:val="4"/>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40" w:type="dxa"/>
            <w:vAlign w:val="bottom"/>
            <w:gridSpan w:val="4"/>
          </w:tcPr>
          <w:p>
            <w:pPr>
              <w:spacing w:after="0"/>
              <w:rPr>
                <w:sz w:val="20"/>
                <w:szCs w:val="20"/>
                <w:color w:val="auto"/>
              </w:rPr>
            </w:pPr>
            <w:r>
              <w:rPr>
                <w:rFonts w:ascii="Arial" w:cs="Arial" w:eastAsia="Arial" w:hAnsi="Arial"/>
                <w:sz w:val="18"/>
                <w:szCs w:val="18"/>
                <w:i w:val="1"/>
                <w:iCs w:val="1"/>
                <w:color w:val="auto"/>
              </w:rPr>
              <w:t>31 January 2020</w:t>
            </w:r>
          </w:p>
        </w:tc>
        <w:tc>
          <w:tcPr>
            <w:tcW w:w="5000" w:type="dxa"/>
            <w:vAlign w:val="bottom"/>
            <w:gridSpan w:val="2"/>
          </w:tcPr>
          <w:p>
            <w:pPr>
              <w:ind w:left="4480"/>
              <w:spacing w:after="0"/>
              <w:rPr>
                <w:sz w:val="20"/>
                <w:szCs w:val="20"/>
                <w:color w:val="auto"/>
              </w:rPr>
            </w:pPr>
            <w:r>
              <w:rPr>
                <w:rFonts w:ascii="Arial" w:cs="Arial" w:eastAsia="Arial" w:hAnsi="Arial"/>
                <w:sz w:val="18"/>
                <w:szCs w:val="18"/>
                <w:color w:val="auto"/>
                <w:w w:val="87"/>
              </w:rPr>
              <w:t>Page 9</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Appendix 3G</w:t>
            </w: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Notification of issue, conversion or</w:t>
            </w:r>
          </w:p>
        </w:tc>
      </w:tr>
      <w:tr>
        <w:trPr>
          <w:trHeight w:val="234"/>
        </w:trPr>
        <w:tc>
          <w:tcPr>
            <w:tcW w:w="5220" w:type="dxa"/>
            <w:vAlign w:val="bottom"/>
          </w:tcPr>
          <w:p>
            <w:pPr>
              <w:spacing w:after="0"/>
              <w:rPr>
                <w:sz w:val="20"/>
                <w:szCs w:val="20"/>
                <w:color w:val="auto"/>
              </w:rPr>
            </w:pP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payment up of equity +securities</w:t>
            </w:r>
          </w:p>
        </w:tc>
      </w:tr>
      <w:tr>
        <w:trPr>
          <w:trHeight w:val="364"/>
        </w:trPr>
        <w:tc>
          <w:tcPr>
            <w:tcW w:w="5220" w:type="dxa"/>
            <w:vAlign w:val="bottom"/>
          </w:tcPr>
          <w:p>
            <w:pPr>
              <w:spacing w:after="0"/>
              <w:rPr>
                <w:sz w:val="20"/>
                <w:szCs w:val="20"/>
                <w:color w:val="auto"/>
              </w:rPr>
            </w:pPr>
            <w:r>
              <w:rPr>
                <w:rFonts w:ascii="Arial" w:cs="Arial" w:eastAsia="Arial" w:hAnsi="Arial"/>
                <w:sz w:val="18"/>
                <w:szCs w:val="18"/>
                <w:color w:val="auto"/>
              </w:rPr>
              <w:t>4.2a   *In what currency is the cash consideration being paid</w:t>
            </w:r>
          </w:p>
        </w:tc>
        <w:tc>
          <w:tcPr>
            <w:tcW w:w="5800" w:type="dxa"/>
            <w:vAlign w:val="bottom"/>
          </w:tcPr>
          <w:p>
            <w:pPr>
              <w:jc w:val="right"/>
              <w:ind w:right="4670"/>
              <w:spacing w:after="0"/>
              <w:rPr>
                <w:sz w:val="20"/>
                <w:szCs w:val="20"/>
                <w:color w:val="auto"/>
              </w:rPr>
            </w:pPr>
            <w:r>
              <w:rPr>
                <w:rFonts w:ascii="Arial" w:cs="Arial" w:eastAsia="Arial" w:hAnsi="Arial"/>
                <w:sz w:val="18"/>
                <w:szCs w:val="18"/>
                <w:color w:val="auto"/>
              </w:rPr>
              <w:t>N/A</w:t>
            </w: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example, if the consideration is being paid in Australian Dollars,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state AUD.</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Answer this question if your response to Q4.2 is “Yes”.</w:t>
      </w:r>
    </w:p>
    <w:p>
      <w:pPr>
        <w:spacing w:after="0" w:line="117" w:lineRule="exact"/>
        <w:rPr>
          <w:sz w:val="20"/>
          <w:szCs w:val="20"/>
          <w:color w:val="auto"/>
        </w:rPr>
      </w:pPr>
    </w:p>
    <w:p>
      <w:pPr>
        <w:spacing w:after="0"/>
        <w:tabs>
          <w:tab w:leader="none" w:pos="540" w:val="left"/>
          <w:tab w:leader="none" w:pos="5920" w:val="left"/>
        </w:tabs>
        <w:rPr>
          <w:sz w:val="20"/>
          <w:szCs w:val="20"/>
          <w:color w:val="auto"/>
        </w:rPr>
      </w:pPr>
      <w:r>
        <w:rPr>
          <w:rFonts w:ascii="Arial" w:cs="Arial" w:eastAsia="Arial" w:hAnsi="Arial"/>
          <w:sz w:val="18"/>
          <w:szCs w:val="18"/>
          <w:color w:val="auto"/>
        </w:rPr>
        <w:t>4.2b</w:t>
        <w:tab/>
        <w:t>*What is the issue price per +security</w:t>
      </w:r>
      <w:r>
        <w:rPr>
          <w:sz w:val="20"/>
          <w:szCs w:val="20"/>
          <w:color w:val="auto"/>
        </w:rPr>
        <w:tab/>
      </w:r>
      <w:r>
        <w:rPr>
          <w:rFonts w:ascii="Arial" w:cs="Arial" w:eastAsia="Arial" w:hAnsi="Arial"/>
          <w:sz w:val="18"/>
          <w:szCs w:val="18"/>
          <w:color w:val="auto"/>
        </w:rPr>
        <w:t>N/A</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i w:val="1"/>
          <w:iCs w:val="1"/>
          <w:color w:val="auto"/>
        </w:rPr>
        <w:t>Answer this question if your response to Q4.2 is “Yes” and by reference to the issue currency provided in your response to Q4.2a.</w:t>
      </w:r>
    </w:p>
    <w:p>
      <w:pPr>
        <w:spacing w:after="0" w:line="38"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i w:val="1"/>
          <w:iCs w:val="1"/>
          <w:color w:val="auto"/>
        </w:rPr>
        <w:t>Note: you cannot enter a nil amount here. If the securities are being issued for nil cash consideration, answer Q4.2 as “No” and complete Q4.2c.</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4.2c</w:t>
      </w:r>
      <w:r>
        <w:rPr>
          <w:sz w:val="20"/>
          <w:szCs w:val="20"/>
          <w:color w:val="auto"/>
        </w:rPr>
        <w:tab/>
      </w:r>
      <w:r>
        <w:rPr>
          <w:rFonts w:ascii="Arial" w:cs="Arial" w:eastAsia="Arial" w:hAnsi="Arial"/>
          <w:sz w:val="16"/>
          <w:szCs w:val="16"/>
          <w:color w:val="auto"/>
        </w:rPr>
        <w:t>Please describe the consideration being provided for the +securities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Answer this question if your response to Q4.2 is “No”.</w:t>
      </w:r>
    </w:p>
    <w:p>
      <w:pPr>
        <w:spacing w:after="0" w:line="1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Any other information the entity wishes to provide about the issue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Part 5 – Unquoted +securities on issue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Unquoted options granted pursuant to the Opthea NED Plan for nil consideration.</w:t>
      </w:r>
    </w:p>
    <w:p>
      <w:pPr>
        <w:spacing w:after="0" w:line="38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Shareholder approval for the grant of these unquoted options pursuant to the NED Plan was given at the 2020 AGM and the 2021 General Meeting.</w:t>
      </w:r>
    </w:p>
    <w:p>
      <w:pPr>
        <w:spacing w:after="0" w:line="590" w:lineRule="exact"/>
        <w:rPr>
          <w:sz w:val="20"/>
          <w:szCs w:val="20"/>
          <w:color w:val="auto"/>
        </w:rPr>
      </w:pPr>
    </w:p>
    <w:p>
      <w:pPr>
        <w:sectPr>
          <w:pgSz w:w="11900" w:h="16838" w:orient="portrait"/>
          <w:cols w:equalWidth="0" w:num="2">
            <w:col w:w="5720" w:space="220"/>
            <w:col w:w="5080"/>
          </w:cols>
          <w:pgMar w:left="440" w:top="270" w:right="4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Following the issue of the +securities the subject of this application, the unquoted issued +securities of the entity will comprise: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Note: the figures provided in the table in section 5.1 below are used to calculate part of the total market capitalisation of the entity published by ASX from time to time. Please make sure you include in the table each class of unquoted securities issued by the entity.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securities should be included in table 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0" w:type="dxa"/>
            <w:vAlign w:val="bottom"/>
          </w:tcPr>
          <w:p>
            <w:pPr>
              <w:spacing w:after="0"/>
              <w:rPr>
                <w:sz w:val="14"/>
                <w:szCs w:val="14"/>
                <w:color w:val="auto"/>
              </w:rPr>
            </w:pPr>
          </w:p>
        </w:tc>
        <w:tc>
          <w:tcPr>
            <w:tcW w:w="5160" w:type="dxa"/>
            <w:vAlign w:val="bottom"/>
            <w:gridSpan w:val="2"/>
          </w:tcPr>
          <w:p>
            <w:pPr>
              <w:spacing w:after="0"/>
              <w:rPr>
                <w:sz w:val="20"/>
                <w:szCs w:val="20"/>
                <w:color w:val="auto"/>
              </w:rPr>
            </w:pPr>
            <w:r>
              <w:rPr>
                <w:rFonts w:ascii="Arial" w:cs="Arial" w:eastAsia="Arial" w:hAnsi="Arial"/>
                <w:sz w:val="14"/>
                <w:szCs w:val="14"/>
                <w:color w:val="auto"/>
              </w:rPr>
              <w:t>*ASX security code and description</w:t>
            </w:r>
          </w:p>
        </w:tc>
        <w:tc>
          <w:tcPr>
            <w:tcW w:w="5080" w:type="dxa"/>
            <w:vAlign w:val="bottom"/>
          </w:tcPr>
          <w:p>
            <w:pPr>
              <w:spacing w:after="0"/>
              <w:rPr>
                <w:sz w:val="20"/>
                <w:szCs w:val="20"/>
                <w:color w:val="auto"/>
              </w:rPr>
            </w:pPr>
            <w:r>
              <w:rPr>
                <w:rFonts w:ascii="Arial" w:cs="Arial" w:eastAsia="Arial" w:hAnsi="Arial"/>
                <w:sz w:val="14"/>
                <w:szCs w:val="14"/>
                <w:color w:val="auto"/>
              </w:rPr>
              <w:t>*Total number of +securities on issue</w:t>
            </w:r>
          </w:p>
        </w:tc>
      </w:tr>
      <w:tr>
        <w:trPr>
          <w:trHeight w:val="195"/>
        </w:trPr>
        <w:tc>
          <w:tcPr>
            <w:tcW w:w="780" w:type="dxa"/>
            <w:vAlign w:val="bottom"/>
          </w:tcPr>
          <w:p>
            <w:pPr>
              <w:spacing w:after="0"/>
              <w:rPr>
                <w:sz w:val="16"/>
                <w:szCs w:val="16"/>
                <w:color w:val="auto"/>
              </w:rPr>
            </w:pPr>
          </w:p>
        </w:tc>
        <w:tc>
          <w:tcPr>
            <w:tcW w:w="5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OPTAB: Director unquoted options</w:t>
            </w:r>
          </w:p>
        </w:tc>
        <w:tc>
          <w:tcPr>
            <w:tcW w:w="10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13,000,000</w:t>
            </w:r>
          </w:p>
        </w:tc>
      </w:tr>
      <w:tr>
        <w:trPr>
          <w:trHeight w:val="230"/>
        </w:trPr>
        <w:tc>
          <w:tcPr>
            <w:tcW w:w="78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OPTAB: Employee unquoted options</w:t>
            </w:r>
          </w:p>
        </w:tc>
        <w:tc>
          <w:tcPr>
            <w:tcW w:w="5080" w:type="dxa"/>
            <w:vAlign w:val="bottom"/>
          </w:tcPr>
          <w:p>
            <w:pPr>
              <w:spacing w:after="0"/>
              <w:rPr>
                <w:sz w:val="20"/>
                <w:szCs w:val="20"/>
                <w:color w:val="auto"/>
              </w:rPr>
            </w:pPr>
            <w:r>
              <w:rPr>
                <w:rFonts w:ascii="Arial" w:cs="Arial" w:eastAsia="Arial" w:hAnsi="Arial"/>
                <w:sz w:val="18"/>
                <w:szCs w:val="18"/>
                <w:color w:val="auto"/>
              </w:rPr>
              <w:t>5,044,000</w:t>
            </w:r>
          </w:p>
        </w:tc>
      </w:tr>
      <w:tr>
        <w:trPr>
          <w:trHeight w:val="148"/>
        </w:trPr>
        <w:tc>
          <w:tcPr>
            <w:tcW w:w="5940" w:type="dxa"/>
            <w:vAlign w:val="bottom"/>
            <w:tcBorders>
              <w:bottom w:val="single" w:sz="8" w:color="auto"/>
            </w:tcBorders>
            <w:gridSpan w:val="3"/>
          </w:tcPr>
          <w:p>
            <w:pPr>
              <w:spacing w:after="0"/>
              <w:rPr>
                <w:sz w:val="12"/>
                <w:szCs w:val="12"/>
                <w:color w:val="auto"/>
              </w:rPr>
            </w:pPr>
          </w:p>
        </w:tc>
        <w:tc>
          <w:tcPr>
            <w:tcW w:w="5080" w:type="dxa"/>
            <w:vAlign w:val="bottom"/>
            <w:tcBorders>
              <w:bottom w:val="single" w:sz="8" w:color="auto"/>
            </w:tcBorders>
          </w:tcPr>
          <w:p>
            <w:pPr>
              <w:spacing w:after="0"/>
              <w:rPr>
                <w:sz w:val="12"/>
                <w:szCs w:val="12"/>
                <w:color w:val="auto"/>
              </w:rPr>
            </w:pPr>
          </w:p>
        </w:tc>
      </w:tr>
      <w:tr>
        <w:trPr>
          <w:trHeight w:val="195"/>
        </w:trPr>
        <w:tc>
          <w:tcPr>
            <w:tcW w:w="5940" w:type="dxa"/>
            <w:vAlign w:val="bottom"/>
            <w:gridSpan w:val="3"/>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5080" w:type="dxa"/>
            <w:vAlign w:val="bottom"/>
          </w:tcPr>
          <w:p>
            <w:pPr>
              <w:spacing w:after="0"/>
              <w:rPr>
                <w:sz w:val="16"/>
                <w:szCs w:val="16"/>
                <w:color w:val="auto"/>
              </w:rPr>
            </w:pPr>
          </w:p>
        </w:tc>
      </w:tr>
      <w:tr>
        <w:trPr>
          <w:trHeight w:val="230"/>
        </w:trPr>
        <w:tc>
          <w:tcPr>
            <w:tcW w:w="5940" w:type="dxa"/>
            <w:vAlign w:val="bottom"/>
            <w:gridSpan w:val="3"/>
          </w:tcPr>
          <w:p>
            <w:pPr>
              <w:spacing w:after="0"/>
              <w:rPr>
                <w:sz w:val="20"/>
                <w:szCs w:val="20"/>
                <w:color w:val="auto"/>
              </w:rPr>
            </w:pPr>
            <w:r>
              <w:rPr>
                <w:rFonts w:ascii="Arial" w:cs="Arial" w:eastAsia="Arial" w:hAnsi="Arial"/>
                <w:sz w:val="18"/>
                <w:szCs w:val="18"/>
                <w:i w:val="1"/>
                <w:iCs w:val="1"/>
                <w:color w:val="auto"/>
              </w:rPr>
              <w:t>31 January 2020</w:t>
            </w:r>
          </w:p>
        </w:tc>
        <w:tc>
          <w:tcPr>
            <w:tcW w:w="5080" w:type="dxa"/>
            <w:vAlign w:val="bottom"/>
          </w:tcPr>
          <w:p>
            <w:pPr>
              <w:ind w:left="4500"/>
              <w:spacing w:after="0"/>
              <w:rPr>
                <w:sz w:val="20"/>
                <w:szCs w:val="20"/>
                <w:color w:val="auto"/>
              </w:rPr>
            </w:pPr>
            <w:r>
              <w:rPr>
                <w:rFonts w:ascii="Arial" w:cs="Arial" w:eastAsia="Arial" w:hAnsi="Arial"/>
                <w:sz w:val="18"/>
                <w:szCs w:val="18"/>
                <w:color w:val="auto"/>
                <w:w w:val="83"/>
              </w:rPr>
              <w:t>Page 10</w:t>
            </w:r>
          </w:p>
        </w:tc>
      </w:tr>
    </w:tbl>
    <w:p>
      <w:pPr>
        <w:sectPr>
          <w:pgSz w:w="11900" w:h="16838" w:orient="portrait"/>
          <w:cols w:equalWidth="0" w:num="1">
            <w:col w:w="11020"/>
          </w:cols>
          <w:pgMar w:left="440" w:top="270" w:right="439" w:bottom="1440" w:gutter="0" w:footer="0" w:header="0"/>
          <w:type w:val="continuous"/>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4960" w:type="dxa"/>
            <w:vAlign w:val="bottom"/>
          </w:tcPr>
          <w:p>
            <w:pPr>
              <w:jc w:val="right"/>
              <w:spacing w:after="0"/>
              <w:rPr>
                <w:sz w:val="20"/>
                <w:szCs w:val="20"/>
                <w:color w:val="auto"/>
              </w:rPr>
            </w:pPr>
            <w:r>
              <w:rPr>
                <w:rFonts w:ascii="Arial" w:cs="Arial" w:eastAsia="Arial" w:hAnsi="Arial"/>
                <w:sz w:val="18"/>
                <w:szCs w:val="18"/>
                <w:b w:val="1"/>
                <w:bCs w:val="1"/>
                <w:color w:val="auto"/>
              </w:rPr>
              <w:t>Appendix 3G</w:t>
            </w: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4960" w:type="dxa"/>
            <w:vAlign w:val="bottom"/>
          </w:tcPr>
          <w:p>
            <w:pPr>
              <w:jc w:val="right"/>
              <w:spacing w:after="0"/>
              <w:rPr>
                <w:sz w:val="20"/>
                <w:szCs w:val="20"/>
                <w:color w:val="auto"/>
              </w:rPr>
            </w:pPr>
            <w:r>
              <w:rPr>
                <w:rFonts w:ascii="Arial" w:cs="Arial" w:eastAsia="Arial" w:hAnsi="Arial"/>
                <w:sz w:val="18"/>
                <w:szCs w:val="18"/>
                <w:b w:val="1"/>
                <w:bCs w:val="1"/>
                <w:color w:val="auto"/>
              </w:rPr>
              <w:t>Notification of issue, conversion or</w:t>
            </w:r>
          </w:p>
        </w:tc>
      </w:tr>
      <w:tr>
        <w:trPr>
          <w:trHeight w:val="234"/>
        </w:trPr>
        <w:tc>
          <w:tcPr>
            <w:tcW w:w="6060" w:type="dxa"/>
            <w:vAlign w:val="bottom"/>
          </w:tcPr>
          <w:p>
            <w:pPr>
              <w:spacing w:after="0"/>
              <w:rPr>
                <w:sz w:val="20"/>
                <w:szCs w:val="20"/>
                <w:color w:val="auto"/>
              </w:rPr>
            </w:pPr>
          </w:p>
        </w:tc>
        <w:tc>
          <w:tcPr>
            <w:tcW w:w="4960" w:type="dxa"/>
            <w:vAlign w:val="bottom"/>
          </w:tcPr>
          <w:p>
            <w:pPr>
              <w:jc w:val="right"/>
              <w:spacing w:after="0"/>
              <w:rPr>
                <w:sz w:val="20"/>
                <w:szCs w:val="20"/>
                <w:color w:val="auto"/>
              </w:rPr>
            </w:pPr>
            <w:r>
              <w:rPr>
                <w:rFonts w:ascii="Arial" w:cs="Arial" w:eastAsia="Arial" w:hAnsi="Arial"/>
                <w:sz w:val="18"/>
                <w:szCs w:val="18"/>
                <w:b w:val="1"/>
                <w:bCs w:val="1"/>
                <w:color w:val="auto"/>
              </w:rPr>
              <w:t>payment up of equity +securities</w:t>
            </w:r>
          </w:p>
        </w:tc>
      </w:tr>
      <w:tr>
        <w:trPr>
          <w:trHeight w:val="364"/>
        </w:trPr>
        <w:tc>
          <w:tcPr>
            <w:tcW w:w="6060" w:type="dxa"/>
            <w:vAlign w:val="bottom"/>
          </w:tcPr>
          <w:p>
            <w:pPr>
              <w:spacing w:after="0"/>
              <w:rPr>
                <w:sz w:val="20"/>
                <w:szCs w:val="20"/>
                <w:color w:val="auto"/>
              </w:rPr>
            </w:pPr>
            <w:r>
              <w:rPr>
                <w:rFonts w:ascii="Arial" w:cs="Arial" w:eastAsia="Arial" w:hAnsi="Arial"/>
                <w:sz w:val="18"/>
                <w:szCs w:val="18"/>
                <w:color w:val="auto"/>
              </w:rPr>
              <w:t>Part 6 – Other Listing Rule requirements</w:t>
            </w:r>
          </w:p>
        </w:tc>
        <w:tc>
          <w:tcPr>
            <w:tcW w:w="4960" w:type="dxa"/>
            <w:vAlign w:val="bottom"/>
          </w:tcPr>
          <w:p>
            <w:pPr>
              <w:spacing w:after="0"/>
              <w:rPr>
                <w:sz w:val="24"/>
                <w:szCs w:val="24"/>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The questions in this Part should only be answered if you are an ASX Listing (ASX Foreign Exempt Listings and ASX Debt Listings do not need to complete this Part) and:</w:t>
      </w:r>
    </w:p>
    <w:p>
      <w:pPr>
        <w:spacing w:after="0" w:line="76" w:lineRule="exact"/>
        <w:rPr>
          <w:sz w:val="20"/>
          <w:szCs w:val="20"/>
          <w:color w:val="auto"/>
        </w:rPr>
      </w:pPr>
    </w:p>
    <w:p>
      <w:pPr>
        <w:ind w:left="420" w:hanging="316"/>
        <w:spacing w:after="0"/>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your response to Q2.1 is “+securities issued under an +employee incentive scheme that are not being immediately quoted on ASX”; or</w:t>
      </w:r>
    </w:p>
    <w:p>
      <w:pPr>
        <w:spacing w:after="0" w:line="142" w:lineRule="exact"/>
        <w:rPr>
          <w:rFonts w:ascii="Arial" w:cs="Arial" w:eastAsia="Arial" w:hAnsi="Arial"/>
          <w:sz w:val="17"/>
          <w:szCs w:val="17"/>
          <w:color w:val="auto"/>
        </w:rPr>
      </w:pPr>
    </w:p>
    <w:p>
      <w:pPr>
        <w:ind w:left="420" w:hanging="3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your response to Q2.1 is “Other”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Question</w:t>
            </w:r>
          </w:p>
        </w:tc>
        <w:tc>
          <w:tcPr>
            <w:tcW w:w="528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Question</w:t>
            </w:r>
          </w:p>
        </w:tc>
        <w:tc>
          <w:tcPr>
            <w:tcW w:w="498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Answer</w:t>
            </w:r>
          </w:p>
        </w:tc>
        <w:tc>
          <w:tcPr>
            <w:tcW w:w="0" w:type="dxa"/>
            <w:vAlign w:val="bottom"/>
          </w:tcPr>
          <w:p>
            <w:pPr>
              <w:spacing w:after="0"/>
              <w:rPr>
                <w:sz w:val="1"/>
                <w:szCs w:val="1"/>
                <w:color w:val="auto"/>
              </w:rPr>
            </w:pPr>
          </w:p>
        </w:tc>
      </w:tr>
      <w:tr>
        <w:trPr>
          <w:trHeight w:val="19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5280" w:type="dxa"/>
            <w:vAlign w:val="bottom"/>
            <w:gridSpan w:val="2"/>
            <w:vMerge w:val="continue"/>
          </w:tcPr>
          <w:p>
            <w:pPr>
              <w:spacing w:after="0"/>
              <w:rPr>
                <w:sz w:val="16"/>
                <w:szCs w:val="16"/>
                <w:color w:val="auto"/>
              </w:rPr>
            </w:pPr>
          </w:p>
        </w:tc>
        <w:tc>
          <w:tcPr>
            <w:tcW w:w="4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9"/>
              </w:rPr>
              <w:t>6.1</w:t>
            </w:r>
          </w:p>
        </w:tc>
        <w:tc>
          <w:tcPr>
            <w:tcW w:w="540" w:type="dxa"/>
            <w:vAlign w:val="bottom"/>
          </w:tcPr>
          <w:p>
            <w:pPr>
              <w:spacing w:after="0"/>
              <w:rPr>
                <w:sz w:val="16"/>
                <w:szCs w:val="16"/>
                <w:color w:val="auto"/>
              </w:rPr>
            </w:pPr>
          </w:p>
        </w:tc>
        <w:tc>
          <w:tcPr>
            <w:tcW w:w="50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*Are the securities being issued under Listing Rule 7.2 exception 13</w:t>
            </w:r>
            <w:r>
              <w:rPr>
                <w:rFonts w:ascii="Arial" w:cs="Arial" w:eastAsia="Arial" w:hAnsi="Arial"/>
                <w:sz w:val="15"/>
                <w:szCs w:val="15"/>
                <w:color w:val="auto"/>
                <w:w w:val="92"/>
              </w:rPr>
              <w:t>1</w:t>
            </w:r>
          </w:p>
        </w:tc>
        <w:tc>
          <w:tcPr>
            <w:tcW w:w="220" w:type="dxa"/>
            <w:vAlign w:val="bottom"/>
          </w:tcPr>
          <w:p>
            <w:pPr>
              <w:spacing w:after="0"/>
              <w:rPr>
                <w:sz w:val="16"/>
                <w:szCs w:val="16"/>
                <w:color w:val="auto"/>
              </w:rPr>
            </w:pPr>
          </w:p>
        </w:tc>
        <w:tc>
          <w:tcPr>
            <w:tcW w:w="49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w w:val="98"/>
              </w:rPr>
              <w:t>and therefore the issue does not need any security holder approval</w:t>
            </w:r>
          </w:p>
        </w:tc>
        <w:tc>
          <w:tcPr>
            <w:tcW w:w="4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under Listing Rule 7.1?</w:t>
            </w:r>
          </w:p>
        </w:tc>
        <w:tc>
          <w:tcPr>
            <w:tcW w:w="4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Answer this question if your response to Q2.1 is “securities issued</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w w:val="96"/>
              </w:rPr>
              <w:t>under an employee incentive scheme that are not being immediately</w:t>
            </w:r>
          </w:p>
        </w:tc>
        <w:tc>
          <w:tcPr>
            <w:tcW w:w="4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quoted on ASX”.</w:t>
            </w:r>
          </w:p>
        </w:tc>
        <w:tc>
          <w:tcPr>
            <w:tcW w:w="4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6.2</w:t>
            </w:r>
          </w:p>
        </w:tc>
        <w:tc>
          <w:tcPr>
            <w:tcW w:w="5280" w:type="dxa"/>
            <w:vAlign w:val="bottom"/>
            <w:gridSpan w:val="2"/>
          </w:tcPr>
          <w:p>
            <w:pPr>
              <w:spacing w:after="0"/>
              <w:rPr>
                <w:sz w:val="20"/>
                <w:szCs w:val="20"/>
                <w:color w:val="auto"/>
              </w:rPr>
            </w:pPr>
            <w:r>
              <w:rPr>
                <w:rFonts w:ascii="Arial" w:cs="Arial" w:eastAsia="Arial" w:hAnsi="Arial"/>
                <w:sz w:val="18"/>
                <w:szCs w:val="18"/>
                <w:color w:val="auto"/>
                <w:w w:val="97"/>
              </w:rPr>
              <w:t>*Has the entity obtained, or is it obtaining, +security holder approval</w:t>
            </w:r>
          </w:p>
        </w:tc>
        <w:tc>
          <w:tcPr>
            <w:tcW w:w="4980" w:type="dxa"/>
            <w:vAlign w:val="bottom"/>
          </w:tcPr>
          <w:p>
            <w:pP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for the issue under listing rule 7.1?</w:t>
            </w:r>
          </w:p>
        </w:tc>
        <w:tc>
          <w:tcPr>
            <w:tcW w:w="4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Answer this question if the response to Q6.1 is “No”.</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6.2a</w:t>
            </w:r>
          </w:p>
        </w:tc>
        <w:tc>
          <w:tcPr>
            <w:tcW w:w="5280" w:type="dxa"/>
            <w:vAlign w:val="bottom"/>
            <w:gridSpan w:val="2"/>
          </w:tcPr>
          <w:p>
            <w:pPr>
              <w:spacing w:after="0"/>
              <w:rPr>
                <w:sz w:val="20"/>
                <w:szCs w:val="20"/>
                <w:color w:val="auto"/>
              </w:rPr>
            </w:pPr>
            <w:r>
              <w:rPr>
                <w:rFonts w:ascii="Arial" w:cs="Arial" w:eastAsia="Arial" w:hAnsi="Arial"/>
                <w:sz w:val="18"/>
                <w:szCs w:val="18"/>
                <w:color w:val="auto"/>
              </w:rPr>
              <w:t>*Date of meeting or proposed meeting to approve the issue under</w:t>
            </w:r>
          </w:p>
        </w:tc>
        <w:tc>
          <w:tcPr>
            <w:tcW w:w="498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listing rule 7.1</w:t>
            </w:r>
          </w:p>
        </w:tc>
        <w:tc>
          <w:tcPr>
            <w:tcW w:w="4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w w:val="94"/>
              </w:rPr>
              <w:t>Answer this question if the response to Q6.1 is “No” and the response</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to Q6.2 is “Yes”.</w:t>
            </w:r>
          </w:p>
        </w:tc>
        <w:tc>
          <w:tcPr>
            <w:tcW w:w="4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6.2b</w:t>
            </w:r>
          </w:p>
        </w:tc>
        <w:tc>
          <w:tcPr>
            <w:tcW w:w="5280" w:type="dxa"/>
            <w:vAlign w:val="bottom"/>
            <w:gridSpan w:val="2"/>
          </w:tcPr>
          <w:p>
            <w:pPr>
              <w:spacing w:after="0"/>
              <w:rPr>
                <w:sz w:val="20"/>
                <w:szCs w:val="20"/>
                <w:color w:val="auto"/>
              </w:rPr>
            </w:pPr>
            <w:r>
              <w:rPr>
                <w:rFonts w:ascii="Arial" w:cs="Arial" w:eastAsia="Arial" w:hAnsi="Arial"/>
                <w:sz w:val="18"/>
                <w:szCs w:val="18"/>
                <w:color w:val="auto"/>
              </w:rPr>
              <w:t>*Are any of the +securities being issued without +security holder</w:t>
            </w:r>
          </w:p>
        </w:tc>
        <w:tc>
          <w:tcPr>
            <w:tcW w:w="4980" w:type="dxa"/>
            <w:vAlign w:val="bottom"/>
          </w:tcPr>
          <w:p>
            <w:pP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w w:val="96"/>
              </w:rPr>
              <w:t>approval using the entity’s 15% placement capacity under listing rule</w:t>
            </w:r>
          </w:p>
        </w:tc>
        <w:tc>
          <w:tcPr>
            <w:tcW w:w="4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Answer this question if the response to Q6.1 is “No” and the response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to Q6.2 is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Exception 13</w:t>
      </w:r>
      <w:r>
        <w:rPr>
          <w:rFonts w:ascii="Arial" w:cs="Arial" w:eastAsia="Arial" w:hAnsi="Arial"/>
          <w:sz w:val="18"/>
          <w:szCs w:val="18"/>
          <w:color w:val="auto"/>
        </w:rPr>
        <w:t xml:space="preserve">  An issue of securities under an employee incentive scheme if within 3 years before the issue date:</w:t>
      </w:r>
    </w:p>
    <w:p>
      <w:pPr>
        <w:spacing w:after="0" w:line="131" w:lineRule="exact"/>
        <w:rPr>
          <w:sz w:val="20"/>
          <w:szCs w:val="20"/>
          <w:color w:val="auto"/>
        </w:rPr>
      </w:pPr>
    </w:p>
    <w:p>
      <w:pPr>
        <w:ind w:left="1620" w:right="40" w:hanging="423"/>
        <w:spacing w:after="0" w:line="263"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a scheme established before the entity was listed – a summary of the terms of the scheme and the maximum number of equity securities proposed to be issued under the scheme were set out in the prospectus, PDS or information memorandum lodged with ASX under rule 1.1 condition 3; or</w:t>
      </w:r>
    </w:p>
    <w:p>
      <w:pPr>
        <w:spacing w:after="0" w:line="89" w:lineRule="exact"/>
        <w:rPr>
          <w:rFonts w:ascii="Arial" w:cs="Arial" w:eastAsia="Arial" w:hAnsi="Arial"/>
          <w:sz w:val="18"/>
          <w:szCs w:val="18"/>
          <w:color w:val="auto"/>
        </w:rPr>
      </w:pPr>
    </w:p>
    <w:p>
      <w:pPr>
        <w:ind w:left="1620" w:right="60" w:hanging="423"/>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the entity’s ordinary securities have approved the issue of equity securities under the scheme as an exception to this rule. The notice of meeting must have included:</w:t>
      </w:r>
    </w:p>
    <w:p>
      <w:pPr>
        <w:spacing w:after="0" w:line="75" w:lineRule="exact"/>
        <w:rPr>
          <w:rFonts w:ascii="Arial" w:cs="Arial" w:eastAsia="Arial" w:hAnsi="Arial"/>
          <w:sz w:val="18"/>
          <w:szCs w:val="18"/>
          <w:color w:val="auto"/>
        </w:rPr>
      </w:pPr>
    </w:p>
    <w:p>
      <w:pPr>
        <w:ind w:left="2180" w:hanging="537"/>
        <w:spacing w:after="0"/>
        <w:tabs>
          <w:tab w:leader="none" w:pos="2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summary of the terms of the scheme.</w:t>
      </w:r>
    </w:p>
    <w:p>
      <w:pPr>
        <w:spacing w:after="0" w:line="130" w:lineRule="exact"/>
        <w:rPr>
          <w:rFonts w:ascii="Arial" w:cs="Arial" w:eastAsia="Arial" w:hAnsi="Arial"/>
          <w:sz w:val="18"/>
          <w:szCs w:val="18"/>
          <w:color w:val="auto"/>
        </w:rPr>
      </w:pPr>
    </w:p>
    <w:p>
      <w:pPr>
        <w:ind w:left="2180" w:hanging="537"/>
        <w:spacing w:after="0"/>
        <w:tabs>
          <w:tab w:leader="none" w:pos="21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number of securities issued under the scheme since the entity was listed or the date of the last approval under this rule;</w:t>
      </w:r>
    </w:p>
    <w:p>
      <w:pPr>
        <w:spacing w:after="0" w:line="153" w:lineRule="exact"/>
        <w:rPr>
          <w:rFonts w:ascii="Arial" w:cs="Arial" w:eastAsia="Arial" w:hAnsi="Arial"/>
          <w:sz w:val="16"/>
          <w:szCs w:val="16"/>
          <w:color w:val="auto"/>
        </w:rPr>
      </w:pPr>
    </w:p>
    <w:p>
      <w:pPr>
        <w:ind w:left="2180" w:hanging="537"/>
        <w:spacing w:after="0"/>
        <w:tabs>
          <w:tab w:leader="none" w:pos="21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maximum number of +equity securities proposed to be issued under the scheme following the approval; and</w:t>
      </w:r>
    </w:p>
    <w:p>
      <w:pPr>
        <w:spacing w:after="0" w:line="142" w:lineRule="exact"/>
        <w:rPr>
          <w:rFonts w:ascii="Arial" w:cs="Arial" w:eastAsia="Arial" w:hAnsi="Arial"/>
          <w:sz w:val="17"/>
          <w:szCs w:val="17"/>
          <w:color w:val="auto"/>
        </w:rPr>
      </w:pPr>
    </w:p>
    <w:p>
      <w:pPr>
        <w:ind w:left="2180" w:hanging="537"/>
        <w:spacing w:after="0"/>
        <w:tabs>
          <w:tab w:leader="none" w:pos="2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voting exclusion statement.</w:t>
      </w:r>
    </w:p>
    <w:p>
      <w:pPr>
        <w:spacing w:after="0" w:line="117" w:lineRule="exact"/>
        <w:rPr>
          <w:sz w:val="20"/>
          <w:szCs w:val="20"/>
          <w:color w:val="auto"/>
        </w:rPr>
      </w:pPr>
    </w:p>
    <w:p>
      <w:pPr>
        <w:ind w:left="1200" w:right="300"/>
        <w:spacing w:after="0" w:line="263" w:lineRule="auto"/>
        <w:rPr>
          <w:sz w:val="20"/>
          <w:szCs w:val="20"/>
          <w:color w:val="auto"/>
        </w:rPr>
      </w:pPr>
      <w:r>
        <w:rPr>
          <w:rFonts w:ascii="Arial" w:cs="Arial" w:eastAsia="Arial" w:hAnsi="Arial"/>
          <w:sz w:val="18"/>
          <w:szCs w:val="18"/>
          <w:color w:val="auto"/>
        </w:rPr>
        <w:t>Exception 13 is only available if and to the extent that the number of +equity securities issued under the scheme does not exceed the maximum number set out in the entity’s prospectus, PDS or information memorandum (in the case of (a) above) or in the notice of meeting (in the case of (b) above).</w:t>
      </w:r>
    </w:p>
    <w:p>
      <w:pPr>
        <w:spacing w:after="0" w:line="76" w:lineRule="exact"/>
        <w:rPr>
          <w:sz w:val="20"/>
          <w:szCs w:val="20"/>
          <w:color w:val="auto"/>
        </w:rPr>
      </w:pPr>
    </w:p>
    <w:p>
      <w:pPr>
        <w:ind w:left="1200" w:right="60"/>
        <w:spacing w:after="0" w:line="308" w:lineRule="auto"/>
        <w:rPr>
          <w:sz w:val="20"/>
          <w:szCs w:val="20"/>
          <w:color w:val="auto"/>
        </w:rPr>
      </w:pPr>
      <w:r>
        <w:rPr>
          <w:rFonts w:ascii="Arial" w:cs="Arial" w:eastAsia="Arial" w:hAnsi="Arial"/>
          <w:sz w:val="17"/>
          <w:szCs w:val="17"/>
          <w:color w:val="auto"/>
        </w:rPr>
        <w:t>Exception 13 ceases to be available if there is a material change to the terms of the scheme from those set out in the entity’s prospectus, PDS or information memorandum (in the case of (a) above) or in the notice of meeting (in the case of (b) above).</w:t>
      </w:r>
    </w:p>
    <w:p>
      <w:pPr>
        <w:sectPr>
          <w:pgSz w:w="11900" w:h="16838" w:orient="portrait"/>
          <w:cols w:equalWidth="0" w:num="1">
            <w:col w:w="11020"/>
          </w:cols>
          <w:pgMar w:left="440" w:top="270" w:right="43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 See chapter 19 for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31 January 2020</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Page 11</w:t>
      </w:r>
    </w:p>
    <w:p>
      <w:pPr>
        <w:sectPr>
          <w:pgSz w:w="11900" w:h="16838" w:orient="portrait"/>
          <w:cols w:equalWidth="0" w:num="2">
            <w:col w:w="9720" w:space="720"/>
            <w:col w:w="580"/>
          </w:cols>
          <w:pgMar w:left="440" w:top="270" w:right="4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This appendix is </w:t>
            </w:r>
            <w:r>
              <w:rPr>
                <w:rFonts w:ascii="Arial" w:cs="Arial" w:eastAsia="Arial" w:hAnsi="Arial"/>
                <w:sz w:val="18"/>
                <w:szCs w:val="18"/>
                <w:b w:val="1"/>
                <w:bCs w:val="1"/>
                <w:i w:val="1"/>
                <w:iCs w:val="1"/>
                <w:color w:val="auto"/>
              </w:rPr>
              <w:t>not</w:t>
            </w:r>
            <w:r>
              <w:rPr>
                <w:rFonts w:ascii="Arial" w:cs="Arial" w:eastAsia="Arial" w:hAnsi="Arial"/>
                <w:sz w:val="18"/>
                <w:szCs w:val="18"/>
                <w:b w:val="1"/>
                <w:bCs w:val="1"/>
                <w:color w:val="auto"/>
              </w:rPr>
              <w:t xml:space="preserve"> available as an online form</w:t>
            </w:r>
          </w:p>
        </w:tc>
        <w:tc>
          <w:tcPr>
            <w:tcW w:w="5140" w:type="dxa"/>
            <w:vAlign w:val="bottom"/>
          </w:tcPr>
          <w:p>
            <w:pPr>
              <w:jc w:val="right"/>
              <w:spacing w:after="0"/>
              <w:rPr>
                <w:sz w:val="20"/>
                <w:szCs w:val="20"/>
                <w:color w:val="auto"/>
              </w:rPr>
            </w:pPr>
            <w:r>
              <w:rPr>
                <w:rFonts w:ascii="Arial" w:cs="Arial" w:eastAsia="Arial" w:hAnsi="Arial"/>
                <w:sz w:val="18"/>
                <w:szCs w:val="18"/>
                <w:b w:val="1"/>
                <w:bCs w:val="1"/>
                <w:color w:val="auto"/>
              </w:rPr>
              <w:t>Appendix 3G</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Please fill in and submit as a PDF announcement</w:t>
            </w:r>
          </w:p>
        </w:tc>
        <w:tc>
          <w:tcPr>
            <w:tcW w:w="5140" w:type="dxa"/>
            <w:vAlign w:val="bottom"/>
          </w:tcPr>
          <w:p>
            <w:pPr>
              <w:jc w:val="right"/>
              <w:spacing w:after="0"/>
              <w:rPr>
                <w:sz w:val="20"/>
                <w:szCs w:val="20"/>
                <w:color w:val="auto"/>
              </w:rPr>
            </w:pPr>
            <w:r>
              <w:rPr>
                <w:rFonts w:ascii="Arial" w:cs="Arial" w:eastAsia="Arial" w:hAnsi="Arial"/>
                <w:sz w:val="18"/>
                <w:szCs w:val="18"/>
                <w:b w:val="1"/>
                <w:bCs w:val="1"/>
                <w:color w:val="auto"/>
              </w:rPr>
              <w:t>Notification of issue, conversion or</w:t>
            </w:r>
          </w:p>
        </w:tc>
      </w:tr>
      <w:tr>
        <w:trPr>
          <w:trHeight w:val="234"/>
        </w:trPr>
        <w:tc>
          <w:tcPr>
            <w:tcW w:w="6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5140" w:type="dxa"/>
            <w:vAlign w:val="bottom"/>
          </w:tcPr>
          <w:p>
            <w:pPr>
              <w:jc w:val="right"/>
              <w:spacing w:after="0"/>
              <w:rPr>
                <w:sz w:val="20"/>
                <w:szCs w:val="20"/>
                <w:color w:val="auto"/>
              </w:rPr>
            </w:pPr>
            <w:r>
              <w:rPr>
                <w:rFonts w:ascii="Arial" w:cs="Arial" w:eastAsia="Arial" w:hAnsi="Arial"/>
                <w:sz w:val="18"/>
                <w:szCs w:val="18"/>
                <w:b w:val="1"/>
                <w:bCs w:val="1"/>
                <w:color w:val="auto"/>
              </w:rPr>
              <w:t>payment up of equity +securities</w:t>
            </w:r>
          </w:p>
        </w:tc>
      </w:tr>
      <w:tr>
        <w:trPr>
          <w:trHeight w:val="350"/>
        </w:trPr>
        <w:tc>
          <w:tcPr>
            <w:tcW w:w="620" w:type="dxa"/>
            <w:vAlign w:val="bottom"/>
          </w:tcPr>
          <w:p>
            <w:pPr>
              <w:spacing w:after="0"/>
              <w:rPr>
                <w:sz w:val="20"/>
                <w:szCs w:val="20"/>
                <w:color w:val="auto"/>
              </w:rPr>
            </w:pPr>
            <w:r>
              <w:rPr>
                <w:rFonts w:ascii="Arial" w:cs="Arial" w:eastAsia="Arial" w:hAnsi="Arial"/>
                <w:sz w:val="18"/>
                <w:szCs w:val="18"/>
                <w:color w:val="auto"/>
              </w:rPr>
              <w:t>6.2b.1</w:t>
            </w:r>
          </w:p>
        </w:tc>
        <w:tc>
          <w:tcPr>
            <w:tcW w:w="5260" w:type="dxa"/>
            <w:vAlign w:val="bottom"/>
          </w:tcPr>
          <w:p>
            <w:pPr>
              <w:ind w:left="160"/>
              <w:spacing w:after="0"/>
              <w:rPr>
                <w:sz w:val="20"/>
                <w:szCs w:val="20"/>
                <w:color w:val="auto"/>
              </w:rPr>
            </w:pPr>
            <w:r>
              <w:rPr>
                <w:rFonts w:ascii="Arial" w:cs="Arial" w:eastAsia="Arial" w:hAnsi="Arial"/>
                <w:sz w:val="18"/>
                <w:szCs w:val="18"/>
                <w:color w:val="auto"/>
                <w:w w:val="98"/>
              </w:rPr>
              <w:t>*How many +securities are being issued without +security holder</w:t>
            </w:r>
          </w:p>
        </w:tc>
        <w:tc>
          <w:tcPr>
            <w:tcW w:w="5140" w:type="dxa"/>
            <w:vAlign w:val="bottom"/>
          </w:tcPr>
          <w:p>
            <w:pPr>
              <w:jc w:val="right"/>
              <w:ind w:right="4670"/>
              <w:spacing w:after="0"/>
              <w:rPr>
                <w:sz w:val="20"/>
                <w:szCs w:val="20"/>
                <w:color w:val="auto"/>
              </w:rPr>
            </w:pPr>
            <w:r>
              <w:rPr>
                <w:rFonts w:ascii="Arial" w:cs="Arial" w:eastAsia="Arial" w:hAnsi="Arial"/>
                <w:sz w:val="18"/>
                <w:szCs w:val="18"/>
                <w:color w:val="auto"/>
              </w:rPr>
              <w:t>N/A</w:t>
            </w:r>
          </w:p>
        </w:tc>
      </w:tr>
      <w:tr>
        <w:trPr>
          <w:trHeight w:val="216"/>
        </w:trPr>
        <w:tc>
          <w:tcPr>
            <w:tcW w:w="6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w w:val="93"/>
              </w:rPr>
              <w:t>approval using the entity’s 15% placement capacity under listing rule</w:t>
            </w:r>
          </w:p>
        </w:tc>
        <w:tc>
          <w:tcPr>
            <w:tcW w:w="51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7.1?</w:t>
            </w:r>
          </w:p>
        </w:tc>
        <w:tc>
          <w:tcPr>
            <w:tcW w:w="5140" w:type="dxa"/>
            <w:vAlign w:val="bottom"/>
          </w:tcPr>
          <w:p>
            <w:pPr>
              <w:spacing w:after="0"/>
              <w:rPr>
                <w:sz w:val="20"/>
                <w:szCs w:val="20"/>
                <w:color w:val="auto"/>
              </w:rPr>
            </w:pPr>
          </w:p>
        </w:tc>
      </w:tr>
      <w:tr>
        <w:trPr>
          <w:trHeight w:val="310"/>
        </w:trPr>
        <w:tc>
          <w:tcPr>
            <w:tcW w:w="620" w:type="dxa"/>
            <w:vAlign w:val="bottom"/>
          </w:tcPr>
          <w:p>
            <w:pPr>
              <w:spacing w:after="0"/>
              <w:rPr>
                <w:sz w:val="24"/>
                <w:szCs w:val="24"/>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w w:val="93"/>
              </w:rPr>
              <w:t>Answer this question if the response to Q6.1 is “No”, the response to</w:t>
            </w:r>
          </w:p>
        </w:tc>
        <w:tc>
          <w:tcPr>
            <w:tcW w:w="514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rPr>
              <w:t>Q6.2 is “No” and the response to Q6.2b is “Yes”.</w:t>
            </w:r>
          </w:p>
        </w:tc>
        <w:tc>
          <w:tcPr>
            <w:tcW w:w="5140" w:type="dxa"/>
            <w:vAlign w:val="bottom"/>
          </w:tcPr>
          <w:p>
            <w:pPr>
              <w:spacing w:after="0"/>
              <w:rPr>
                <w:sz w:val="20"/>
                <w:szCs w:val="20"/>
                <w:color w:val="auto"/>
              </w:rPr>
            </w:pPr>
          </w:p>
        </w:tc>
      </w:tr>
      <w:tr>
        <w:trPr>
          <w:trHeight w:val="310"/>
        </w:trPr>
        <w:tc>
          <w:tcPr>
            <w:tcW w:w="620" w:type="dxa"/>
            <w:vAlign w:val="bottom"/>
          </w:tcPr>
          <w:p>
            <w:pPr>
              <w:spacing w:after="0"/>
              <w:rPr>
                <w:sz w:val="24"/>
                <w:szCs w:val="24"/>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w w:val="95"/>
              </w:rPr>
              <w:t>Please complete and separately send by email to your ASX listings</w:t>
            </w:r>
          </w:p>
        </w:tc>
        <w:tc>
          <w:tcPr>
            <w:tcW w:w="514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w w:val="93"/>
              </w:rPr>
              <w:t>adviser a work sheet in the form of Annexure B to Guidance Note 21</w:t>
            </w:r>
          </w:p>
        </w:tc>
        <w:tc>
          <w:tcPr>
            <w:tcW w:w="514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w w:val="94"/>
              </w:rPr>
              <w:t>confirming the entity has the available capacity under listing rule 7.1</w:t>
            </w:r>
          </w:p>
        </w:tc>
        <w:tc>
          <w:tcPr>
            <w:tcW w:w="51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rPr>
              <w:t>to issue that number of securities.</w:t>
            </w:r>
          </w:p>
        </w:tc>
        <w:tc>
          <w:tcPr>
            <w:tcW w:w="5140" w:type="dxa"/>
            <w:vAlign w:val="bottom"/>
          </w:tcPr>
          <w:p>
            <w:pPr>
              <w:spacing w:after="0"/>
              <w:rPr>
                <w:sz w:val="20"/>
                <w:szCs w:val="20"/>
                <w:color w:val="auto"/>
              </w:rPr>
            </w:pP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6.2c</w:t>
            </w:r>
          </w:p>
        </w:tc>
        <w:tc>
          <w:tcPr>
            <w:tcW w:w="5260" w:type="dxa"/>
            <w:vAlign w:val="bottom"/>
          </w:tcPr>
          <w:p>
            <w:pPr>
              <w:ind w:left="160"/>
              <w:spacing w:after="0"/>
              <w:rPr>
                <w:sz w:val="20"/>
                <w:szCs w:val="20"/>
                <w:color w:val="auto"/>
              </w:rPr>
            </w:pPr>
            <w:r>
              <w:rPr>
                <w:rFonts w:ascii="Arial" w:cs="Arial" w:eastAsia="Arial" w:hAnsi="Arial"/>
                <w:sz w:val="18"/>
                <w:szCs w:val="18"/>
                <w:color w:val="auto"/>
                <w:w w:val="99"/>
              </w:rPr>
              <w:t>*Are any of the +securities being issued without +security holder</w:t>
            </w:r>
          </w:p>
        </w:tc>
        <w:tc>
          <w:tcPr>
            <w:tcW w:w="5140" w:type="dxa"/>
            <w:vAlign w:val="bottom"/>
          </w:tcPr>
          <w:p>
            <w:pPr>
              <w:jc w:val="right"/>
              <w:ind w:right="4670"/>
              <w:spacing w:after="0"/>
              <w:rPr>
                <w:sz w:val="20"/>
                <w:szCs w:val="20"/>
                <w:color w:val="auto"/>
              </w:rPr>
            </w:pPr>
            <w:r>
              <w:rPr>
                <w:rFonts w:ascii="Arial" w:cs="Arial" w:eastAsia="Arial" w:hAnsi="Arial"/>
                <w:sz w:val="18"/>
                <w:szCs w:val="18"/>
                <w:color w:val="auto"/>
              </w:rPr>
              <w:t>N/A</w:t>
            </w:r>
          </w:p>
        </w:tc>
      </w:tr>
      <w:tr>
        <w:trPr>
          <w:trHeight w:val="216"/>
        </w:trPr>
        <w:tc>
          <w:tcPr>
            <w:tcW w:w="6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w w:val="93"/>
              </w:rPr>
              <w:t>approval using the entity’s additional 10% placement capacity under</w:t>
            </w:r>
          </w:p>
        </w:tc>
        <w:tc>
          <w:tcPr>
            <w:tcW w:w="51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listing rule 7.1A (if applicable)?</w:t>
            </w:r>
          </w:p>
        </w:tc>
        <w:tc>
          <w:tcPr>
            <w:tcW w:w="5140" w:type="dxa"/>
            <w:vAlign w:val="bottom"/>
          </w:tcPr>
          <w:p>
            <w:pPr>
              <w:spacing w:after="0"/>
              <w:rPr>
                <w:sz w:val="20"/>
                <w:szCs w:val="20"/>
                <w:color w:val="auto"/>
              </w:rPr>
            </w:pPr>
          </w:p>
        </w:tc>
      </w:tr>
      <w:tr>
        <w:trPr>
          <w:trHeight w:val="310"/>
        </w:trPr>
        <w:tc>
          <w:tcPr>
            <w:tcW w:w="620" w:type="dxa"/>
            <w:vAlign w:val="bottom"/>
          </w:tcPr>
          <w:p>
            <w:pPr>
              <w:spacing w:after="0"/>
              <w:rPr>
                <w:sz w:val="24"/>
                <w:szCs w:val="24"/>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w w:val="91"/>
              </w:rPr>
              <w:t>Answer this question if the response to Q6.1 is “No” and the response</w:t>
            </w:r>
          </w:p>
        </w:tc>
        <w:tc>
          <w:tcPr>
            <w:tcW w:w="514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rPr>
              <w:t>to Q6.2 is “No”.</w:t>
            </w:r>
          </w:p>
        </w:tc>
        <w:tc>
          <w:tcPr>
            <w:tcW w:w="5140" w:type="dxa"/>
            <w:vAlign w:val="bottom"/>
          </w:tcPr>
          <w:p>
            <w:pPr>
              <w:spacing w:after="0"/>
              <w:rPr>
                <w:sz w:val="20"/>
                <w:szCs w:val="20"/>
                <w:color w:val="auto"/>
              </w:rPr>
            </w:pP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6.2c.1</w:t>
            </w:r>
          </w:p>
        </w:tc>
        <w:tc>
          <w:tcPr>
            <w:tcW w:w="5260" w:type="dxa"/>
            <w:vAlign w:val="bottom"/>
          </w:tcPr>
          <w:p>
            <w:pPr>
              <w:ind w:left="160"/>
              <w:spacing w:after="0"/>
              <w:rPr>
                <w:sz w:val="20"/>
                <w:szCs w:val="20"/>
                <w:color w:val="auto"/>
              </w:rPr>
            </w:pPr>
            <w:r>
              <w:rPr>
                <w:rFonts w:ascii="Arial" w:cs="Arial" w:eastAsia="Arial" w:hAnsi="Arial"/>
                <w:sz w:val="18"/>
                <w:szCs w:val="18"/>
                <w:color w:val="auto"/>
                <w:w w:val="98"/>
              </w:rPr>
              <w:t>*How many +securities are being issued without +security holder</w:t>
            </w:r>
          </w:p>
        </w:tc>
        <w:tc>
          <w:tcPr>
            <w:tcW w:w="5140" w:type="dxa"/>
            <w:vAlign w:val="bottom"/>
          </w:tcPr>
          <w:p>
            <w:pPr>
              <w:jc w:val="right"/>
              <w:ind w:right="4670"/>
              <w:spacing w:after="0"/>
              <w:rPr>
                <w:sz w:val="20"/>
                <w:szCs w:val="20"/>
                <w:color w:val="auto"/>
              </w:rPr>
            </w:pPr>
            <w:r>
              <w:rPr>
                <w:rFonts w:ascii="Arial" w:cs="Arial" w:eastAsia="Arial" w:hAnsi="Arial"/>
                <w:sz w:val="18"/>
                <w:szCs w:val="18"/>
                <w:color w:val="auto"/>
              </w:rPr>
              <w:t>N/A</w:t>
            </w:r>
          </w:p>
        </w:tc>
      </w:tr>
      <w:tr>
        <w:trPr>
          <w:trHeight w:val="216"/>
        </w:trPr>
        <w:tc>
          <w:tcPr>
            <w:tcW w:w="6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w w:val="93"/>
              </w:rPr>
              <w:t>approval using the entity’s additional 10% placement capacity under</w:t>
            </w:r>
          </w:p>
        </w:tc>
        <w:tc>
          <w:tcPr>
            <w:tcW w:w="51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listing rule 7.1A?</w:t>
            </w:r>
          </w:p>
        </w:tc>
        <w:tc>
          <w:tcPr>
            <w:tcW w:w="5140" w:type="dxa"/>
            <w:vAlign w:val="bottom"/>
          </w:tcPr>
          <w:p>
            <w:pPr>
              <w:spacing w:after="0"/>
              <w:rPr>
                <w:sz w:val="20"/>
                <w:szCs w:val="20"/>
                <w:color w:val="auto"/>
              </w:rPr>
            </w:pPr>
          </w:p>
        </w:tc>
      </w:tr>
      <w:tr>
        <w:trPr>
          <w:trHeight w:val="310"/>
        </w:trPr>
        <w:tc>
          <w:tcPr>
            <w:tcW w:w="620" w:type="dxa"/>
            <w:vAlign w:val="bottom"/>
          </w:tcPr>
          <w:p>
            <w:pPr>
              <w:spacing w:after="0"/>
              <w:rPr>
                <w:sz w:val="24"/>
                <w:szCs w:val="24"/>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w w:val="93"/>
              </w:rPr>
              <w:t>Answer this question if the response to Q6.1 is “No”, the response to</w:t>
            </w:r>
          </w:p>
        </w:tc>
        <w:tc>
          <w:tcPr>
            <w:tcW w:w="514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rPr>
              <w:t>Q6.2 is “No” and the response to Q6.2c is “Yes”.</w:t>
            </w:r>
          </w:p>
        </w:tc>
        <w:tc>
          <w:tcPr>
            <w:tcW w:w="5140" w:type="dxa"/>
            <w:vAlign w:val="bottom"/>
          </w:tcPr>
          <w:p>
            <w:pPr>
              <w:spacing w:after="0"/>
              <w:rPr>
                <w:sz w:val="20"/>
                <w:szCs w:val="20"/>
                <w:color w:val="auto"/>
              </w:rPr>
            </w:pPr>
          </w:p>
        </w:tc>
      </w:tr>
      <w:tr>
        <w:trPr>
          <w:trHeight w:val="310"/>
        </w:trPr>
        <w:tc>
          <w:tcPr>
            <w:tcW w:w="620" w:type="dxa"/>
            <w:vAlign w:val="bottom"/>
          </w:tcPr>
          <w:p>
            <w:pPr>
              <w:spacing w:after="0"/>
              <w:rPr>
                <w:sz w:val="24"/>
                <w:szCs w:val="24"/>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w w:val="95"/>
              </w:rPr>
              <w:t>Please complete and separately send by email to your ASX listings</w:t>
            </w:r>
          </w:p>
        </w:tc>
        <w:tc>
          <w:tcPr>
            <w:tcW w:w="514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w w:val="93"/>
              </w:rPr>
              <w:t>adviser a work sheet in the form of Annexure C to Guidance Note 21</w:t>
            </w:r>
          </w:p>
        </w:tc>
        <w:tc>
          <w:tcPr>
            <w:tcW w:w="514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w w:val="99"/>
              </w:rPr>
              <w:t>confirming the entity has the available capacity under listing rule</w:t>
            </w:r>
          </w:p>
        </w:tc>
        <w:tc>
          <w:tcPr>
            <w:tcW w:w="51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i w:val="1"/>
                <w:iCs w:val="1"/>
                <w:color w:val="auto"/>
              </w:rPr>
              <w:t>7.1A to issue that number of securities.</w:t>
            </w:r>
          </w:p>
        </w:tc>
        <w:tc>
          <w:tcPr>
            <w:tcW w:w="5140" w:type="dxa"/>
            <w:vAlign w:val="bottom"/>
          </w:tcPr>
          <w:p>
            <w:pPr>
              <w:spacing w:after="0"/>
              <w:rPr>
                <w:sz w:val="20"/>
                <w:szCs w:val="20"/>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color w:val="auto"/>
              </w:rPr>
              <w:t>Introduced 01/12/19; amended 31/01/20</w:t>
            </w:r>
          </w:p>
        </w:tc>
        <w:tc>
          <w:tcPr>
            <w:tcW w:w="5140" w:type="dxa"/>
            <w:vAlign w:val="bottom"/>
          </w:tcPr>
          <w:p>
            <w:pPr>
              <w:spacing w:after="0"/>
              <w:rPr>
                <w:sz w:val="24"/>
                <w:szCs w:val="24"/>
                <w:color w:val="auto"/>
              </w:rPr>
            </w:pPr>
          </w:p>
        </w:tc>
      </w:tr>
      <w:tr>
        <w:trPr>
          <w:trHeight w:val="148"/>
        </w:trPr>
        <w:tc>
          <w:tcPr>
            <w:tcW w:w="5880" w:type="dxa"/>
            <w:vAlign w:val="bottom"/>
            <w:tcBorders>
              <w:bottom w:val="single" w:sz="8" w:color="auto"/>
            </w:tcBorders>
            <w:gridSpan w:val="2"/>
          </w:tcPr>
          <w:p>
            <w:pPr>
              <w:spacing w:after="0"/>
              <w:rPr>
                <w:sz w:val="12"/>
                <w:szCs w:val="12"/>
                <w:color w:val="auto"/>
              </w:rPr>
            </w:pPr>
          </w:p>
        </w:tc>
        <w:tc>
          <w:tcPr>
            <w:tcW w:w="5140" w:type="dxa"/>
            <w:vAlign w:val="bottom"/>
            <w:tcBorders>
              <w:bottom w:val="single" w:sz="8" w:color="auto"/>
            </w:tcBorders>
          </w:tcPr>
          <w:p>
            <w:pPr>
              <w:spacing w:after="0"/>
              <w:rPr>
                <w:sz w:val="12"/>
                <w:szCs w:val="12"/>
                <w:color w:val="auto"/>
              </w:rPr>
            </w:pPr>
          </w:p>
        </w:tc>
      </w:tr>
      <w:tr>
        <w:trPr>
          <w:trHeight w:val="195"/>
        </w:trPr>
        <w:tc>
          <w:tcPr>
            <w:tcW w:w="588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5140" w:type="dxa"/>
            <w:vAlign w:val="bottom"/>
          </w:tcPr>
          <w:p>
            <w:pPr>
              <w:spacing w:after="0"/>
              <w:rPr>
                <w:sz w:val="16"/>
                <w:szCs w:val="16"/>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i w:val="1"/>
                <w:iCs w:val="1"/>
                <w:color w:val="auto"/>
              </w:rPr>
              <w:t>31 January 2020</w:t>
            </w:r>
          </w:p>
        </w:tc>
        <w:tc>
          <w:tcPr>
            <w:tcW w:w="5140" w:type="dxa"/>
            <w:vAlign w:val="bottom"/>
          </w:tcPr>
          <w:p>
            <w:pPr>
              <w:jc w:val="right"/>
              <w:spacing w:after="0"/>
              <w:rPr>
                <w:sz w:val="20"/>
                <w:szCs w:val="20"/>
                <w:color w:val="auto"/>
              </w:rPr>
            </w:pPr>
            <w:r>
              <w:rPr>
                <w:rFonts w:ascii="Arial" w:cs="Arial" w:eastAsia="Arial" w:hAnsi="Arial"/>
                <w:sz w:val="18"/>
                <w:szCs w:val="18"/>
                <w:color w:val="auto"/>
              </w:rPr>
              <w:t>Page 12</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3Y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Rule 3.19A.2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3Y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Introduced 30/09/01 Amended 01/01/11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entity: Opthea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ABN 32 006 340 567</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(the entity) give ASX the following information under listing rule 3.19A.2 and as agent for the director for the purposes of section 205G of the Corporations Act.</w:t>
      </w:r>
    </w:p>
    <w:p>
      <w:pPr>
        <w:sectPr>
          <w:pgSz w:w="11900" w:h="16838" w:orient="portrait"/>
          <w:cols w:equalWidth="0" w:num="1">
            <w:col w:w="11020"/>
          </w:cols>
          <w:pgMar w:left="440" w:top="121"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Director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Dan Spiegelman</w:t>
      </w:r>
    </w:p>
    <w:p>
      <w:pPr>
        <w:spacing w:after="0" w:line="147"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Date of last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15 September 2020</w:t>
      </w:r>
    </w:p>
    <w:p>
      <w:pPr>
        <w:spacing w:after="0" w:line="207"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Change of director’s relevant interests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case of a trust, this includes interests in the trust made available by the responsible entity of the trust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Note: In the case of a company, interests which come within paragraph (i) of the definition of “notifiable interest of a director” should be disclosed in this part.</w:t>
      </w:r>
    </w:p>
    <w:p>
      <w:pPr>
        <w:sectPr>
          <w:pgSz w:w="11900" w:h="16838" w:orient="portrait"/>
          <w:cols w:equalWidth="0" w:num="1">
            <w:col w:w="11020"/>
          </w:cols>
          <w:pgMar w:left="440" w:top="121" w:right="43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 or indirect interest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Direct</w:t>
      </w:r>
    </w:p>
    <w:p>
      <w:pPr>
        <w:spacing w:after="0" w:line="136"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Nature of indirect interest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(including registered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w:t>
      </w:r>
    </w:p>
    <w:p>
      <w:pPr>
        <w:spacing w:after="0" w:line="357"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Note: Provide details of the circumstances giving rise to the relevant interest.</w:t>
      </w:r>
    </w:p>
    <w:p>
      <w:pPr>
        <w:sectPr>
          <w:pgSz w:w="11900" w:h="16838" w:orient="portrait"/>
          <w:cols w:equalWidth="0" w:num="1">
            <w:col w:w="11020"/>
          </w:cols>
          <w:pgMar w:left="440" w:top="121" w:right="4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of change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4280"/>
        <w:spacing w:after="0"/>
        <w:rPr>
          <w:sz w:val="20"/>
          <w:szCs w:val="20"/>
          <w:color w:val="auto"/>
        </w:rPr>
      </w:pPr>
      <w:r>
        <w:rPr>
          <w:rFonts w:ascii="Arial" w:cs="Arial" w:eastAsia="Arial" w:hAnsi="Arial"/>
          <w:sz w:val="16"/>
          <w:szCs w:val="16"/>
          <w:color w:val="auto"/>
        </w:rPr>
        <w:t>1 March 2021</w:t>
      </w:r>
    </w:p>
    <w:p>
      <w:pPr>
        <w:spacing w:after="0" w:line="136"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 of securities held prior to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Nil</w:t>
      </w:r>
    </w:p>
    <w:p>
      <w:pPr>
        <w:spacing w:after="0" w:line="113"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w:t>
      </w:r>
    </w:p>
    <w:p>
      <w:pPr>
        <w:spacing w:after="0" w:line="136"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Number 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2,000,000 unquoted options</w:t>
      </w:r>
    </w:p>
    <w:p>
      <w:pPr>
        <w:spacing w:after="0" w:line="136"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Number disposed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Nil</w:t>
      </w:r>
    </w:p>
    <w:p>
      <w:pPr>
        <w:spacing w:after="0" w:line="113"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Value/Consideration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Nil</w:t>
      </w:r>
    </w:p>
    <w:p>
      <w:pPr>
        <w:spacing w:after="0" w:line="131"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Note: If consideration is non-cash, provide details and estimated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ectPr>
          <w:pgSz w:w="11900" w:h="16838" w:orient="portrait"/>
          <w:cols w:equalWidth="0" w:num="1">
            <w:col w:w="11020"/>
          </w:cols>
          <w:pgMar w:left="440" w:top="121" w:right="4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01/01/2011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Appendix 3Y Page 1</w:t>
      </w:r>
    </w:p>
    <w:p>
      <w:pPr>
        <w:sectPr>
          <w:pgSz w:w="11900" w:h="16838" w:orient="portrait"/>
          <w:cols w:equalWidth="0" w:num="2">
            <w:col w:w="8780" w:space="720"/>
            <w:col w:w="1520"/>
          </w:cols>
          <w:pgMar w:left="440" w:top="121" w:right="4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3Y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No. of securities held after change</w:t>
      </w:r>
      <w:r>
        <w:rPr>
          <w:sz w:val="20"/>
          <w:szCs w:val="20"/>
          <w:color w:val="auto"/>
        </w:rPr>
        <w:tab/>
      </w:r>
      <w:r>
        <w:rPr>
          <w:rFonts w:ascii="Arial" w:cs="Arial" w:eastAsia="Arial" w:hAnsi="Arial"/>
          <w:sz w:val="16"/>
          <w:szCs w:val="16"/>
          <w:color w:val="auto"/>
        </w:rPr>
        <w:t>2,000,000 unquoted options to acquire fully paid ordinary shares at an</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exercise price of $2.99, expiring on 11 October 2024, granted under the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NED Plan.</w:t>
      </w:r>
    </w:p>
    <w:p>
      <w:pPr>
        <w:sectPr>
          <w:pgSz w:w="11900" w:h="16838" w:orient="portrait"/>
          <w:cols w:equalWidth="0" w:num="1">
            <w:col w:w="11020"/>
          </w:cols>
          <w:pgMar w:left="440" w:top="270" w:right="4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change</w:t>
      </w:r>
    </w:p>
    <w:p>
      <w:pPr>
        <w:spacing w:after="0" w:line="13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Example: on-market trade, off-market trade, exercise of options, issue of securities under dividend reinvestment plan, participation in buy-back</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Grant of unquoted options pursuant to the NED Plan.</w:t>
      </w:r>
    </w:p>
    <w:p>
      <w:pPr>
        <w:spacing w:after="0" w:line="877" w:lineRule="exact"/>
        <w:rPr>
          <w:sz w:val="20"/>
          <w:szCs w:val="20"/>
          <w:color w:val="auto"/>
        </w:rPr>
      </w:pPr>
    </w:p>
    <w:p>
      <w:pPr>
        <w:sectPr>
          <w:pgSz w:w="11900" w:h="16838" w:orient="portrait"/>
          <w:cols w:equalWidth="0" w:num="2">
            <w:col w:w="5220" w:space="520"/>
            <w:col w:w="5280"/>
          </w:cols>
          <w:pgMar w:left="440" w:top="270"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Change of director’s interests in contracts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Note: In the case of a company, interests which come within paragraph (ii) of the definition of “notifiable interest of a director” should be disclosed in this part.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60" w:type="dxa"/>
            <w:vAlign w:val="bottom"/>
          </w:tcPr>
          <w:p>
            <w:pPr>
              <w:spacing w:after="0"/>
              <w:rPr>
                <w:sz w:val="20"/>
                <w:szCs w:val="20"/>
                <w:color w:val="auto"/>
              </w:rPr>
            </w:pPr>
            <w:r>
              <w:rPr>
                <w:rFonts w:ascii="Arial" w:cs="Arial" w:eastAsia="Arial" w:hAnsi="Arial"/>
                <w:sz w:val="20"/>
                <w:szCs w:val="20"/>
                <w:b w:val="1"/>
                <w:bCs w:val="1"/>
                <w:color w:val="auto"/>
              </w:rPr>
              <w:t>Detail of contract</w:t>
            </w:r>
          </w:p>
        </w:tc>
        <w:tc>
          <w:tcPr>
            <w:tcW w:w="5360" w:type="dxa"/>
            <w:vAlign w:val="bottom"/>
          </w:tcPr>
          <w:p>
            <w:pPr>
              <w:ind w:left="1060"/>
              <w:spacing w:after="0"/>
              <w:rPr>
                <w:sz w:val="20"/>
                <w:szCs w:val="20"/>
                <w:color w:val="auto"/>
              </w:rPr>
            </w:pPr>
            <w:r>
              <w:rPr>
                <w:rFonts w:ascii="Arial" w:cs="Arial" w:eastAsia="Arial" w:hAnsi="Arial"/>
                <w:sz w:val="18"/>
                <w:szCs w:val="18"/>
                <w:color w:val="auto"/>
              </w:rPr>
              <w:t>N/A</w:t>
            </w:r>
          </w:p>
        </w:tc>
      </w:tr>
      <w:tr>
        <w:trPr>
          <w:trHeight w:val="338"/>
        </w:trPr>
        <w:tc>
          <w:tcPr>
            <w:tcW w:w="5660" w:type="dxa"/>
            <w:vAlign w:val="bottom"/>
          </w:tcPr>
          <w:p>
            <w:pPr>
              <w:spacing w:after="0"/>
              <w:rPr>
                <w:sz w:val="20"/>
                <w:szCs w:val="20"/>
                <w:color w:val="auto"/>
              </w:rPr>
            </w:pPr>
            <w:r>
              <w:rPr>
                <w:rFonts w:ascii="Arial" w:cs="Arial" w:eastAsia="Arial" w:hAnsi="Arial"/>
                <w:sz w:val="20"/>
                <w:szCs w:val="20"/>
                <w:b w:val="1"/>
                <w:bCs w:val="1"/>
                <w:color w:val="auto"/>
              </w:rPr>
              <w:t>Nature of interest</w:t>
            </w:r>
          </w:p>
        </w:tc>
        <w:tc>
          <w:tcPr>
            <w:tcW w:w="5360" w:type="dxa"/>
            <w:vAlign w:val="bottom"/>
          </w:tcPr>
          <w:p>
            <w:pPr>
              <w:ind w:left="1060"/>
              <w:spacing w:after="0"/>
              <w:rPr>
                <w:sz w:val="20"/>
                <w:szCs w:val="20"/>
                <w:color w:val="auto"/>
              </w:rPr>
            </w:pPr>
            <w:r>
              <w:rPr>
                <w:rFonts w:ascii="Arial" w:cs="Arial" w:eastAsia="Arial" w:hAnsi="Arial"/>
                <w:sz w:val="18"/>
                <w:szCs w:val="18"/>
                <w:color w:val="auto"/>
              </w:rPr>
              <w:t>N/A</w:t>
            </w:r>
          </w:p>
        </w:tc>
      </w:tr>
      <w:tr>
        <w:trPr>
          <w:trHeight w:val="338"/>
        </w:trPr>
        <w:tc>
          <w:tcPr>
            <w:tcW w:w="5660" w:type="dxa"/>
            <w:vAlign w:val="bottom"/>
          </w:tcPr>
          <w:p>
            <w:pPr>
              <w:spacing w:after="0"/>
              <w:rPr>
                <w:sz w:val="20"/>
                <w:szCs w:val="20"/>
                <w:color w:val="auto"/>
              </w:rPr>
            </w:pPr>
            <w:r>
              <w:rPr>
                <w:rFonts w:ascii="Arial" w:cs="Arial" w:eastAsia="Arial" w:hAnsi="Arial"/>
                <w:sz w:val="20"/>
                <w:szCs w:val="20"/>
                <w:b w:val="1"/>
                <w:bCs w:val="1"/>
                <w:color w:val="auto"/>
              </w:rPr>
              <w:t>Name of registered holder (if issued securities)</w:t>
            </w:r>
          </w:p>
        </w:tc>
        <w:tc>
          <w:tcPr>
            <w:tcW w:w="5360" w:type="dxa"/>
            <w:vAlign w:val="bottom"/>
          </w:tcPr>
          <w:p>
            <w:pPr>
              <w:ind w:left="1060"/>
              <w:spacing w:after="0"/>
              <w:rPr>
                <w:sz w:val="20"/>
                <w:szCs w:val="20"/>
                <w:color w:val="auto"/>
              </w:rPr>
            </w:pPr>
            <w:r>
              <w:rPr>
                <w:rFonts w:ascii="Arial" w:cs="Arial" w:eastAsia="Arial" w:hAnsi="Arial"/>
                <w:sz w:val="18"/>
                <w:szCs w:val="18"/>
                <w:color w:val="auto"/>
              </w:rPr>
              <w:t>N/A</w:t>
            </w:r>
          </w:p>
        </w:tc>
      </w:tr>
      <w:tr>
        <w:trPr>
          <w:trHeight w:val="338"/>
        </w:trPr>
        <w:tc>
          <w:tcPr>
            <w:tcW w:w="5660" w:type="dxa"/>
            <w:vAlign w:val="bottom"/>
          </w:tcPr>
          <w:p>
            <w:pPr>
              <w:spacing w:after="0"/>
              <w:rPr>
                <w:sz w:val="20"/>
                <w:szCs w:val="20"/>
                <w:color w:val="auto"/>
              </w:rPr>
            </w:pPr>
            <w:r>
              <w:rPr>
                <w:rFonts w:ascii="Arial" w:cs="Arial" w:eastAsia="Arial" w:hAnsi="Arial"/>
                <w:sz w:val="20"/>
                <w:szCs w:val="20"/>
                <w:b w:val="1"/>
                <w:bCs w:val="1"/>
                <w:color w:val="auto"/>
              </w:rPr>
              <w:t>Date of change</w:t>
            </w:r>
          </w:p>
        </w:tc>
        <w:tc>
          <w:tcPr>
            <w:tcW w:w="5360" w:type="dxa"/>
            <w:vAlign w:val="bottom"/>
          </w:tcPr>
          <w:p>
            <w:pPr>
              <w:ind w:left="1060"/>
              <w:spacing w:after="0"/>
              <w:rPr>
                <w:sz w:val="20"/>
                <w:szCs w:val="20"/>
                <w:color w:val="auto"/>
              </w:rPr>
            </w:pPr>
            <w:r>
              <w:rPr>
                <w:rFonts w:ascii="Arial" w:cs="Arial" w:eastAsia="Arial" w:hAnsi="Arial"/>
                <w:sz w:val="18"/>
                <w:szCs w:val="18"/>
                <w:color w:val="auto"/>
              </w:rPr>
              <w:t>N/A</w:t>
            </w:r>
          </w:p>
        </w:tc>
      </w:tr>
      <w:tr>
        <w:trPr>
          <w:trHeight w:val="338"/>
        </w:trPr>
        <w:tc>
          <w:tcPr>
            <w:tcW w:w="5660" w:type="dxa"/>
            <w:vAlign w:val="bottom"/>
          </w:tcPr>
          <w:p>
            <w:pPr>
              <w:spacing w:after="0"/>
              <w:rPr>
                <w:sz w:val="20"/>
                <w:szCs w:val="20"/>
                <w:color w:val="auto"/>
              </w:rPr>
            </w:pPr>
            <w:r>
              <w:rPr>
                <w:rFonts w:ascii="Arial" w:cs="Arial" w:eastAsia="Arial" w:hAnsi="Arial"/>
                <w:sz w:val="20"/>
                <w:szCs w:val="20"/>
                <w:b w:val="1"/>
                <w:bCs w:val="1"/>
                <w:color w:val="auto"/>
                <w:w w:val="88"/>
              </w:rPr>
              <w:t>No. and class of securities to which interest related prior to change</w:t>
            </w:r>
          </w:p>
        </w:tc>
        <w:tc>
          <w:tcPr>
            <w:tcW w:w="5360" w:type="dxa"/>
            <w:vAlign w:val="bottom"/>
          </w:tcPr>
          <w:p>
            <w:pPr>
              <w:ind w:left="1060"/>
              <w:spacing w:after="0"/>
              <w:rPr>
                <w:sz w:val="20"/>
                <w:szCs w:val="20"/>
                <w:color w:val="auto"/>
              </w:rPr>
            </w:pPr>
            <w:r>
              <w:rPr>
                <w:rFonts w:ascii="Arial" w:cs="Arial" w:eastAsia="Arial" w:hAnsi="Arial"/>
                <w:sz w:val="18"/>
                <w:szCs w:val="18"/>
                <w:color w:val="auto"/>
              </w:rPr>
              <w:t>N/A</w:t>
            </w:r>
          </w:p>
        </w:tc>
      </w:tr>
      <w:tr>
        <w:trPr>
          <w:trHeight w:val="333"/>
        </w:trPr>
        <w:tc>
          <w:tcPr>
            <w:tcW w:w="11020" w:type="dxa"/>
            <w:vAlign w:val="bottom"/>
            <w:gridSpan w:val="2"/>
          </w:tcPr>
          <w:p>
            <w:pPr>
              <w:spacing w:after="0"/>
              <w:rPr>
                <w:sz w:val="20"/>
                <w:szCs w:val="20"/>
                <w:color w:val="auto"/>
              </w:rPr>
            </w:pPr>
            <w:r>
              <w:rPr>
                <w:rFonts w:ascii="Arial" w:cs="Arial" w:eastAsia="Arial" w:hAnsi="Arial"/>
                <w:sz w:val="18"/>
                <w:szCs w:val="18"/>
                <w:color w:val="auto"/>
              </w:rPr>
              <w:t>Note: Details are only required for a contract in relation to which the interest has changed</w:t>
            </w:r>
          </w:p>
        </w:tc>
      </w:tr>
      <w:tr>
        <w:trPr>
          <w:trHeight w:val="355"/>
        </w:trPr>
        <w:tc>
          <w:tcPr>
            <w:tcW w:w="5660" w:type="dxa"/>
            <w:vAlign w:val="bottom"/>
          </w:tcPr>
          <w:p>
            <w:pPr>
              <w:spacing w:after="0"/>
              <w:rPr>
                <w:sz w:val="20"/>
                <w:szCs w:val="20"/>
                <w:color w:val="auto"/>
              </w:rPr>
            </w:pPr>
            <w:r>
              <w:rPr>
                <w:rFonts w:ascii="Arial" w:cs="Arial" w:eastAsia="Arial" w:hAnsi="Arial"/>
                <w:sz w:val="20"/>
                <w:szCs w:val="20"/>
                <w:b w:val="1"/>
                <w:bCs w:val="1"/>
                <w:color w:val="auto"/>
              </w:rPr>
              <w:t>Interest acquired</w:t>
            </w:r>
          </w:p>
        </w:tc>
        <w:tc>
          <w:tcPr>
            <w:tcW w:w="5360" w:type="dxa"/>
            <w:vAlign w:val="bottom"/>
          </w:tcPr>
          <w:p>
            <w:pPr>
              <w:ind w:left="1060"/>
              <w:spacing w:after="0"/>
              <w:rPr>
                <w:sz w:val="20"/>
                <w:szCs w:val="20"/>
                <w:color w:val="auto"/>
              </w:rPr>
            </w:pPr>
            <w:r>
              <w:rPr>
                <w:rFonts w:ascii="Arial" w:cs="Arial" w:eastAsia="Arial" w:hAnsi="Arial"/>
                <w:sz w:val="18"/>
                <w:szCs w:val="18"/>
                <w:color w:val="auto"/>
              </w:rPr>
              <w:t>N/A</w:t>
            </w:r>
          </w:p>
        </w:tc>
      </w:tr>
      <w:tr>
        <w:trPr>
          <w:trHeight w:val="338"/>
        </w:trPr>
        <w:tc>
          <w:tcPr>
            <w:tcW w:w="5660" w:type="dxa"/>
            <w:vAlign w:val="bottom"/>
          </w:tcPr>
          <w:p>
            <w:pPr>
              <w:spacing w:after="0"/>
              <w:rPr>
                <w:sz w:val="20"/>
                <w:szCs w:val="20"/>
                <w:color w:val="auto"/>
              </w:rPr>
            </w:pPr>
            <w:r>
              <w:rPr>
                <w:rFonts w:ascii="Arial" w:cs="Arial" w:eastAsia="Arial" w:hAnsi="Arial"/>
                <w:sz w:val="20"/>
                <w:szCs w:val="20"/>
                <w:b w:val="1"/>
                <w:bCs w:val="1"/>
                <w:color w:val="auto"/>
              </w:rPr>
              <w:t>Interest disposed</w:t>
            </w:r>
          </w:p>
        </w:tc>
        <w:tc>
          <w:tcPr>
            <w:tcW w:w="5360" w:type="dxa"/>
            <w:vAlign w:val="bottom"/>
          </w:tcPr>
          <w:p>
            <w:pPr>
              <w:ind w:left="1060"/>
              <w:spacing w:after="0"/>
              <w:rPr>
                <w:sz w:val="20"/>
                <w:szCs w:val="20"/>
                <w:color w:val="auto"/>
              </w:rPr>
            </w:pPr>
            <w:r>
              <w:rPr>
                <w:rFonts w:ascii="Arial" w:cs="Arial" w:eastAsia="Arial" w:hAnsi="Arial"/>
                <w:sz w:val="18"/>
                <w:szCs w:val="18"/>
                <w:color w:val="auto"/>
              </w:rPr>
              <w:t>N/A</w:t>
            </w:r>
          </w:p>
        </w:tc>
      </w:tr>
      <w:tr>
        <w:trPr>
          <w:trHeight w:val="337"/>
        </w:trPr>
        <w:tc>
          <w:tcPr>
            <w:tcW w:w="5660" w:type="dxa"/>
            <w:vAlign w:val="bottom"/>
          </w:tcPr>
          <w:p>
            <w:pPr>
              <w:spacing w:after="0"/>
              <w:rPr>
                <w:sz w:val="20"/>
                <w:szCs w:val="20"/>
                <w:color w:val="auto"/>
              </w:rPr>
            </w:pPr>
            <w:r>
              <w:rPr>
                <w:rFonts w:ascii="Arial" w:cs="Arial" w:eastAsia="Arial" w:hAnsi="Arial"/>
                <w:sz w:val="20"/>
                <w:szCs w:val="20"/>
                <w:b w:val="1"/>
                <w:bCs w:val="1"/>
                <w:color w:val="auto"/>
              </w:rPr>
              <w:t>Value/Consideration</w:t>
            </w:r>
          </w:p>
        </w:tc>
        <w:tc>
          <w:tcPr>
            <w:tcW w:w="5360" w:type="dxa"/>
            <w:vAlign w:val="bottom"/>
          </w:tcPr>
          <w:p>
            <w:pPr>
              <w:ind w:left="1060"/>
              <w:spacing w:after="0"/>
              <w:rPr>
                <w:sz w:val="20"/>
                <w:szCs w:val="20"/>
                <w:color w:val="auto"/>
              </w:rPr>
            </w:pPr>
            <w:r>
              <w:rPr>
                <w:rFonts w:ascii="Arial" w:cs="Arial" w:eastAsia="Arial" w:hAnsi="Arial"/>
                <w:sz w:val="18"/>
                <w:szCs w:val="18"/>
                <w:color w:val="auto"/>
              </w:rPr>
              <w:t>N/A</w:t>
            </w:r>
          </w:p>
        </w:tc>
      </w:tr>
      <w:tr>
        <w:trPr>
          <w:trHeight w:val="334"/>
        </w:trPr>
        <w:tc>
          <w:tcPr>
            <w:tcW w:w="5660" w:type="dxa"/>
            <w:vAlign w:val="bottom"/>
          </w:tcPr>
          <w:p>
            <w:pPr>
              <w:spacing w:after="0"/>
              <w:rPr>
                <w:sz w:val="20"/>
                <w:szCs w:val="20"/>
                <w:color w:val="auto"/>
              </w:rPr>
            </w:pPr>
            <w:r>
              <w:rPr>
                <w:rFonts w:ascii="Arial" w:cs="Arial" w:eastAsia="Arial" w:hAnsi="Arial"/>
                <w:sz w:val="18"/>
                <w:szCs w:val="18"/>
                <w:color w:val="auto"/>
                <w:w w:val="91"/>
              </w:rPr>
              <w:t>Note: If consideration is non-cash, provide details and an estimated valuation</w:t>
            </w:r>
          </w:p>
        </w:tc>
        <w:tc>
          <w:tcPr>
            <w:tcW w:w="5360" w:type="dxa"/>
            <w:vAlign w:val="bottom"/>
          </w:tcPr>
          <w:p>
            <w:pPr>
              <w:spacing w:after="0"/>
              <w:rPr>
                <w:sz w:val="24"/>
                <w:szCs w:val="24"/>
                <w:color w:val="auto"/>
              </w:rPr>
            </w:pPr>
          </w:p>
        </w:tc>
      </w:tr>
      <w:tr>
        <w:trPr>
          <w:trHeight w:val="355"/>
        </w:trPr>
        <w:tc>
          <w:tcPr>
            <w:tcW w:w="5660" w:type="dxa"/>
            <w:vAlign w:val="bottom"/>
          </w:tcPr>
          <w:p>
            <w:pPr>
              <w:spacing w:after="0"/>
              <w:rPr>
                <w:sz w:val="20"/>
                <w:szCs w:val="20"/>
                <w:color w:val="auto"/>
              </w:rPr>
            </w:pPr>
            <w:r>
              <w:rPr>
                <w:rFonts w:ascii="Arial" w:cs="Arial" w:eastAsia="Arial" w:hAnsi="Arial"/>
                <w:sz w:val="20"/>
                <w:szCs w:val="20"/>
                <w:b w:val="1"/>
                <w:bCs w:val="1"/>
                <w:color w:val="auto"/>
              </w:rPr>
              <w:t>Interest after change</w:t>
            </w:r>
          </w:p>
        </w:tc>
        <w:tc>
          <w:tcPr>
            <w:tcW w:w="5360" w:type="dxa"/>
            <w:vAlign w:val="bottom"/>
          </w:tcPr>
          <w:p>
            <w:pPr>
              <w:ind w:left="1060"/>
              <w:spacing w:after="0"/>
              <w:rPr>
                <w:sz w:val="20"/>
                <w:szCs w:val="20"/>
                <w:color w:val="auto"/>
              </w:rPr>
            </w:pPr>
            <w:r>
              <w:rPr>
                <w:rFonts w:ascii="Arial" w:cs="Arial" w:eastAsia="Arial" w:hAnsi="Arial"/>
                <w:sz w:val="18"/>
                <w:szCs w:val="18"/>
                <w:color w:val="auto"/>
              </w:rPr>
              <w:t>N/A</w:t>
            </w:r>
          </w:p>
        </w:tc>
      </w:tr>
      <w:tr>
        <w:trPr>
          <w:trHeight w:val="428"/>
        </w:trPr>
        <w:tc>
          <w:tcPr>
            <w:tcW w:w="5660" w:type="dxa"/>
            <w:vAlign w:val="bottom"/>
          </w:tcPr>
          <w:p>
            <w:pPr>
              <w:spacing w:after="0"/>
              <w:rPr>
                <w:sz w:val="20"/>
                <w:szCs w:val="20"/>
                <w:color w:val="auto"/>
              </w:rPr>
            </w:pPr>
            <w:r>
              <w:rPr>
                <w:rFonts w:ascii="Arial" w:cs="Arial" w:eastAsia="Arial" w:hAnsi="Arial"/>
                <w:sz w:val="18"/>
                <w:szCs w:val="18"/>
                <w:b w:val="1"/>
                <w:bCs w:val="1"/>
                <w:color w:val="auto"/>
              </w:rPr>
              <w:t xml:space="preserve">Part 3 - </w:t>
            </w:r>
            <w:r>
              <w:rPr>
                <w:rFonts w:ascii="Arial" w:cs="Arial" w:eastAsia="Arial" w:hAnsi="Arial"/>
                <w:sz w:val="15"/>
                <w:szCs w:val="15"/>
                <w:color w:val="auto"/>
              </w:rPr>
              <w:t>+</w:t>
            </w:r>
            <w:r>
              <w:rPr>
                <w:rFonts w:ascii="Arial" w:cs="Arial" w:eastAsia="Arial" w:hAnsi="Arial"/>
                <w:sz w:val="18"/>
                <w:szCs w:val="18"/>
                <w:b w:val="1"/>
                <w:bCs w:val="1"/>
                <w:color w:val="auto"/>
              </w:rPr>
              <w:t>Closed period</w:t>
            </w:r>
          </w:p>
        </w:tc>
        <w:tc>
          <w:tcPr>
            <w:tcW w:w="5360" w:type="dxa"/>
            <w:vAlign w:val="bottom"/>
          </w:tcPr>
          <w:p>
            <w:pPr>
              <w:spacing w:after="0"/>
              <w:rPr>
                <w:sz w:val="24"/>
                <w:szCs w:val="24"/>
                <w:color w:val="auto"/>
              </w:rPr>
            </w:pPr>
          </w:p>
        </w:tc>
      </w:tr>
      <w:tr>
        <w:trPr>
          <w:trHeight w:val="441"/>
        </w:trPr>
        <w:tc>
          <w:tcPr>
            <w:tcW w:w="5660" w:type="dxa"/>
            <w:vAlign w:val="bottom"/>
          </w:tcPr>
          <w:p>
            <w:pPr>
              <w:spacing w:after="0"/>
              <w:rPr>
                <w:sz w:val="20"/>
                <w:szCs w:val="20"/>
                <w:color w:val="auto"/>
              </w:rPr>
            </w:pPr>
            <w:r>
              <w:rPr>
                <w:rFonts w:ascii="Arial" w:cs="Arial" w:eastAsia="Arial" w:hAnsi="Arial"/>
                <w:sz w:val="18"/>
                <w:szCs w:val="18"/>
                <w:b w:val="1"/>
                <w:bCs w:val="1"/>
                <w:color w:val="auto"/>
                <w:w w:val="94"/>
              </w:rPr>
              <w:t>Were the interests in the securities or contracts detailed above traded</w:t>
            </w:r>
          </w:p>
        </w:tc>
        <w:tc>
          <w:tcPr>
            <w:tcW w:w="536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w w:val="96"/>
              </w:rPr>
              <w:t xml:space="preserve">during a </w:t>
            </w:r>
            <w:r>
              <w:rPr>
                <w:rFonts w:ascii="Arial" w:cs="Arial" w:eastAsia="Arial" w:hAnsi="Arial"/>
                <w:sz w:val="15"/>
                <w:szCs w:val="15"/>
                <w:b w:val="1"/>
                <w:bCs w:val="1"/>
                <w:color w:val="auto"/>
                <w:w w:val="96"/>
              </w:rPr>
              <w:t>+</w:t>
            </w:r>
            <w:r>
              <w:rPr>
                <w:rFonts w:ascii="Arial" w:cs="Arial" w:eastAsia="Arial" w:hAnsi="Arial"/>
                <w:sz w:val="18"/>
                <w:szCs w:val="18"/>
                <w:b w:val="1"/>
                <w:bCs w:val="1"/>
                <w:color w:val="auto"/>
                <w:w w:val="96"/>
              </w:rPr>
              <w:t>closed period where prior written clearance was required?</w:t>
            </w:r>
          </w:p>
        </w:tc>
        <w:tc>
          <w:tcPr>
            <w:tcW w:w="5360" w:type="dxa"/>
            <w:vAlign w:val="bottom"/>
          </w:tcPr>
          <w:p>
            <w:pPr>
              <w:spacing w:after="0"/>
              <w:rPr>
                <w:sz w:val="20"/>
                <w:szCs w:val="20"/>
                <w:color w:val="auto"/>
              </w:rPr>
            </w:pPr>
          </w:p>
        </w:tc>
      </w:tr>
      <w:tr>
        <w:trPr>
          <w:trHeight w:val="306"/>
        </w:trPr>
        <w:tc>
          <w:tcPr>
            <w:tcW w:w="5660" w:type="dxa"/>
            <w:vAlign w:val="bottom"/>
          </w:tcPr>
          <w:p>
            <w:pPr>
              <w:spacing w:after="0"/>
              <w:rPr>
                <w:sz w:val="20"/>
                <w:szCs w:val="20"/>
                <w:color w:val="auto"/>
              </w:rPr>
            </w:pPr>
            <w:r>
              <w:rPr>
                <w:rFonts w:ascii="Arial" w:cs="Arial" w:eastAsia="Arial" w:hAnsi="Arial"/>
                <w:sz w:val="18"/>
                <w:szCs w:val="18"/>
                <w:b w:val="1"/>
                <w:bCs w:val="1"/>
                <w:color w:val="auto"/>
                <w:w w:val="92"/>
              </w:rPr>
              <w:t>If so, was prior written clearance provided to allow the trade to proceed</w:t>
            </w:r>
          </w:p>
        </w:tc>
        <w:tc>
          <w:tcPr>
            <w:tcW w:w="536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during this period?</w:t>
            </w:r>
          </w:p>
        </w:tc>
        <w:tc>
          <w:tcPr>
            <w:tcW w:w="5360" w:type="dxa"/>
            <w:vAlign w:val="bottom"/>
          </w:tcPr>
          <w:p>
            <w:pPr>
              <w:spacing w:after="0"/>
              <w:rPr>
                <w:sz w:val="20"/>
                <w:szCs w:val="20"/>
                <w:color w:val="auto"/>
              </w:rPr>
            </w:pPr>
          </w:p>
        </w:tc>
      </w:tr>
      <w:tr>
        <w:trPr>
          <w:trHeight w:val="324"/>
        </w:trPr>
        <w:tc>
          <w:tcPr>
            <w:tcW w:w="110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If prior written clearance was provided, on what date was this provided?  </w:t>
            </w:r>
            <w:r>
              <w:rPr>
                <w:rFonts w:ascii="Arial" w:cs="Arial" w:eastAsia="Arial" w:hAnsi="Arial"/>
                <w:sz w:val="18"/>
                <w:szCs w:val="18"/>
                <w:color w:val="auto"/>
              </w:rPr>
              <w:t>N/A</w:t>
            </w:r>
          </w:p>
        </w:tc>
      </w:tr>
      <w:tr>
        <w:trPr>
          <w:trHeight w:val="162"/>
        </w:trPr>
        <w:tc>
          <w:tcPr>
            <w:tcW w:w="5660" w:type="dxa"/>
            <w:vAlign w:val="bottom"/>
            <w:tcBorders>
              <w:bottom w:val="single" w:sz="8" w:color="auto"/>
            </w:tcBorders>
          </w:tcPr>
          <w:p>
            <w:pPr>
              <w:spacing w:after="0"/>
              <w:rPr>
                <w:sz w:val="14"/>
                <w:szCs w:val="14"/>
                <w:color w:val="auto"/>
              </w:rPr>
            </w:pPr>
          </w:p>
        </w:tc>
        <w:tc>
          <w:tcPr>
            <w:tcW w:w="5360" w:type="dxa"/>
            <w:vAlign w:val="bottom"/>
            <w:tcBorders>
              <w:bottom w:val="single" w:sz="8" w:color="auto"/>
            </w:tcBorders>
          </w:tcPr>
          <w:p>
            <w:pPr>
              <w:spacing w:after="0"/>
              <w:rPr>
                <w:sz w:val="14"/>
                <w:szCs w:val="14"/>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 See chapter 19 for defined terms.</w:t>
            </w:r>
          </w:p>
        </w:tc>
        <w:tc>
          <w:tcPr>
            <w:tcW w:w="5360" w:type="dxa"/>
            <w:vAlign w:val="bottom"/>
          </w:tcPr>
          <w:p>
            <w:pPr>
              <w:spacing w:after="0"/>
              <w:rPr>
                <w:sz w:val="20"/>
                <w:szCs w:val="20"/>
                <w:color w:val="auto"/>
              </w:rPr>
            </w:pP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Appendix 3Y Page 2</w:t>
            </w:r>
          </w:p>
        </w:tc>
        <w:tc>
          <w:tcPr>
            <w:tcW w:w="5360" w:type="dxa"/>
            <w:vAlign w:val="bottom"/>
          </w:tcPr>
          <w:p>
            <w:pPr>
              <w:ind w:left="4540"/>
              <w:spacing w:after="0"/>
              <w:rPr>
                <w:sz w:val="20"/>
                <w:szCs w:val="20"/>
                <w:color w:val="auto"/>
              </w:rPr>
            </w:pPr>
            <w:r>
              <w:rPr>
                <w:rFonts w:ascii="Arial" w:cs="Arial" w:eastAsia="Arial" w:hAnsi="Arial"/>
                <w:sz w:val="18"/>
                <w:szCs w:val="18"/>
                <w:color w:val="auto"/>
                <w:w w:val="88"/>
              </w:rPr>
              <w:t>01/01/2011</w:t>
            </w:r>
          </w:p>
        </w:tc>
      </w:tr>
    </w:tbl>
    <w:p>
      <w:pPr>
        <w:sectPr>
          <w:pgSz w:w="11900" w:h="16838" w:orient="portrait"/>
          <w:cols w:equalWidth="0" w:num="1">
            <w:col w:w="11020"/>
          </w:cols>
          <w:pgMar w:left="440" w:top="270" w:right="4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3Y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Rule 3.19A.2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3Y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Introduced 30/09/01 Amended 01/01/11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entity: Opthea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ABN 32 006 340 567</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(the entity) give ASX the following information under listing rule 3.19A.2 and as agent for the director for the purposes of section 205G of the Corporations Act.</w:t>
      </w:r>
    </w:p>
    <w:p>
      <w:pPr>
        <w:sectPr>
          <w:pgSz w:w="11900" w:h="16838" w:orient="portrait"/>
          <w:cols w:equalWidth="0" w:num="1">
            <w:col w:w="11020"/>
          </w:cols>
          <w:pgMar w:left="440" w:top="121"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Director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Jeremy Levin</w:t>
      </w:r>
    </w:p>
    <w:p>
      <w:pPr>
        <w:spacing w:after="0" w:line="136"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Date of last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 October 2020</w:t>
      </w:r>
    </w:p>
    <w:p>
      <w:pPr>
        <w:spacing w:after="0" w:line="200"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Change of director’s relevant interests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case of a trust, this includes interests in the trust made available by the responsible entity of the trust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Note: In the case of a company, interests which come within paragraph (i) of the definition of “notifiable interest of a director” should be disclosed in this part.</w:t>
      </w:r>
    </w:p>
    <w:p>
      <w:pPr>
        <w:sectPr>
          <w:pgSz w:w="11900" w:h="16838" w:orient="portrait"/>
          <w:cols w:equalWidth="0" w:num="1">
            <w:col w:w="11020"/>
          </w:cols>
          <w:pgMar w:left="440" w:top="121" w:right="43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 or indirect interest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Direct</w:t>
      </w:r>
    </w:p>
    <w:p>
      <w:pPr>
        <w:spacing w:after="0" w:line="136"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Nature of indirect interest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(including registered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w:t>
      </w:r>
    </w:p>
    <w:p>
      <w:pPr>
        <w:spacing w:after="0" w:line="357"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Note: Provide details of the circumstances giving rise to the relevant interest.</w:t>
      </w:r>
    </w:p>
    <w:p>
      <w:pPr>
        <w:sectPr>
          <w:pgSz w:w="11900" w:h="16838" w:orient="portrait"/>
          <w:cols w:equalWidth="0" w:num="1">
            <w:col w:w="11020"/>
          </w:cols>
          <w:pgMar w:left="440" w:top="121" w:right="4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of change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4280"/>
        <w:spacing w:after="0"/>
        <w:rPr>
          <w:sz w:val="20"/>
          <w:szCs w:val="20"/>
          <w:color w:val="auto"/>
        </w:rPr>
      </w:pPr>
      <w:r>
        <w:rPr>
          <w:rFonts w:ascii="Arial" w:cs="Arial" w:eastAsia="Arial" w:hAnsi="Arial"/>
          <w:sz w:val="16"/>
          <w:szCs w:val="16"/>
          <w:color w:val="auto"/>
        </w:rPr>
        <w:t>1 March 2021</w:t>
      </w:r>
    </w:p>
    <w:p>
      <w:pPr>
        <w:spacing w:after="0" w:line="136"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 of securities held prior to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Nil</w:t>
      </w:r>
    </w:p>
    <w:p>
      <w:pPr>
        <w:spacing w:after="0" w:line="113"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w:t>
      </w:r>
    </w:p>
    <w:p>
      <w:pPr>
        <w:spacing w:after="0" w:line="136"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Number 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3,000,000 unquoted options</w:t>
      </w:r>
    </w:p>
    <w:p>
      <w:pPr>
        <w:spacing w:after="0" w:line="136"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Number disposed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Nil</w:t>
      </w:r>
    </w:p>
    <w:p>
      <w:pPr>
        <w:spacing w:after="0" w:line="113"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Value/Consideration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Nil</w:t>
      </w:r>
    </w:p>
    <w:p>
      <w:pPr>
        <w:spacing w:after="0" w:line="131"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Note: If consideration is non-cash, provide details and estimated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ectPr>
          <w:pgSz w:w="11900" w:h="16838" w:orient="portrait"/>
          <w:cols w:equalWidth="0" w:num="1">
            <w:col w:w="11020"/>
          </w:cols>
          <w:pgMar w:left="440" w:top="121" w:right="4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01/01/2011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Appendix 3Y Page 1</w:t>
      </w:r>
    </w:p>
    <w:p>
      <w:pPr>
        <w:sectPr>
          <w:pgSz w:w="11900" w:h="16838" w:orient="portrait"/>
          <w:cols w:equalWidth="0" w:num="2">
            <w:col w:w="8780" w:space="720"/>
            <w:col w:w="1520"/>
          </w:cols>
          <w:pgMar w:left="440" w:top="121" w:right="4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3Y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No. of securities held after change</w:t>
      </w:r>
      <w:r>
        <w:rPr>
          <w:sz w:val="20"/>
          <w:szCs w:val="20"/>
          <w:color w:val="auto"/>
        </w:rPr>
        <w:tab/>
      </w:r>
      <w:r>
        <w:rPr>
          <w:rFonts w:ascii="Arial" w:cs="Arial" w:eastAsia="Arial" w:hAnsi="Arial"/>
          <w:sz w:val="16"/>
          <w:szCs w:val="16"/>
          <w:color w:val="auto"/>
        </w:rPr>
        <w:t>3,000,000 unquoted options to acquire fully paid ordinary shares at an</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exercise price of $2.026, expiring on 19 January 2025, granted under the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NED Plan.</w:t>
      </w:r>
    </w:p>
    <w:p>
      <w:pPr>
        <w:sectPr>
          <w:pgSz w:w="11900" w:h="16838" w:orient="portrait"/>
          <w:cols w:equalWidth="0" w:num="1">
            <w:col w:w="11020"/>
          </w:cols>
          <w:pgMar w:left="440" w:top="270" w:right="4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change</w:t>
      </w:r>
    </w:p>
    <w:p>
      <w:pPr>
        <w:spacing w:after="0" w:line="13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Example: on-market trade, off-market trade, exercise of options, issue of securities under dividend reinvestment plan, participation in buy-back</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Grant of unquoted options pursuant to the NED Plan.</w:t>
      </w:r>
    </w:p>
    <w:p>
      <w:pPr>
        <w:spacing w:after="0" w:line="877" w:lineRule="exact"/>
        <w:rPr>
          <w:sz w:val="20"/>
          <w:szCs w:val="20"/>
          <w:color w:val="auto"/>
        </w:rPr>
      </w:pPr>
    </w:p>
    <w:p>
      <w:pPr>
        <w:sectPr>
          <w:pgSz w:w="11900" w:h="16838" w:orient="portrait"/>
          <w:cols w:equalWidth="0" w:num="2">
            <w:col w:w="5220" w:space="520"/>
            <w:col w:w="5280"/>
          </w:cols>
          <w:pgMar w:left="440" w:top="270"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Change of director’s interests in contracts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Note: In the case of a company, interests which come within paragraph (ii) of the definition of “notifiable interest of a director” should be disclosed in this part.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40" w:type="dxa"/>
            <w:vAlign w:val="bottom"/>
          </w:tcPr>
          <w:p>
            <w:pPr>
              <w:spacing w:after="0"/>
              <w:rPr>
                <w:sz w:val="20"/>
                <w:szCs w:val="20"/>
                <w:color w:val="auto"/>
              </w:rPr>
            </w:pPr>
            <w:r>
              <w:rPr>
                <w:rFonts w:ascii="Arial" w:cs="Arial" w:eastAsia="Arial" w:hAnsi="Arial"/>
                <w:sz w:val="20"/>
                <w:szCs w:val="20"/>
                <w:b w:val="1"/>
                <w:bCs w:val="1"/>
                <w:color w:val="auto"/>
              </w:rPr>
              <w:t>Detail of contract</w:t>
            </w:r>
          </w:p>
        </w:tc>
        <w:tc>
          <w:tcPr>
            <w:tcW w:w="1180" w:type="dxa"/>
            <w:vAlign w:val="bottom"/>
          </w:tcPr>
          <w:p>
            <w:pPr>
              <w:ind w:left="18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2"/>
                <w:szCs w:val="22"/>
                <w:color w:val="auto"/>
              </w:rPr>
            </w:pPr>
          </w:p>
        </w:tc>
      </w:tr>
      <w:tr>
        <w:trPr>
          <w:trHeight w:val="338"/>
        </w:trPr>
        <w:tc>
          <w:tcPr>
            <w:tcW w:w="4440" w:type="dxa"/>
            <w:vAlign w:val="bottom"/>
          </w:tcPr>
          <w:p>
            <w:pPr>
              <w:spacing w:after="0"/>
              <w:rPr>
                <w:sz w:val="20"/>
                <w:szCs w:val="20"/>
                <w:color w:val="auto"/>
              </w:rPr>
            </w:pPr>
            <w:r>
              <w:rPr>
                <w:rFonts w:ascii="Arial" w:cs="Arial" w:eastAsia="Arial" w:hAnsi="Arial"/>
                <w:sz w:val="20"/>
                <w:szCs w:val="20"/>
                <w:b w:val="1"/>
                <w:bCs w:val="1"/>
                <w:color w:val="auto"/>
              </w:rPr>
              <w:t>Nature of interest</w:t>
            </w:r>
          </w:p>
        </w:tc>
        <w:tc>
          <w:tcPr>
            <w:tcW w:w="1180" w:type="dxa"/>
            <w:vAlign w:val="bottom"/>
          </w:tcPr>
          <w:p>
            <w:pPr>
              <w:ind w:left="18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38"/>
        </w:trPr>
        <w:tc>
          <w:tcPr>
            <w:tcW w:w="4440" w:type="dxa"/>
            <w:vAlign w:val="bottom"/>
          </w:tcPr>
          <w:p>
            <w:pPr>
              <w:spacing w:after="0"/>
              <w:rPr>
                <w:sz w:val="20"/>
                <w:szCs w:val="20"/>
                <w:color w:val="auto"/>
              </w:rPr>
            </w:pPr>
            <w:r>
              <w:rPr>
                <w:rFonts w:ascii="Arial" w:cs="Arial" w:eastAsia="Arial" w:hAnsi="Arial"/>
                <w:sz w:val="20"/>
                <w:szCs w:val="20"/>
                <w:b w:val="1"/>
                <w:bCs w:val="1"/>
                <w:color w:val="auto"/>
                <w:w w:val="98"/>
              </w:rPr>
              <w:t>Name of registered holder (if issued securities)</w:t>
            </w:r>
          </w:p>
        </w:tc>
        <w:tc>
          <w:tcPr>
            <w:tcW w:w="1180" w:type="dxa"/>
            <w:vAlign w:val="bottom"/>
          </w:tcPr>
          <w:p>
            <w:pPr>
              <w:ind w:left="18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38"/>
        </w:trPr>
        <w:tc>
          <w:tcPr>
            <w:tcW w:w="4440" w:type="dxa"/>
            <w:vAlign w:val="bottom"/>
          </w:tcPr>
          <w:p>
            <w:pPr>
              <w:spacing w:after="0"/>
              <w:rPr>
                <w:sz w:val="20"/>
                <w:szCs w:val="20"/>
                <w:color w:val="auto"/>
              </w:rPr>
            </w:pPr>
            <w:r>
              <w:rPr>
                <w:rFonts w:ascii="Arial" w:cs="Arial" w:eastAsia="Arial" w:hAnsi="Arial"/>
                <w:sz w:val="20"/>
                <w:szCs w:val="20"/>
                <w:b w:val="1"/>
                <w:bCs w:val="1"/>
                <w:color w:val="auto"/>
              </w:rPr>
              <w:t>Date of change</w:t>
            </w:r>
          </w:p>
        </w:tc>
        <w:tc>
          <w:tcPr>
            <w:tcW w:w="1180" w:type="dxa"/>
            <w:vAlign w:val="bottom"/>
          </w:tcPr>
          <w:p>
            <w:pPr>
              <w:ind w:left="18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11"/>
        </w:trPr>
        <w:tc>
          <w:tcPr>
            <w:tcW w:w="4440" w:type="dxa"/>
            <w:vAlign w:val="bottom"/>
          </w:tcPr>
          <w:p>
            <w:pPr>
              <w:spacing w:after="0"/>
              <w:rPr>
                <w:sz w:val="20"/>
                <w:szCs w:val="20"/>
                <w:color w:val="auto"/>
              </w:rPr>
            </w:pPr>
            <w:r>
              <w:rPr>
                <w:rFonts w:ascii="Arial" w:cs="Arial" w:eastAsia="Arial" w:hAnsi="Arial"/>
                <w:sz w:val="20"/>
                <w:szCs w:val="20"/>
                <w:b w:val="1"/>
                <w:bCs w:val="1"/>
                <w:color w:val="auto"/>
                <w:w w:val="90"/>
              </w:rPr>
              <w:t>No. and class of securities to which interest related</w:t>
            </w:r>
          </w:p>
        </w:tc>
        <w:tc>
          <w:tcPr>
            <w:tcW w:w="1180" w:type="dxa"/>
            <w:vAlign w:val="bottom"/>
          </w:tcPr>
          <w:p>
            <w:pPr>
              <w:ind w:left="18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256"/>
        </w:trPr>
        <w:tc>
          <w:tcPr>
            <w:tcW w:w="4440" w:type="dxa"/>
            <w:vAlign w:val="bottom"/>
          </w:tcPr>
          <w:p>
            <w:pPr>
              <w:spacing w:after="0"/>
              <w:rPr>
                <w:sz w:val="20"/>
                <w:szCs w:val="20"/>
                <w:color w:val="auto"/>
              </w:rPr>
            </w:pPr>
            <w:r>
              <w:rPr>
                <w:rFonts w:ascii="Arial" w:cs="Arial" w:eastAsia="Arial" w:hAnsi="Arial"/>
                <w:sz w:val="20"/>
                <w:szCs w:val="20"/>
                <w:b w:val="1"/>
                <w:bCs w:val="1"/>
                <w:color w:val="auto"/>
              </w:rPr>
              <w:t>prior to change</w:t>
            </w:r>
          </w:p>
        </w:tc>
        <w:tc>
          <w:tcPr>
            <w:tcW w:w="1180" w:type="dxa"/>
            <w:vAlign w:val="bottom"/>
          </w:tcPr>
          <w:p>
            <w:pPr>
              <w:spacing w:after="0"/>
              <w:rPr>
                <w:sz w:val="22"/>
                <w:szCs w:val="22"/>
                <w:color w:val="auto"/>
              </w:rPr>
            </w:pPr>
          </w:p>
        </w:tc>
        <w:tc>
          <w:tcPr>
            <w:tcW w:w="5400" w:type="dxa"/>
            <w:vAlign w:val="bottom"/>
          </w:tcPr>
          <w:p>
            <w:pPr>
              <w:spacing w:after="0"/>
              <w:rPr>
                <w:sz w:val="22"/>
                <w:szCs w:val="22"/>
                <w:color w:val="auto"/>
              </w:rPr>
            </w:pPr>
          </w:p>
        </w:tc>
      </w:tr>
      <w:tr>
        <w:trPr>
          <w:trHeight w:val="319"/>
        </w:trPr>
        <w:tc>
          <w:tcPr>
            <w:tcW w:w="4440" w:type="dxa"/>
            <w:vAlign w:val="bottom"/>
          </w:tcPr>
          <w:p>
            <w:pPr>
              <w:spacing w:after="0"/>
              <w:rPr>
                <w:sz w:val="20"/>
                <w:szCs w:val="20"/>
                <w:color w:val="auto"/>
              </w:rPr>
            </w:pPr>
            <w:r>
              <w:rPr>
                <w:rFonts w:ascii="Arial" w:cs="Arial" w:eastAsia="Arial" w:hAnsi="Arial"/>
                <w:sz w:val="18"/>
                <w:szCs w:val="18"/>
                <w:color w:val="auto"/>
                <w:w w:val="96"/>
              </w:rPr>
              <w:t>Note: Details are only required for a contract in relation to</w:t>
            </w:r>
          </w:p>
        </w:tc>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which the interest has changed</w:t>
            </w:r>
          </w:p>
        </w:tc>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355"/>
        </w:trPr>
        <w:tc>
          <w:tcPr>
            <w:tcW w:w="4440" w:type="dxa"/>
            <w:vAlign w:val="bottom"/>
          </w:tcPr>
          <w:p>
            <w:pPr>
              <w:spacing w:after="0"/>
              <w:rPr>
                <w:sz w:val="20"/>
                <w:szCs w:val="20"/>
                <w:color w:val="auto"/>
              </w:rPr>
            </w:pPr>
            <w:r>
              <w:rPr>
                <w:rFonts w:ascii="Arial" w:cs="Arial" w:eastAsia="Arial" w:hAnsi="Arial"/>
                <w:sz w:val="20"/>
                <w:szCs w:val="20"/>
                <w:b w:val="1"/>
                <w:bCs w:val="1"/>
                <w:color w:val="auto"/>
              </w:rPr>
              <w:t>Interest acquired</w:t>
            </w:r>
          </w:p>
        </w:tc>
        <w:tc>
          <w:tcPr>
            <w:tcW w:w="1180" w:type="dxa"/>
            <w:vAlign w:val="bottom"/>
          </w:tcPr>
          <w:p>
            <w:pPr>
              <w:ind w:left="18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38"/>
        </w:trPr>
        <w:tc>
          <w:tcPr>
            <w:tcW w:w="4440" w:type="dxa"/>
            <w:vAlign w:val="bottom"/>
          </w:tcPr>
          <w:p>
            <w:pPr>
              <w:spacing w:after="0"/>
              <w:rPr>
                <w:sz w:val="20"/>
                <w:szCs w:val="20"/>
                <w:color w:val="auto"/>
              </w:rPr>
            </w:pPr>
            <w:r>
              <w:rPr>
                <w:rFonts w:ascii="Arial" w:cs="Arial" w:eastAsia="Arial" w:hAnsi="Arial"/>
                <w:sz w:val="20"/>
                <w:szCs w:val="20"/>
                <w:b w:val="1"/>
                <w:bCs w:val="1"/>
                <w:color w:val="auto"/>
              </w:rPr>
              <w:t>Interest disposed</w:t>
            </w:r>
          </w:p>
        </w:tc>
        <w:tc>
          <w:tcPr>
            <w:tcW w:w="1180" w:type="dxa"/>
            <w:vAlign w:val="bottom"/>
          </w:tcPr>
          <w:p>
            <w:pPr>
              <w:ind w:left="18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38"/>
        </w:trPr>
        <w:tc>
          <w:tcPr>
            <w:tcW w:w="4440" w:type="dxa"/>
            <w:vAlign w:val="bottom"/>
          </w:tcPr>
          <w:p>
            <w:pPr>
              <w:spacing w:after="0"/>
              <w:rPr>
                <w:sz w:val="20"/>
                <w:szCs w:val="20"/>
                <w:color w:val="auto"/>
              </w:rPr>
            </w:pPr>
            <w:r>
              <w:rPr>
                <w:rFonts w:ascii="Arial" w:cs="Arial" w:eastAsia="Arial" w:hAnsi="Arial"/>
                <w:sz w:val="20"/>
                <w:szCs w:val="20"/>
                <w:b w:val="1"/>
                <w:bCs w:val="1"/>
                <w:color w:val="auto"/>
              </w:rPr>
              <w:t>Value/Consideration</w:t>
            </w:r>
          </w:p>
        </w:tc>
        <w:tc>
          <w:tcPr>
            <w:tcW w:w="1180" w:type="dxa"/>
            <w:vAlign w:val="bottom"/>
          </w:tcPr>
          <w:p>
            <w:pPr>
              <w:ind w:left="18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19"/>
        </w:trPr>
        <w:tc>
          <w:tcPr>
            <w:tcW w:w="4440" w:type="dxa"/>
            <w:vAlign w:val="bottom"/>
          </w:tcPr>
          <w:p>
            <w:pPr>
              <w:spacing w:after="0"/>
              <w:rPr>
                <w:sz w:val="20"/>
                <w:szCs w:val="20"/>
                <w:color w:val="auto"/>
              </w:rPr>
            </w:pPr>
            <w:r>
              <w:rPr>
                <w:rFonts w:ascii="Arial" w:cs="Arial" w:eastAsia="Arial" w:hAnsi="Arial"/>
                <w:sz w:val="18"/>
                <w:szCs w:val="18"/>
                <w:color w:val="auto"/>
                <w:w w:val="97"/>
              </w:rPr>
              <w:t>Note: If consideration is non-cash, provide details and an</w:t>
            </w:r>
          </w:p>
        </w:tc>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estimated valuation</w:t>
            </w:r>
          </w:p>
        </w:tc>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355"/>
        </w:trPr>
        <w:tc>
          <w:tcPr>
            <w:tcW w:w="4440" w:type="dxa"/>
            <w:vAlign w:val="bottom"/>
          </w:tcPr>
          <w:p>
            <w:pPr>
              <w:spacing w:after="0"/>
              <w:rPr>
                <w:sz w:val="20"/>
                <w:szCs w:val="20"/>
                <w:color w:val="auto"/>
              </w:rPr>
            </w:pPr>
            <w:r>
              <w:rPr>
                <w:rFonts w:ascii="Arial" w:cs="Arial" w:eastAsia="Arial" w:hAnsi="Arial"/>
                <w:sz w:val="20"/>
                <w:szCs w:val="20"/>
                <w:b w:val="1"/>
                <w:bCs w:val="1"/>
                <w:color w:val="auto"/>
              </w:rPr>
              <w:t>Interest after change</w:t>
            </w:r>
          </w:p>
        </w:tc>
        <w:tc>
          <w:tcPr>
            <w:tcW w:w="1180" w:type="dxa"/>
            <w:vAlign w:val="bottom"/>
          </w:tcPr>
          <w:p>
            <w:pPr>
              <w:ind w:left="18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536"/>
        </w:trPr>
        <w:tc>
          <w:tcPr>
            <w:tcW w:w="4440" w:type="dxa"/>
            <w:vAlign w:val="bottom"/>
          </w:tcPr>
          <w:p>
            <w:pPr>
              <w:spacing w:after="0"/>
              <w:rPr>
                <w:sz w:val="20"/>
                <w:szCs w:val="20"/>
                <w:color w:val="auto"/>
              </w:rPr>
            </w:pPr>
            <w:r>
              <w:rPr>
                <w:rFonts w:ascii="Arial" w:cs="Arial" w:eastAsia="Arial" w:hAnsi="Arial"/>
                <w:sz w:val="18"/>
                <w:szCs w:val="18"/>
                <w:b w:val="1"/>
                <w:bCs w:val="1"/>
                <w:color w:val="auto"/>
              </w:rPr>
              <w:t xml:space="preserve">Part 3 - </w:t>
            </w:r>
            <w:r>
              <w:rPr>
                <w:rFonts w:ascii="Arial" w:cs="Arial" w:eastAsia="Arial" w:hAnsi="Arial"/>
                <w:sz w:val="15"/>
                <w:szCs w:val="15"/>
                <w:color w:val="auto"/>
              </w:rPr>
              <w:t>+</w:t>
            </w:r>
            <w:r>
              <w:rPr>
                <w:rFonts w:ascii="Arial" w:cs="Arial" w:eastAsia="Arial" w:hAnsi="Arial"/>
                <w:sz w:val="18"/>
                <w:szCs w:val="18"/>
                <w:b w:val="1"/>
                <w:bCs w:val="1"/>
                <w:color w:val="auto"/>
              </w:rPr>
              <w:t>Closed period</w:t>
            </w:r>
          </w:p>
        </w:tc>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441"/>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w w:val="93"/>
              </w:rPr>
              <w:t>Were the interests in the securities or contracts detailed above traded</w:t>
            </w:r>
          </w:p>
        </w:tc>
        <w:tc>
          <w:tcPr>
            <w:tcW w:w="5400" w:type="dxa"/>
            <w:vAlign w:val="bottom"/>
          </w:tcPr>
          <w:p>
            <w:pPr>
              <w:ind w:left="120"/>
              <w:spacing w:after="0"/>
              <w:rPr>
                <w:sz w:val="20"/>
                <w:szCs w:val="20"/>
                <w:color w:val="auto"/>
              </w:rPr>
            </w:pPr>
            <w:r>
              <w:rPr>
                <w:rFonts w:ascii="Arial" w:cs="Arial" w:eastAsia="Arial" w:hAnsi="Arial"/>
                <w:sz w:val="18"/>
                <w:szCs w:val="18"/>
                <w:color w:val="auto"/>
              </w:rPr>
              <w:t>N/A</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w w:val="95"/>
              </w:rPr>
              <w:t xml:space="preserve">during a </w:t>
            </w:r>
            <w:r>
              <w:rPr>
                <w:rFonts w:ascii="Arial" w:cs="Arial" w:eastAsia="Arial" w:hAnsi="Arial"/>
                <w:sz w:val="15"/>
                <w:szCs w:val="15"/>
                <w:color w:val="auto"/>
                <w:w w:val="95"/>
              </w:rPr>
              <w:t>+</w:t>
            </w:r>
            <w:r>
              <w:rPr>
                <w:rFonts w:ascii="Arial" w:cs="Arial" w:eastAsia="Arial" w:hAnsi="Arial"/>
                <w:sz w:val="18"/>
                <w:szCs w:val="18"/>
                <w:b w:val="1"/>
                <w:bCs w:val="1"/>
                <w:color w:val="auto"/>
                <w:w w:val="95"/>
              </w:rPr>
              <w:t>closed period where prior written clearance was required?</w:t>
            </w:r>
          </w:p>
        </w:tc>
        <w:tc>
          <w:tcPr>
            <w:tcW w:w="5400" w:type="dxa"/>
            <w:vAlign w:val="bottom"/>
          </w:tcPr>
          <w:p>
            <w:pPr>
              <w:spacing w:after="0"/>
              <w:rPr>
                <w:sz w:val="20"/>
                <w:szCs w:val="20"/>
                <w:color w:val="auto"/>
              </w:rPr>
            </w:pPr>
          </w:p>
        </w:tc>
      </w:tr>
      <w:tr>
        <w:trPr>
          <w:trHeight w:val="30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w w:val="91"/>
              </w:rPr>
              <w:t>If so, was prior written clearance provided to allow the trade to proceed</w:t>
            </w:r>
          </w:p>
        </w:tc>
        <w:tc>
          <w:tcPr>
            <w:tcW w:w="5400" w:type="dxa"/>
            <w:vAlign w:val="bottom"/>
          </w:tcPr>
          <w:p>
            <w:pPr>
              <w:ind w:left="120"/>
              <w:spacing w:after="0"/>
              <w:rPr>
                <w:sz w:val="20"/>
                <w:szCs w:val="20"/>
                <w:color w:val="auto"/>
              </w:rPr>
            </w:pPr>
            <w:r>
              <w:rPr>
                <w:rFonts w:ascii="Arial" w:cs="Arial" w:eastAsia="Arial" w:hAnsi="Arial"/>
                <w:sz w:val="18"/>
                <w:szCs w:val="18"/>
                <w:color w:val="auto"/>
              </w:rPr>
              <w:t>N/A</w:t>
            </w:r>
          </w:p>
        </w:tc>
      </w:tr>
      <w:tr>
        <w:trPr>
          <w:trHeight w:val="234"/>
        </w:trPr>
        <w:tc>
          <w:tcPr>
            <w:tcW w:w="4440" w:type="dxa"/>
            <w:vAlign w:val="bottom"/>
          </w:tcPr>
          <w:p>
            <w:pPr>
              <w:spacing w:after="0"/>
              <w:rPr>
                <w:sz w:val="20"/>
                <w:szCs w:val="20"/>
                <w:color w:val="auto"/>
              </w:rPr>
            </w:pPr>
            <w:r>
              <w:rPr>
                <w:rFonts w:ascii="Arial" w:cs="Arial" w:eastAsia="Arial" w:hAnsi="Arial"/>
                <w:sz w:val="18"/>
                <w:szCs w:val="18"/>
                <w:b w:val="1"/>
                <w:bCs w:val="1"/>
                <w:color w:val="auto"/>
              </w:rPr>
              <w:t>during this period?</w:t>
            </w:r>
          </w:p>
        </w:tc>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324"/>
        </w:trPr>
        <w:tc>
          <w:tcPr>
            <w:tcW w:w="110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If prior written clearance was provided, on what date was this provided?  </w:t>
            </w:r>
            <w:r>
              <w:rPr>
                <w:rFonts w:ascii="Arial" w:cs="Arial" w:eastAsia="Arial" w:hAnsi="Arial"/>
                <w:sz w:val="18"/>
                <w:szCs w:val="18"/>
                <w:color w:val="auto"/>
              </w:rPr>
              <w:t>N/A</w:t>
            </w:r>
          </w:p>
        </w:tc>
      </w:tr>
      <w:tr>
        <w:trPr>
          <w:trHeight w:val="162"/>
        </w:trPr>
        <w:tc>
          <w:tcPr>
            <w:tcW w:w="4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tcPr>
          <w:p>
            <w:pPr>
              <w:spacing w:after="0"/>
              <w:rPr>
                <w:sz w:val="14"/>
                <w:szCs w:val="14"/>
                <w:color w:val="auto"/>
              </w:rPr>
            </w:pPr>
          </w:p>
        </w:tc>
      </w:tr>
      <w:tr>
        <w:trPr>
          <w:trHeight w:val="237"/>
        </w:trPr>
        <w:tc>
          <w:tcPr>
            <w:tcW w:w="4440" w:type="dxa"/>
            <w:vAlign w:val="bottom"/>
          </w:tcPr>
          <w:p>
            <w:pPr>
              <w:spacing w:after="0"/>
              <w:rPr>
                <w:sz w:val="20"/>
                <w:szCs w:val="20"/>
                <w:color w:val="auto"/>
              </w:rPr>
            </w:pPr>
            <w:r>
              <w:rPr>
                <w:rFonts w:ascii="Arial" w:cs="Arial" w:eastAsia="Arial" w:hAnsi="Arial"/>
                <w:sz w:val="18"/>
                <w:szCs w:val="18"/>
                <w:color w:val="auto"/>
              </w:rPr>
              <w:t>+ See chapter 19 for defined terms.</w:t>
            </w:r>
          </w:p>
        </w:tc>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Appendix 3Y Page 2</w:t>
            </w:r>
          </w:p>
        </w:tc>
        <w:tc>
          <w:tcPr>
            <w:tcW w:w="1180" w:type="dxa"/>
            <w:vAlign w:val="bottom"/>
          </w:tcPr>
          <w:p>
            <w:pPr>
              <w:spacing w:after="0"/>
              <w:rPr>
                <w:sz w:val="24"/>
                <w:szCs w:val="24"/>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01/01/2011</w:t>
            </w:r>
          </w:p>
        </w:tc>
      </w:tr>
    </w:tbl>
    <w:p>
      <w:pPr>
        <w:sectPr>
          <w:pgSz w:w="11900" w:h="16838" w:orient="portrait"/>
          <w:cols w:equalWidth="0" w:num="1">
            <w:col w:w="11020"/>
          </w:cols>
          <w:pgMar w:left="440" w:top="270" w:right="4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3Y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Rule 3.19A.2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3Y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Introduced 30/09/01 Amended 01/01/11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entity: Opthea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ABN 32 006 340 567</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(the entity) give ASX the following information under listing rule 3.19A.2 and as agent for the director for the purposes of section 205G of the Corporations Act.</w:t>
      </w:r>
    </w:p>
    <w:p>
      <w:pPr>
        <w:sectPr>
          <w:pgSz w:w="11900" w:h="16838" w:orient="portrait"/>
          <w:cols w:equalWidth="0" w:num="1">
            <w:col w:w="11020"/>
          </w:cols>
          <w:pgMar w:left="440" w:top="121" w:right="439" w:bottom="1440" w:gutter="0" w:footer="0" w:header="0"/>
        </w:sectPr>
      </w:pPr>
    </w:p>
    <w:p>
      <w:pPr>
        <w:spacing w:after="0" w:line="193" w:lineRule="exact"/>
        <w:rPr>
          <w:sz w:val="20"/>
          <w:szCs w:val="20"/>
          <w:color w:val="auto"/>
        </w:rPr>
      </w:pPr>
    </w:p>
    <w:p>
      <w:pPr>
        <w:jc w:val="both"/>
        <w:ind w:right="440"/>
        <w:spacing w:after="0" w:line="488" w:lineRule="auto"/>
        <w:rPr>
          <w:sz w:val="20"/>
          <w:szCs w:val="20"/>
          <w:color w:val="auto"/>
        </w:rPr>
      </w:pPr>
      <w:r>
        <w:rPr>
          <w:rFonts w:ascii="Arial" w:cs="Arial" w:eastAsia="Arial" w:hAnsi="Arial"/>
          <w:sz w:val="16"/>
          <w:szCs w:val="16"/>
          <w:b w:val="1"/>
          <w:bCs w:val="1"/>
          <w:color w:val="auto"/>
        </w:rPr>
        <w:t>Name of Director Date of last notice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Lawrence Gozlan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27 July 2020</w:t>
      </w:r>
    </w:p>
    <w:p>
      <w:pPr>
        <w:spacing w:after="0" w:line="221"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Part 1 - Change of director’s relevant interests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case of a trust, this includes interests in the trust made available by the responsible entity of the trust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Note: In the case of a company, interests which come within paragraph (i) of the definition of “notifiable interest of a director” should be disclosed in this part.</w:t>
      </w:r>
    </w:p>
    <w:p>
      <w:pPr>
        <w:sectPr>
          <w:pgSz w:w="11900" w:h="16838" w:orient="portrait"/>
          <w:cols w:equalWidth="0" w:num="1">
            <w:col w:w="11020"/>
          </w:cols>
          <w:pgMar w:left="440" w:top="121" w:right="43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or indirect interest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indirect interest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(including registered holder)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Indirect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Montoya Pty Ltd: Lawrence Gozlan is a majority shareholder.</w:t>
      </w:r>
    </w:p>
    <w:p>
      <w:pPr>
        <w:spacing w:after="0" w:line="369"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Note: Provide details of the circumstances giving rise to the relevant interest.</w:t>
      </w:r>
    </w:p>
    <w:p>
      <w:pPr>
        <w:sectPr>
          <w:pgSz w:w="11900" w:h="16838" w:orient="portrait"/>
          <w:cols w:equalWidth="0" w:num="1">
            <w:col w:w="11020"/>
          </w:cols>
          <w:pgMar w:left="440" w:top="121" w:right="4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change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of securities held prior to change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acquired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disposed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Value/Consideration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1 March 2021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1,877,357 ordinary shares fully paid.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2,000,000 unquoted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Nil</w:t>
      </w:r>
    </w:p>
    <w:p>
      <w:pPr>
        <w:spacing w:after="0" w:line="131"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Note: If consideration is non-cash, provide details and estimated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ectPr>
          <w:pgSz w:w="11900" w:h="16838" w:orient="portrait"/>
          <w:cols w:equalWidth="0" w:num="1">
            <w:col w:w="11020"/>
          </w:cols>
          <w:pgMar w:left="440" w:top="121" w:right="4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01/01/2011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Appendix 3Y Page 1</w:t>
      </w:r>
    </w:p>
    <w:p>
      <w:pPr>
        <w:sectPr>
          <w:pgSz w:w="11900" w:h="16838" w:orient="portrait"/>
          <w:cols w:equalWidth="0" w:num="2">
            <w:col w:w="8780" w:space="720"/>
            <w:col w:w="1520"/>
          </w:cols>
          <w:pgMar w:left="440" w:top="121" w:right="4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3Y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No. of securities held after change</w:t>
      </w:r>
      <w:r>
        <w:rPr>
          <w:sz w:val="20"/>
          <w:szCs w:val="20"/>
          <w:color w:val="auto"/>
        </w:rPr>
        <w:tab/>
      </w:r>
      <w:r>
        <w:rPr>
          <w:rFonts w:ascii="Arial" w:cs="Arial" w:eastAsia="Arial" w:hAnsi="Arial"/>
          <w:sz w:val="16"/>
          <w:szCs w:val="16"/>
          <w:color w:val="auto"/>
        </w:rPr>
        <w:t>1,877,357 ordinary shares fully paid.</w:t>
      </w:r>
    </w:p>
    <w:p>
      <w:pPr>
        <w:spacing w:after="0" w:line="1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2,000,000 unquoted options to acquire fully paid ordinary shares at an</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exercise price of $4.49, expiring on 11 October 2024, granted under the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NED Plan.</w:t>
      </w:r>
    </w:p>
    <w:p>
      <w:pPr>
        <w:sectPr>
          <w:pgSz w:w="11900" w:h="16838" w:orient="portrait"/>
          <w:cols w:equalWidth="0" w:num="1">
            <w:col w:w="11020"/>
          </w:cols>
          <w:pgMar w:left="440" w:top="270" w:right="4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change</w:t>
      </w:r>
    </w:p>
    <w:p>
      <w:pPr>
        <w:spacing w:after="0" w:line="2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Example: on-market trade, off-market trade, exercise of options, issue of securities under dividend reinvestment plan, participation in buy-back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Grant of unquoted options pursuant to the NED Plan.</w:t>
      </w:r>
    </w:p>
    <w:p>
      <w:pPr>
        <w:spacing w:after="0" w:line="741" w:lineRule="exact"/>
        <w:rPr>
          <w:sz w:val="20"/>
          <w:szCs w:val="20"/>
          <w:color w:val="auto"/>
        </w:rPr>
      </w:pPr>
    </w:p>
    <w:p>
      <w:pPr>
        <w:sectPr>
          <w:pgSz w:w="11900" w:h="16838" w:orient="portrait"/>
          <w:cols w:equalWidth="0" w:num="2">
            <w:col w:w="5220" w:space="520"/>
            <w:col w:w="5280"/>
          </w:cols>
          <w:pgMar w:left="440" w:top="270" w:right="4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Change of director’s interests in contracts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Note: In the case of a company, interests which come within paragraph (ii) of the definition of “notifiable interest of a director” should be disclosed in this part.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00" w:type="dxa"/>
            <w:vAlign w:val="bottom"/>
          </w:tcPr>
          <w:p>
            <w:pPr>
              <w:spacing w:after="0"/>
              <w:rPr>
                <w:sz w:val="20"/>
                <w:szCs w:val="20"/>
                <w:color w:val="auto"/>
              </w:rPr>
            </w:pPr>
            <w:r>
              <w:rPr>
                <w:rFonts w:ascii="Arial" w:cs="Arial" w:eastAsia="Arial" w:hAnsi="Arial"/>
                <w:sz w:val="20"/>
                <w:szCs w:val="20"/>
                <w:b w:val="1"/>
                <w:bCs w:val="1"/>
                <w:color w:val="auto"/>
              </w:rPr>
              <w:t>Detail of contract</w:t>
            </w:r>
          </w:p>
        </w:tc>
        <w:tc>
          <w:tcPr>
            <w:tcW w:w="1520" w:type="dxa"/>
            <w:vAlign w:val="bottom"/>
          </w:tcPr>
          <w:p>
            <w:pPr>
              <w:ind w:left="10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2"/>
                <w:szCs w:val="22"/>
                <w:color w:val="auto"/>
              </w:rPr>
            </w:pPr>
          </w:p>
        </w:tc>
      </w:tr>
      <w:tr>
        <w:trPr>
          <w:trHeight w:val="338"/>
        </w:trPr>
        <w:tc>
          <w:tcPr>
            <w:tcW w:w="4100" w:type="dxa"/>
            <w:vAlign w:val="bottom"/>
          </w:tcPr>
          <w:p>
            <w:pPr>
              <w:spacing w:after="0"/>
              <w:rPr>
                <w:sz w:val="20"/>
                <w:szCs w:val="20"/>
                <w:color w:val="auto"/>
              </w:rPr>
            </w:pPr>
            <w:r>
              <w:rPr>
                <w:rFonts w:ascii="Arial" w:cs="Arial" w:eastAsia="Arial" w:hAnsi="Arial"/>
                <w:sz w:val="20"/>
                <w:szCs w:val="20"/>
                <w:b w:val="1"/>
                <w:bCs w:val="1"/>
                <w:color w:val="auto"/>
              </w:rPr>
              <w:t>Nature of interest</w:t>
            </w:r>
          </w:p>
        </w:tc>
        <w:tc>
          <w:tcPr>
            <w:tcW w:w="1520" w:type="dxa"/>
            <w:vAlign w:val="bottom"/>
          </w:tcPr>
          <w:p>
            <w:pPr>
              <w:ind w:left="10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38"/>
        </w:trPr>
        <w:tc>
          <w:tcPr>
            <w:tcW w:w="4100" w:type="dxa"/>
            <w:vAlign w:val="bottom"/>
          </w:tcPr>
          <w:p>
            <w:pPr>
              <w:spacing w:after="0"/>
              <w:rPr>
                <w:sz w:val="20"/>
                <w:szCs w:val="20"/>
                <w:color w:val="auto"/>
              </w:rPr>
            </w:pPr>
            <w:r>
              <w:rPr>
                <w:rFonts w:ascii="Arial" w:cs="Arial" w:eastAsia="Arial" w:hAnsi="Arial"/>
                <w:sz w:val="20"/>
                <w:szCs w:val="20"/>
                <w:b w:val="1"/>
                <w:bCs w:val="1"/>
                <w:color w:val="auto"/>
                <w:w w:val="91"/>
              </w:rPr>
              <w:t>Name of registered holder (if issued securities)</w:t>
            </w:r>
          </w:p>
        </w:tc>
        <w:tc>
          <w:tcPr>
            <w:tcW w:w="1520" w:type="dxa"/>
            <w:vAlign w:val="bottom"/>
          </w:tcPr>
          <w:p>
            <w:pPr>
              <w:ind w:left="10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38"/>
        </w:trPr>
        <w:tc>
          <w:tcPr>
            <w:tcW w:w="4100" w:type="dxa"/>
            <w:vAlign w:val="bottom"/>
          </w:tcPr>
          <w:p>
            <w:pPr>
              <w:spacing w:after="0"/>
              <w:rPr>
                <w:sz w:val="20"/>
                <w:szCs w:val="20"/>
                <w:color w:val="auto"/>
              </w:rPr>
            </w:pPr>
            <w:r>
              <w:rPr>
                <w:rFonts w:ascii="Arial" w:cs="Arial" w:eastAsia="Arial" w:hAnsi="Arial"/>
                <w:sz w:val="20"/>
                <w:szCs w:val="20"/>
                <w:b w:val="1"/>
                <w:bCs w:val="1"/>
                <w:color w:val="auto"/>
              </w:rPr>
              <w:t>Date of change</w:t>
            </w:r>
          </w:p>
        </w:tc>
        <w:tc>
          <w:tcPr>
            <w:tcW w:w="1520" w:type="dxa"/>
            <w:vAlign w:val="bottom"/>
          </w:tcPr>
          <w:p>
            <w:pPr>
              <w:ind w:left="10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11"/>
        </w:trPr>
        <w:tc>
          <w:tcPr>
            <w:tcW w:w="4100" w:type="dxa"/>
            <w:vAlign w:val="bottom"/>
          </w:tcPr>
          <w:p>
            <w:pPr>
              <w:spacing w:after="0"/>
              <w:rPr>
                <w:sz w:val="20"/>
                <w:szCs w:val="20"/>
                <w:color w:val="auto"/>
              </w:rPr>
            </w:pPr>
            <w:r>
              <w:rPr>
                <w:rFonts w:ascii="Arial" w:cs="Arial" w:eastAsia="Arial" w:hAnsi="Arial"/>
                <w:sz w:val="20"/>
                <w:szCs w:val="20"/>
                <w:b w:val="1"/>
                <w:bCs w:val="1"/>
                <w:color w:val="auto"/>
                <w:w w:val="97"/>
              </w:rPr>
              <w:t>No. and class of securities to which interest</w:t>
            </w:r>
          </w:p>
        </w:tc>
        <w:tc>
          <w:tcPr>
            <w:tcW w:w="1520" w:type="dxa"/>
            <w:vAlign w:val="bottom"/>
          </w:tcPr>
          <w:p>
            <w:pPr>
              <w:ind w:left="10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256"/>
        </w:trPr>
        <w:tc>
          <w:tcPr>
            <w:tcW w:w="4100" w:type="dxa"/>
            <w:vAlign w:val="bottom"/>
          </w:tcPr>
          <w:p>
            <w:pPr>
              <w:spacing w:after="0"/>
              <w:rPr>
                <w:sz w:val="20"/>
                <w:szCs w:val="20"/>
                <w:color w:val="auto"/>
              </w:rPr>
            </w:pPr>
            <w:r>
              <w:rPr>
                <w:rFonts w:ascii="Arial" w:cs="Arial" w:eastAsia="Arial" w:hAnsi="Arial"/>
                <w:sz w:val="20"/>
                <w:szCs w:val="20"/>
                <w:b w:val="1"/>
                <w:bCs w:val="1"/>
                <w:color w:val="auto"/>
              </w:rPr>
              <w:t>related prior to change</w:t>
            </w:r>
          </w:p>
        </w:tc>
        <w:tc>
          <w:tcPr>
            <w:tcW w:w="1520" w:type="dxa"/>
            <w:vAlign w:val="bottom"/>
          </w:tcPr>
          <w:p>
            <w:pPr>
              <w:spacing w:after="0"/>
              <w:rPr>
                <w:sz w:val="22"/>
                <w:szCs w:val="22"/>
                <w:color w:val="auto"/>
              </w:rPr>
            </w:pPr>
          </w:p>
        </w:tc>
        <w:tc>
          <w:tcPr>
            <w:tcW w:w="5400" w:type="dxa"/>
            <w:vAlign w:val="bottom"/>
          </w:tcPr>
          <w:p>
            <w:pPr>
              <w:spacing w:after="0"/>
              <w:rPr>
                <w:sz w:val="22"/>
                <w:szCs w:val="22"/>
                <w:color w:val="auto"/>
              </w:rPr>
            </w:pPr>
          </w:p>
        </w:tc>
      </w:tr>
      <w:tr>
        <w:trPr>
          <w:trHeight w:val="319"/>
        </w:trPr>
        <w:tc>
          <w:tcPr>
            <w:tcW w:w="4100" w:type="dxa"/>
            <w:vAlign w:val="bottom"/>
          </w:tcPr>
          <w:p>
            <w:pPr>
              <w:spacing w:after="0"/>
              <w:rPr>
                <w:sz w:val="20"/>
                <w:szCs w:val="20"/>
                <w:color w:val="auto"/>
              </w:rPr>
            </w:pPr>
            <w:r>
              <w:rPr>
                <w:rFonts w:ascii="Arial" w:cs="Arial" w:eastAsia="Arial" w:hAnsi="Arial"/>
                <w:sz w:val="18"/>
                <w:szCs w:val="18"/>
                <w:color w:val="auto"/>
                <w:w w:val="93"/>
              </w:rPr>
              <w:t>Note: Details are only required for a contract in relation</w:t>
            </w:r>
          </w:p>
        </w:tc>
        <w:tc>
          <w:tcPr>
            <w:tcW w:w="15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to which the interest has changed</w:t>
            </w:r>
          </w:p>
        </w:tc>
        <w:tc>
          <w:tcPr>
            <w:tcW w:w="152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355"/>
        </w:trPr>
        <w:tc>
          <w:tcPr>
            <w:tcW w:w="4100" w:type="dxa"/>
            <w:vAlign w:val="bottom"/>
          </w:tcPr>
          <w:p>
            <w:pPr>
              <w:spacing w:after="0"/>
              <w:rPr>
                <w:sz w:val="20"/>
                <w:szCs w:val="20"/>
                <w:color w:val="auto"/>
              </w:rPr>
            </w:pPr>
            <w:r>
              <w:rPr>
                <w:rFonts w:ascii="Arial" w:cs="Arial" w:eastAsia="Arial" w:hAnsi="Arial"/>
                <w:sz w:val="20"/>
                <w:szCs w:val="20"/>
                <w:b w:val="1"/>
                <w:bCs w:val="1"/>
                <w:color w:val="auto"/>
              </w:rPr>
              <w:t>Interest acquired</w:t>
            </w:r>
          </w:p>
        </w:tc>
        <w:tc>
          <w:tcPr>
            <w:tcW w:w="1520" w:type="dxa"/>
            <w:vAlign w:val="bottom"/>
          </w:tcPr>
          <w:p>
            <w:pPr>
              <w:ind w:left="10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38"/>
        </w:trPr>
        <w:tc>
          <w:tcPr>
            <w:tcW w:w="4100" w:type="dxa"/>
            <w:vAlign w:val="bottom"/>
          </w:tcPr>
          <w:p>
            <w:pPr>
              <w:spacing w:after="0"/>
              <w:rPr>
                <w:sz w:val="20"/>
                <w:szCs w:val="20"/>
                <w:color w:val="auto"/>
              </w:rPr>
            </w:pPr>
            <w:r>
              <w:rPr>
                <w:rFonts w:ascii="Arial" w:cs="Arial" w:eastAsia="Arial" w:hAnsi="Arial"/>
                <w:sz w:val="20"/>
                <w:szCs w:val="20"/>
                <w:b w:val="1"/>
                <w:bCs w:val="1"/>
                <w:color w:val="auto"/>
              </w:rPr>
              <w:t>Interest disposed</w:t>
            </w:r>
          </w:p>
        </w:tc>
        <w:tc>
          <w:tcPr>
            <w:tcW w:w="1520" w:type="dxa"/>
            <w:vAlign w:val="bottom"/>
          </w:tcPr>
          <w:p>
            <w:pPr>
              <w:ind w:left="10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37"/>
        </w:trPr>
        <w:tc>
          <w:tcPr>
            <w:tcW w:w="4100" w:type="dxa"/>
            <w:vAlign w:val="bottom"/>
          </w:tcPr>
          <w:p>
            <w:pPr>
              <w:spacing w:after="0"/>
              <w:rPr>
                <w:sz w:val="20"/>
                <w:szCs w:val="20"/>
                <w:color w:val="auto"/>
              </w:rPr>
            </w:pPr>
            <w:r>
              <w:rPr>
                <w:rFonts w:ascii="Arial" w:cs="Arial" w:eastAsia="Arial" w:hAnsi="Arial"/>
                <w:sz w:val="20"/>
                <w:szCs w:val="20"/>
                <w:b w:val="1"/>
                <w:bCs w:val="1"/>
                <w:color w:val="auto"/>
              </w:rPr>
              <w:t>Value/Consideration</w:t>
            </w:r>
          </w:p>
        </w:tc>
        <w:tc>
          <w:tcPr>
            <w:tcW w:w="1520" w:type="dxa"/>
            <w:vAlign w:val="bottom"/>
          </w:tcPr>
          <w:p>
            <w:pPr>
              <w:ind w:left="10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319"/>
        </w:trPr>
        <w:tc>
          <w:tcPr>
            <w:tcW w:w="4100" w:type="dxa"/>
            <w:vAlign w:val="bottom"/>
          </w:tcPr>
          <w:p>
            <w:pPr>
              <w:spacing w:after="0"/>
              <w:rPr>
                <w:sz w:val="20"/>
                <w:szCs w:val="20"/>
                <w:color w:val="auto"/>
              </w:rPr>
            </w:pPr>
            <w:r>
              <w:rPr>
                <w:rFonts w:ascii="Arial" w:cs="Arial" w:eastAsia="Arial" w:hAnsi="Arial"/>
                <w:sz w:val="18"/>
                <w:szCs w:val="18"/>
                <w:color w:val="auto"/>
                <w:w w:val="95"/>
              </w:rPr>
              <w:t>Note: If consideration is non-cash, provide details and</w:t>
            </w:r>
          </w:p>
        </w:tc>
        <w:tc>
          <w:tcPr>
            <w:tcW w:w="15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an estimated valuation</w:t>
            </w:r>
          </w:p>
        </w:tc>
        <w:tc>
          <w:tcPr>
            <w:tcW w:w="152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355"/>
        </w:trPr>
        <w:tc>
          <w:tcPr>
            <w:tcW w:w="4100" w:type="dxa"/>
            <w:vAlign w:val="bottom"/>
          </w:tcPr>
          <w:p>
            <w:pPr>
              <w:spacing w:after="0"/>
              <w:rPr>
                <w:sz w:val="20"/>
                <w:szCs w:val="20"/>
                <w:color w:val="auto"/>
              </w:rPr>
            </w:pPr>
            <w:r>
              <w:rPr>
                <w:rFonts w:ascii="Arial" w:cs="Arial" w:eastAsia="Arial" w:hAnsi="Arial"/>
                <w:sz w:val="20"/>
                <w:szCs w:val="20"/>
                <w:b w:val="1"/>
                <w:bCs w:val="1"/>
                <w:color w:val="auto"/>
              </w:rPr>
              <w:t>Interest after change</w:t>
            </w:r>
          </w:p>
        </w:tc>
        <w:tc>
          <w:tcPr>
            <w:tcW w:w="1520" w:type="dxa"/>
            <w:vAlign w:val="bottom"/>
          </w:tcPr>
          <w:p>
            <w:pPr>
              <w:ind w:left="100"/>
              <w:spacing w:after="0"/>
              <w:rPr>
                <w:sz w:val="20"/>
                <w:szCs w:val="20"/>
                <w:color w:val="auto"/>
              </w:rPr>
            </w:pPr>
            <w:r>
              <w:rPr>
                <w:rFonts w:ascii="Arial" w:cs="Arial" w:eastAsia="Arial" w:hAnsi="Arial"/>
                <w:sz w:val="18"/>
                <w:szCs w:val="18"/>
                <w:color w:val="auto"/>
              </w:rPr>
              <w:t>N/A</w:t>
            </w:r>
          </w:p>
        </w:tc>
        <w:tc>
          <w:tcPr>
            <w:tcW w:w="5400" w:type="dxa"/>
            <w:vAlign w:val="bottom"/>
          </w:tcPr>
          <w:p>
            <w:pPr>
              <w:spacing w:after="0"/>
              <w:rPr>
                <w:sz w:val="24"/>
                <w:szCs w:val="24"/>
                <w:color w:val="auto"/>
              </w:rPr>
            </w:pPr>
          </w:p>
        </w:tc>
      </w:tr>
      <w:tr>
        <w:trPr>
          <w:trHeight w:val="536"/>
        </w:trPr>
        <w:tc>
          <w:tcPr>
            <w:tcW w:w="4100" w:type="dxa"/>
            <w:vAlign w:val="bottom"/>
          </w:tcPr>
          <w:p>
            <w:pPr>
              <w:spacing w:after="0"/>
              <w:rPr>
                <w:sz w:val="20"/>
                <w:szCs w:val="20"/>
                <w:color w:val="auto"/>
              </w:rPr>
            </w:pPr>
            <w:r>
              <w:rPr>
                <w:rFonts w:ascii="Arial" w:cs="Arial" w:eastAsia="Arial" w:hAnsi="Arial"/>
                <w:sz w:val="18"/>
                <w:szCs w:val="18"/>
                <w:b w:val="1"/>
                <w:bCs w:val="1"/>
                <w:color w:val="auto"/>
              </w:rPr>
              <w:t xml:space="preserve">Part 3 - </w:t>
            </w:r>
            <w:r>
              <w:rPr>
                <w:rFonts w:ascii="Arial" w:cs="Arial" w:eastAsia="Arial" w:hAnsi="Arial"/>
                <w:sz w:val="15"/>
                <w:szCs w:val="15"/>
                <w:color w:val="auto"/>
              </w:rPr>
              <w:t>+</w:t>
            </w:r>
            <w:r>
              <w:rPr>
                <w:rFonts w:ascii="Arial" w:cs="Arial" w:eastAsia="Arial" w:hAnsi="Arial"/>
                <w:sz w:val="18"/>
                <w:szCs w:val="18"/>
                <w:b w:val="1"/>
                <w:bCs w:val="1"/>
                <w:color w:val="auto"/>
              </w:rPr>
              <w:t>Closed period</w:t>
            </w:r>
          </w:p>
        </w:tc>
        <w:tc>
          <w:tcPr>
            <w:tcW w:w="15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441"/>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w w:val="93"/>
              </w:rPr>
              <w:t>Were the interests in the securities or contracts detailed above traded</w:t>
            </w:r>
          </w:p>
        </w:tc>
        <w:tc>
          <w:tcPr>
            <w:tcW w:w="5400" w:type="dxa"/>
            <w:vAlign w:val="bottom"/>
          </w:tcPr>
          <w:p>
            <w:pPr>
              <w:ind w:left="120"/>
              <w:spacing w:after="0"/>
              <w:rPr>
                <w:sz w:val="20"/>
                <w:szCs w:val="20"/>
                <w:color w:val="auto"/>
              </w:rPr>
            </w:pPr>
            <w:r>
              <w:rPr>
                <w:rFonts w:ascii="Arial" w:cs="Arial" w:eastAsia="Arial" w:hAnsi="Arial"/>
                <w:sz w:val="18"/>
                <w:szCs w:val="18"/>
                <w:color w:val="auto"/>
              </w:rPr>
              <w:t>N/A</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w w:val="95"/>
              </w:rPr>
              <w:t xml:space="preserve">during a </w:t>
            </w:r>
            <w:r>
              <w:rPr>
                <w:rFonts w:ascii="Arial" w:cs="Arial" w:eastAsia="Arial" w:hAnsi="Arial"/>
                <w:sz w:val="15"/>
                <w:szCs w:val="15"/>
                <w:b w:val="1"/>
                <w:bCs w:val="1"/>
                <w:color w:val="auto"/>
                <w:w w:val="95"/>
              </w:rPr>
              <w:t>+</w:t>
            </w:r>
            <w:r>
              <w:rPr>
                <w:rFonts w:ascii="Arial" w:cs="Arial" w:eastAsia="Arial" w:hAnsi="Arial"/>
                <w:sz w:val="18"/>
                <w:szCs w:val="18"/>
                <w:b w:val="1"/>
                <w:bCs w:val="1"/>
                <w:color w:val="auto"/>
                <w:w w:val="95"/>
              </w:rPr>
              <w:t>closed period where prior written clearance was required?</w:t>
            </w:r>
          </w:p>
        </w:tc>
        <w:tc>
          <w:tcPr>
            <w:tcW w:w="5400" w:type="dxa"/>
            <w:vAlign w:val="bottom"/>
          </w:tcPr>
          <w:p>
            <w:pPr>
              <w:spacing w:after="0"/>
              <w:rPr>
                <w:sz w:val="20"/>
                <w:szCs w:val="20"/>
                <w:color w:val="auto"/>
              </w:rPr>
            </w:pPr>
          </w:p>
        </w:tc>
      </w:tr>
      <w:tr>
        <w:trPr>
          <w:trHeight w:val="30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w w:val="91"/>
              </w:rPr>
              <w:t>If so, was prior written clearance provided to allow the trade to proceed</w:t>
            </w:r>
          </w:p>
        </w:tc>
        <w:tc>
          <w:tcPr>
            <w:tcW w:w="5400" w:type="dxa"/>
            <w:vAlign w:val="bottom"/>
          </w:tcPr>
          <w:p>
            <w:pPr>
              <w:ind w:left="120"/>
              <w:spacing w:after="0"/>
              <w:rPr>
                <w:sz w:val="20"/>
                <w:szCs w:val="20"/>
                <w:color w:val="auto"/>
              </w:rPr>
            </w:pPr>
            <w:r>
              <w:rPr>
                <w:rFonts w:ascii="Arial" w:cs="Arial" w:eastAsia="Arial" w:hAnsi="Arial"/>
                <w:sz w:val="18"/>
                <w:szCs w:val="18"/>
                <w:color w:val="auto"/>
              </w:rPr>
              <w:t>N/A</w:t>
            </w:r>
          </w:p>
        </w:tc>
      </w:tr>
      <w:tr>
        <w:trPr>
          <w:trHeight w:val="234"/>
        </w:trPr>
        <w:tc>
          <w:tcPr>
            <w:tcW w:w="4100" w:type="dxa"/>
            <w:vAlign w:val="bottom"/>
          </w:tcPr>
          <w:p>
            <w:pPr>
              <w:spacing w:after="0"/>
              <w:rPr>
                <w:sz w:val="20"/>
                <w:szCs w:val="20"/>
                <w:color w:val="auto"/>
              </w:rPr>
            </w:pPr>
            <w:r>
              <w:rPr>
                <w:rFonts w:ascii="Arial" w:cs="Arial" w:eastAsia="Arial" w:hAnsi="Arial"/>
                <w:sz w:val="18"/>
                <w:szCs w:val="18"/>
                <w:b w:val="1"/>
                <w:bCs w:val="1"/>
                <w:color w:val="auto"/>
              </w:rPr>
              <w:t>during this period?</w:t>
            </w:r>
          </w:p>
        </w:tc>
        <w:tc>
          <w:tcPr>
            <w:tcW w:w="152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324"/>
        </w:trPr>
        <w:tc>
          <w:tcPr>
            <w:tcW w:w="110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If prior written clearance was provided, on what date was this provided?  </w:t>
            </w:r>
            <w:r>
              <w:rPr>
                <w:rFonts w:ascii="Arial" w:cs="Arial" w:eastAsia="Arial" w:hAnsi="Arial"/>
                <w:sz w:val="18"/>
                <w:szCs w:val="18"/>
                <w:color w:val="auto"/>
              </w:rPr>
              <w:t>N/A</w:t>
            </w:r>
          </w:p>
        </w:tc>
      </w:tr>
      <w:tr>
        <w:trPr>
          <w:trHeight w:val="162"/>
        </w:trPr>
        <w:tc>
          <w:tcPr>
            <w:tcW w:w="4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tcPr>
          <w:p>
            <w:pPr>
              <w:spacing w:after="0"/>
              <w:rPr>
                <w:sz w:val="14"/>
                <w:szCs w:val="14"/>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 See chapter 19 for defined terms.</w:t>
            </w:r>
          </w:p>
        </w:tc>
        <w:tc>
          <w:tcPr>
            <w:tcW w:w="152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Appendix 3Y Page 2</w:t>
            </w:r>
          </w:p>
        </w:tc>
        <w:tc>
          <w:tcPr>
            <w:tcW w:w="1520" w:type="dxa"/>
            <w:vAlign w:val="bottom"/>
          </w:tcPr>
          <w:p>
            <w:pPr>
              <w:spacing w:after="0"/>
              <w:rPr>
                <w:sz w:val="24"/>
                <w:szCs w:val="24"/>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01/01/2011</w:t>
            </w:r>
          </w:p>
        </w:tc>
      </w:tr>
    </w:tbl>
    <w:p>
      <w:pPr>
        <w:sectPr>
          <w:pgSz w:w="11900" w:h="16838" w:orient="portrait"/>
          <w:cols w:equalWidth="0" w:num="1">
            <w:col w:w="11020"/>
          </w:cols>
          <w:pgMar w:left="440" w:top="270" w:right="4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3Y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Rule 3.19A.2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3Y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Introduced 30/09/01 Amended 01/01/11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entity: Opthea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ABN 32 006 340 567</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(the entity) give ASX the following information under listing rule 3.19A.2 and as agent for the director for the purposes of section 205G of the Corporations Act.</w:t>
      </w:r>
    </w:p>
    <w:p>
      <w:pPr>
        <w:sectPr>
          <w:pgSz w:w="11900" w:h="16838" w:orient="portrait"/>
          <w:cols w:equalWidth="0" w:num="1">
            <w:col w:w="11020"/>
          </w:cols>
          <w:pgMar w:left="440" w:top="121"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Director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last notice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Megan Baldwin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 April 2019</w:t>
      </w:r>
    </w:p>
    <w:p>
      <w:pPr>
        <w:spacing w:after="0" w:line="20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Change of director’s relevant interests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case of a trust, this includes interests in the trust made available by the responsible entity of the trust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Note: In the case of a company, interests which come within paragraph (i) of the definition of “notifiable interest of a director” should be disclosed in this part.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Direct or indirect interest</w:t>
            </w:r>
          </w:p>
        </w:tc>
        <w:tc>
          <w:tcPr>
            <w:tcW w:w="5380" w:type="dxa"/>
            <w:vAlign w:val="bottom"/>
          </w:tcPr>
          <w:p>
            <w:pPr>
              <w:ind w:left="100"/>
              <w:spacing w:after="0"/>
              <w:rPr>
                <w:sz w:val="20"/>
                <w:szCs w:val="20"/>
                <w:color w:val="auto"/>
              </w:rPr>
            </w:pPr>
            <w:r>
              <w:rPr>
                <w:rFonts w:ascii="Arial" w:cs="Arial" w:eastAsia="Arial" w:hAnsi="Arial"/>
                <w:sz w:val="18"/>
                <w:szCs w:val="18"/>
                <w:color w:val="auto"/>
              </w:rPr>
              <w:t>Direct and Indirect</w:t>
            </w:r>
          </w:p>
        </w:tc>
      </w:tr>
      <w:tr>
        <w:trPr>
          <w:trHeight w:val="306"/>
        </w:trPr>
        <w:tc>
          <w:tcPr>
            <w:tcW w:w="5640" w:type="dxa"/>
            <w:vAlign w:val="bottom"/>
          </w:tcPr>
          <w:p>
            <w:pPr>
              <w:spacing w:after="0"/>
              <w:rPr>
                <w:sz w:val="20"/>
                <w:szCs w:val="20"/>
                <w:color w:val="auto"/>
              </w:rPr>
            </w:pPr>
            <w:r>
              <w:rPr>
                <w:rFonts w:ascii="Arial" w:cs="Arial" w:eastAsia="Arial" w:hAnsi="Arial"/>
                <w:sz w:val="18"/>
                <w:szCs w:val="18"/>
                <w:b w:val="1"/>
                <w:bCs w:val="1"/>
                <w:color w:val="auto"/>
              </w:rPr>
              <w:t>Nature of indirect interest</w:t>
            </w:r>
          </w:p>
        </w:tc>
        <w:tc>
          <w:tcPr>
            <w:tcW w:w="5380" w:type="dxa"/>
            <w:vAlign w:val="bottom"/>
          </w:tcPr>
          <w:p>
            <w:pPr>
              <w:ind w:left="100"/>
              <w:spacing w:after="0"/>
              <w:rPr>
                <w:sz w:val="20"/>
                <w:szCs w:val="20"/>
                <w:color w:val="auto"/>
              </w:rPr>
            </w:pPr>
            <w:r>
              <w:rPr>
                <w:rFonts w:ascii="Arial" w:cs="Arial" w:eastAsia="Arial" w:hAnsi="Arial"/>
                <w:sz w:val="18"/>
                <w:szCs w:val="18"/>
                <w:color w:val="auto"/>
                <w:w w:val="96"/>
              </w:rPr>
              <w:t>Gaja Holdings: Megan Baldwin is closely related to the beneficiary of</w:t>
            </w: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(including registered holder)</w:t>
            </w:r>
          </w:p>
        </w:tc>
        <w:tc>
          <w:tcPr>
            <w:tcW w:w="5380" w:type="dxa"/>
            <w:vAlign w:val="bottom"/>
          </w:tcPr>
          <w:p>
            <w:pPr>
              <w:ind w:left="100"/>
              <w:spacing w:after="0"/>
              <w:rPr>
                <w:sz w:val="20"/>
                <w:szCs w:val="20"/>
                <w:color w:val="auto"/>
              </w:rPr>
            </w:pPr>
            <w:r>
              <w:rPr>
                <w:rFonts w:ascii="Arial" w:cs="Arial" w:eastAsia="Arial" w:hAnsi="Arial"/>
                <w:sz w:val="18"/>
                <w:szCs w:val="18"/>
                <w:color w:val="auto"/>
              </w:rPr>
              <w:t>the account.</w:t>
            </w:r>
          </w:p>
        </w:tc>
      </w:tr>
      <w:tr>
        <w:trPr>
          <w:trHeight w:val="338"/>
        </w:trPr>
        <w:tc>
          <w:tcPr>
            <w:tcW w:w="5640" w:type="dxa"/>
            <w:vAlign w:val="bottom"/>
          </w:tcPr>
          <w:p>
            <w:pPr>
              <w:spacing w:after="0"/>
              <w:rPr>
                <w:sz w:val="20"/>
                <w:szCs w:val="20"/>
                <w:color w:val="auto"/>
              </w:rPr>
            </w:pPr>
            <w:r>
              <w:rPr>
                <w:rFonts w:ascii="Arial" w:cs="Arial" w:eastAsia="Arial" w:hAnsi="Arial"/>
                <w:sz w:val="18"/>
                <w:szCs w:val="18"/>
                <w:color w:val="auto"/>
                <w:w w:val="92"/>
              </w:rPr>
              <w:t>Note: Provide details of the circumstances giving rise to the relevant interest.</w:t>
            </w:r>
          </w:p>
        </w:tc>
        <w:tc>
          <w:tcPr>
            <w:tcW w:w="5380" w:type="dxa"/>
            <w:vAlign w:val="bottom"/>
          </w:tcPr>
          <w:p>
            <w:pPr>
              <w:spacing w:after="0"/>
              <w:rPr>
                <w:sz w:val="24"/>
                <w:szCs w:val="24"/>
                <w:color w:val="auto"/>
              </w:rPr>
            </w:pPr>
          </w:p>
        </w:tc>
      </w:tr>
      <w:tr>
        <w:trPr>
          <w:trHeight w:val="338"/>
        </w:trPr>
        <w:tc>
          <w:tcPr>
            <w:tcW w:w="5640" w:type="dxa"/>
            <w:vAlign w:val="bottom"/>
          </w:tcPr>
          <w:p>
            <w:pPr>
              <w:spacing w:after="0"/>
              <w:rPr>
                <w:sz w:val="20"/>
                <w:szCs w:val="20"/>
                <w:color w:val="auto"/>
              </w:rPr>
            </w:pPr>
            <w:r>
              <w:rPr>
                <w:rFonts w:ascii="Arial" w:cs="Arial" w:eastAsia="Arial" w:hAnsi="Arial"/>
                <w:sz w:val="18"/>
                <w:szCs w:val="18"/>
                <w:b w:val="1"/>
                <w:bCs w:val="1"/>
                <w:color w:val="auto"/>
              </w:rPr>
              <w:t>Date of change</w:t>
            </w:r>
          </w:p>
        </w:tc>
        <w:tc>
          <w:tcPr>
            <w:tcW w:w="5380" w:type="dxa"/>
            <w:vAlign w:val="bottom"/>
          </w:tcPr>
          <w:p>
            <w:pPr>
              <w:ind w:left="100"/>
              <w:spacing w:after="0"/>
              <w:rPr>
                <w:sz w:val="20"/>
                <w:szCs w:val="20"/>
                <w:color w:val="auto"/>
              </w:rPr>
            </w:pPr>
            <w:r>
              <w:rPr>
                <w:rFonts w:ascii="Arial" w:cs="Arial" w:eastAsia="Arial" w:hAnsi="Arial"/>
                <w:sz w:val="18"/>
                <w:szCs w:val="18"/>
                <w:color w:val="auto"/>
              </w:rPr>
              <w:t>4 March 2021</w:t>
            </w:r>
          </w:p>
        </w:tc>
      </w:tr>
      <w:tr>
        <w:trPr>
          <w:trHeight w:val="324"/>
        </w:trPr>
        <w:tc>
          <w:tcPr>
            <w:tcW w:w="5640" w:type="dxa"/>
            <w:vAlign w:val="bottom"/>
          </w:tcPr>
          <w:p>
            <w:pPr>
              <w:spacing w:after="0"/>
              <w:rPr>
                <w:sz w:val="20"/>
                <w:szCs w:val="20"/>
                <w:color w:val="auto"/>
              </w:rPr>
            </w:pPr>
            <w:r>
              <w:rPr>
                <w:rFonts w:ascii="Arial" w:cs="Arial" w:eastAsia="Arial" w:hAnsi="Arial"/>
                <w:sz w:val="18"/>
                <w:szCs w:val="18"/>
                <w:b w:val="1"/>
                <w:bCs w:val="1"/>
                <w:color w:val="auto"/>
              </w:rPr>
              <w:t>No. of securities held prior to change</w:t>
            </w:r>
          </w:p>
        </w:tc>
        <w:tc>
          <w:tcPr>
            <w:tcW w:w="5380" w:type="dxa"/>
            <w:vAlign w:val="bottom"/>
          </w:tcPr>
          <w:p>
            <w:pPr>
              <w:ind w:left="100"/>
              <w:spacing w:after="0"/>
              <w:rPr>
                <w:sz w:val="20"/>
                <w:szCs w:val="20"/>
                <w:color w:val="auto"/>
              </w:rPr>
            </w:pPr>
            <w:r>
              <w:rPr>
                <w:rFonts w:ascii="Arial" w:cs="Arial" w:eastAsia="Arial" w:hAnsi="Arial"/>
                <w:sz w:val="18"/>
                <w:szCs w:val="18"/>
                <w:color w:val="auto"/>
              </w:rPr>
              <w:t>987,723 ordinary shares fully paid.</w:t>
            </w:r>
          </w:p>
        </w:tc>
      </w:tr>
      <w:tr>
        <w:trPr>
          <w:trHeight w:val="323"/>
        </w:trPr>
        <w:tc>
          <w:tcPr>
            <w:tcW w:w="564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4"/>
              </w:rPr>
              <w:t>4,000,000 unquoted options to acquire fully paid ordinary shares at an</w:t>
            </w:r>
          </w:p>
        </w:tc>
      </w:tr>
      <w:tr>
        <w:trPr>
          <w:trHeight w:val="216"/>
        </w:trPr>
        <w:tc>
          <w:tcPr>
            <w:tcW w:w="564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6"/>
              </w:rPr>
              <w:t>exercise price of $0.48, expiring on 7 March 2021, granted under the</w:t>
            </w:r>
          </w:p>
        </w:tc>
      </w:tr>
      <w:tr>
        <w:trPr>
          <w:trHeight w:val="230"/>
        </w:trPr>
        <w:tc>
          <w:tcPr>
            <w:tcW w:w="564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LTIP.</w:t>
            </w:r>
          </w:p>
        </w:tc>
      </w:tr>
      <w:tr>
        <w:trPr>
          <w:trHeight w:val="323"/>
        </w:trPr>
        <w:tc>
          <w:tcPr>
            <w:tcW w:w="564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4"/>
              </w:rPr>
              <w:t>3,000,000 unquoted options to acquire fully paid ordinary shares at an</w:t>
            </w:r>
          </w:p>
        </w:tc>
      </w:tr>
      <w:tr>
        <w:trPr>
          <w:trHeight w:val="216"/>
        </w:trPr>
        <w:tc>
          <w:tcPr>
            <w:tcW w:w="564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2"/>
              </w:rPr>
              <w:t>exercise price of $0.855, expiring on 29 November 2022, granted under</w:t>
            </w:r>
          </w:p>
        </w:tc>
      </w:tr>
      <w:tr>
        <w:trPr>
          <w:trHeight w:val="230"/>
        </w:trPr>
        <w:tc>
          <w:tcPr>
            <w:tcW w:w="564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the LTIP.</w:t>
            </w:r>
          </w:p>
        </w:tc>
      </w:tr>
      <w:tr>
        <w:trPr>
          <w:trHeight w:val="338"/>
        </w:trPr>
        <w:tc>
          <w:tcPr>
            <w:tcW w:w="5640" w:type="dxa"/>
            <w:vAlign w:val="bottom"/>
          </w:tcPr>
          <w:p>
            <w:pPr>
              <w:spacing w:after="0"/>
              <w:rPr>
                <w:sz w:val="20"/>
                <w:szCs w:val="20"/>
                <w:color w:val="auto"/>
              </w:rPr>
            </w:pPr>
            <w:r>
              <w:rPr>
                <w:rFonts w:ascii="Arial" w:cs="Arial" w:eastAsia="Arial" w:hAnsi="Arial"/>
                <w:sz w:val="18"/>
                <w:szCs w:val="18"/>
                <w:b w:val="1"/>
                <w:bCs w:val="1"/>
                <w:color w:val="auto"/>
              </w:rPr>
              <w:t>Class</w:t>
            </w:r>
          </w:p>
        </w:tc>
        <w:tc>
          <w:tcPr>
            <w:tcW w:w="5380" w:type="dxa"/>
            <w:vAlign w:val="bottom"/>
          </w:tcPr>
          <w:p>
            <w:pPr>
              <w:ind w:left="100"/>
              <w:spacing w:after="0"/>
              <w:rPr>
                <w:sz w:val="20"/>
                <w:szCs w:val="20"/>
                <w:color w:val="auto"/>
              </w:rPr>
            </w:pPr>
            <w:r>
              <w:rPr>
                <w:rFonts w:ascii="Arial" w:cs="Arial" w:eastAsia="Arial" w:hAnsi="Arial"/>
                <w:sz w:val="18"/>
                <w:szCs w:val="18"/>
                <w:color w:val="auto"/>
              </w:rPr>
              <w:t>Ordinary shares</w:t>
            </w:r>
          </w:p>
        </w:tc>
      </w:tr>
      <w:tr>
        <w:trPr>
          <w:trHeight w:val="324"/>
        </w:trPr>
        <w:tc>
          <w:tcPr>
            <w:tcW w:w="5640" w:type="dxa"/>
            <w:vAlign w:val="bottom"/>
          </w:tcPr>
          <w:p>
            <w:pPr>
              <w:spacing w:after="0"/>
              <w:rPr>
                <w:sz w:val="20"/>
                <w:szCs w:val="20"/>
                <w:color w:val="auto"/>
              </w:rPr>
            </w:pPr>
            <w:r>
              <w:rPr>
                <w:rFonts w:ascii="Arial" w:cs="Arial" w:eastAsia="Arial" w:hAnsi="Arial"/>
                <w:sz w:val="18"/>
                <w:szCs w:val="18"/>
                <w:b w:val="1"/>
                <w:bCs w:val="1"/>
                <w:color w:val="auto"/>
              </w:rPr>
              <w:t>Number acquired</w:t>
            </w:r>
          </w:p>
        </w:tc>
        <w:tc>
          <w:tcPr>
            <w:tcW w:w="5380" w:type="dxa"/>
            <w:vAlign w:val="bottom"/>
          </w:tcPr>
          <w:p>
            <w:pPr>
              <w:ind w:left="100"/>
              <w:spacing w:after="0"/>
              <w:rPr>
                <w:sz w:val="20"/>
                <w:szCs w:val="20"/>
                <w:color w:val="auto"/>
              </w:rPr>
            </w:pPr>
            <w:r>
              <w:rPr>
                <w:rFonts w:ascii="Arial" w:cs="Arial" w:eastAsia="Arial" w:hAnsi="Arial"/>
                <w:sz w:val="18"/>
                <w:szCs w:val="18"/>
                <w:color w:val="auto"/>
              </w:rPr>
              <w:t>2,851,675 ordinary shares fully paid</w:t>
            </w:r>
          </w:p>
        </w:tc>
      </w:tr>
      <w:tr>
        <w:trPr>
          <w:trHeight w:val="162"/>
        </w:trPr>
        <w:tc>
          <w:tcPr>
            <w:tcW w:w="564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tcPr>
          <w:p>
            <w:pPr>
              <w:spacing w:after="0"/>
              <w:rPr>
                <w:sz w:val="14"/>
                <w:szCs w:val="14"/>
                <w:color w:val="auto"/>
              </w:rPr>
            </w:pPr>
          </w:p>
        </w:tc>
      </w:tr>
      <w:tr>
        <w:trPr>
          <w:trHeight w:val="250"/>
        </w:trPr>
        <w:tc>
          <w:tcPr>
            <w:tcW w:w="5640" w:type="dxa"/>
            <w:vAlign w:val="bottom"/>
          </w:tcPr>
          <w:p>
            <w:pPr>
              <w:spacing w:after="0"/>
              <w:rPr>
                <w:sz w:val="20"/>
                <w:szCs w:val="20"/>
                <w:color w:val="auto"/>
              </w:rPr>
            </w:pPr>
            <w:r>
              <w:rPr>
                <w:rFonts w:ascii="Arial" w:cs="Arial" w:eastAsia="Arial" w:hAnsi="Arial"/>
                <w:sz w:val="18"/>
                <w:szCs w:val="18"/>
                <w:color w:val="auto"/>
              </w:rPr>
              <w:t>+ See chapter 19 for defined terms.</w:t>
            </w:r>
          </w:p>
        </w:tc>
        <w:tc>
          <w:tcPr>
            <w:tcW w:w="5380" w:type="dxa"/>
            <w:vAlign w:val="bottom"/>
          </w:tcPr>
          <w:p>
            <w:pPr>
              <w:spacing w:after="0"/>
              <w:rPr>
                <w:sz w:val="21"/>
                <w:szCs w:val="21"/>
                <w:color w:val="auto"/>
              </w:rPr>
            </w:pP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01/01/2011</w:t>
            </w:r>
          </w:p>
        </w:tc>
        <w:tc>
          <w:tcPr>
            <w:tcW w:w="5380" w:type="dxa"/>
            <w:vAlign w:val="bottom"/>
          </w:tcPr>
          <w:p>
            <w:pPr>
              <w:ind w:left="3860"/>
              <w:spacing w:after="0"/>
              <w:rPr>
                <w:sz w:val="20"/>
                <w:szCs w:val="20"/>
                <w:color w:val="auto"/>
              </w:rPr>
            </w:pPr>
            <w:r>
              <w:rPr>
                <w:rFonts w:ascii="Arial" w:cs="Arial" w:eastAsia="Arial" w:hAnsi="Arial"/>
                <w:sz w:val="18"/>
                <w:szCs w:val="18"/>
                <w:color w:val="auto"/>
                <w:w w:val="91"/>
              </w:rPr>
              <w:t>Appendix 3Y Page 1</w:t>
            </w:r>
          </w:p>
        </w:tc>
      </w:tr>
    </w:tbl>
    <w:p>
      <w:pPr>
        <w:sectPr>
          <w:pgSz w:w="11900" w:h="16838" w:orient="portrait"/>
          <w:cols w:equalWidth="0" w:num="1">
            <w:col w:w="11020"/>
          </w:cols>
          <w:pgMar w:left="440" w:top="121" w:right="4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3Y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Number disposed</w:t>
            </w:r>
          </w:p>
        </w:tc>
        <w:tc>
          <w:tcPr>
            <w:tcW w:w="5360" w:type="dxa"/>
            <w:vAlign w:val="bottom"/>
          </w:tcPr>
          <w:p>
            <w:pPr>
              <w:ind w:left="2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310"/>
        </w:trPr>
        <w:tc>
          <w:tcPr>
            <w:tcW w:w="5540" w:type="dxa"/>
            <w:vAlign w:val="bottom"/>
          </w:tcPr>
          <w:p>
            <w:pPr>
              <w:spacing w:after="0"/>
              <w:rPr>
                <w:sz w:val="20"/>
                <w:szCs w:val="20"/>
                <w:color w:val="auto"/>
              </w:rPr>
            </w:pPr>
            <w:r>
              <w:rPr>
                <w:rFonts w:ascii="Arial" w:cs="Arial" w:eastAsia="Arial" w:hAnsi="Arial"/>
                <w:sz w:val="18"/>
                <w:szCs w:val="18"/>
                <w:b w:val="1"/>
                <w:bCs w:val="1"/>
                <w:color w:val="auto"/>
              </w:rPr>
              <w:t>Value/Consideration</w:t>
            </w:r>
          </w:p>
        </w:tc>
        <w:tc>
          <w:tcPr>
            <w:tcW w:w="5360" w:type="dxa"/>
            <w:vAlign w:val="bottom"/>
          </w:tcPr>
          <w:p>
            <w:pPr>
              <w:ind w:left="200"/>
              <w:spacing w:after="0"/>
              <w:rPr>
                <w:sz w:val="20"/>
                <w:szCs w:val="20"/>
                <w:color w:val="auto"/>
              </w:rPr>
            </w:pPr>
            <w:r>
              <w:rPr>
                <w:rFonts w:ascii="Arial" w:cs="Arial" w:eastAsia="Arial" w:hAnsi="Arial"/>
                <w:sz w:val="18"/>
                <w:szCs w:val="18"/>
                <w:color w:val="auto"/>
                <w:w w:val="92"/>
              </w:rPr>
              <w:t>Unquoted options exercised on a cashless basis at $0.48 per ordinary</w:t>
            </w:r>
          </w:p>
        </w:tc>
        <w:tc>
          <w:tcPr>
            <w:tcW w:w="0" w:type="dxa"/>
            <w:vAlign w:val="bottom"/>
          </w:tcPr>
          <w:p>
            <w:pPr>
              <w:spacing w:after="0"/>
              <w:rPr>
                <w:sz w:val="1"/>
                <w:szCs w:val="1"/>
                <w:color w:val="auto"/>
              </w:rPr>
            </w:pPr>
          </w:p>
        </w:tc>
      </w:tr>
      <w:tr>
        <w:trPr>
          <w:trHeight w:val="230"/>
        </w:trPr>
        <w:tc>
          <w:tcPr>
            <w:tcW w:w="5540" w:type="dxa"/>
            <w:vAlign w:val="bottom"/>
            <w:vMerge w:val="restart"/>
          </w:tcPr>
          <w:p>
            <w:pPr>
              <w:spacing w:after="0"/>
              <w:rPr>
                <w:sz w:val="20"/>
                <w:szCs w:val="20"/>
                <w:color w:val="auto"/>
              </w:rPr>
            </w:pPr>
            <w:r>
              <w:rPr>
                <w:rFonts w:ascii="Arial" w:cs="Arial" w:eastAsia="Arial" w:hAnsi="Arial"/>
                <w:sz w:val="18"/>
                <w:szCs w:val="18"/>
                <w:color w:val="auto"/>
                <w:w w:val="93"/>
              </w:rPr>
              <w:t>Note: If consideration is non-cash, provide details and estimated valuation</w:t>
            </w:r>
          </w:p>
        </w:tc>
        <w:tc>
          <w:tcPr>
            <w:tcW w:w="5360" w:type="dxa"/>
            <w:vAlign w:val="bottom"/>
          </w:tcPr>
          <w:p>
            <w:pPr>
              <w:ind w:left="200"/>
              <w:spacing w:after="0"/>
              <w:rPr>
                <w:sz w:val="20"/>
                <w:szCs w:val="20"/>
                <w:color w:val="auto"/>
              </w:rPr>
            </w:pPr>
            <w:r>
              <w:rPr>
                <w:rFonts w:ascii="Arial" w:cs="Arial" w:eastAsia="Arial" w:hAnsi="Arial"/>
                <w:sz w:val="18"/>
                <w:szCs w:val="18"/>
                <w:color w:val="auto"/>
              </w:rPr>
              <w:t>share.</w:t>
            </w:r>
          </w:p>
        </w:tc>
        <w:tc>
          <w:tcPr>
            <w:tcW w:w="0" w:type="dxa"/>
            <w:vAlign w:val="bottom"/>
          </w:tcPr>
          <w:p>
            <w:pPr>
              <w:spacing w:after="0"/>
              <w:rPr>
                <w:sz w:val="1"/>
                <w:szCs w:val="1"/>
                <w:color w:val="auto"/>
              </w:rPr>
            </w:pPr>
          </w:p>
        </w:tc>
      </w:tr>
      <w:tr>
        <w:trPr>
          <w:trHeight w:val="121"/>
        </w:trPr>
        <w:tc>
          <w:tcPr>
            <w:tcW w:w="5540" w:type="dxa"/>
            <w:vAlign w:val="bottom"/>
            <w:vMerge w:val="continue"/>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5540" w:type="dxa"/>
            <w:vAlign w:val="bottom"/>
          </w:tcPr>
          <w:p>
            <w:pPr>
              <w:spacing w:after="0"/>
              <w:rPr>
                <w:sz w:val="20"/>
                <w:szCs w:val="20"/>
                <w:color w:val="auto"/>
              </w:rPr>
            </w:pPr>
            <w:r>
              <w:rPr>
                <w:rFonts w:ascii="Arial" w:cs="Arial" w:eastAsia="Arial" w:hAnsi="Arial"/>
                <w:sz w:val="18"/>
                <w:szCs w:val="18"/>
                <w:b w:val="1"/>
                <w:bCs w:val="1"/>
                <w:color w:val="auto"/>
              </w:rPr>
              <w:t>No. of securities held after change</w:t>
            </w:r>
          </w:p>
        </w:tc>
        <w:tc>
          <w:tcPr>
            <w:tcW w:w="5360" w:type="dxa"/>
            <w:vAlign w:val="bottom"/>
          </w:tcPr>
          <w:p>
            <w:pPr>
              <w:ind w:left="200"/>
              <w:spacing w:after="0"/>
              <w:rPr>
                <w:sz w:val="20"/>
                <w:szCs w:val="20"/>
                <w:color w:val="auto"/>
              </w:rPr>
            </w:pPr>
            <w:r>
              <w:rPr>
                <w:rFonts w:ascii="Arial" w:cs="Arial" w:eastAsia="Arial" w:hAnsi="Arial"/>
                <w:sz w:val="18"/>
                <w:szCs w:val="18"/>
                <w:b w:val="1"/>
                <w:bCs w:val="1"/>
                <w:color w:val="auto"/>
              </w:rPr>
              <w:t xml:space="preserve">Indirect: </w:t>
            </w:r>
            <w:r>
              <w:rPr>
                <w:rFonts w:ascii="Arial" w:cs="Arial" w:eastAsia="Arial" w:hAnsi="Arial"/>
                <w:sz w:val="18"/>
                <w:szCs w:val="18"/>
                <w:color w:val="auto"/>
              </w:rPr>
              <w:t>2,851,675 ordinary shares fully paid</w:t>
            </w:r>
          </w:p>
        </w:tc>
        <w:tc>
          <w:tcPr>
            <w:tcW w:w="0" w:type="dxa"/>
            <w:vAlign w:val="bottom"/>
          </w:tcPr>
          <w:p>
            <w:pPr>
              <w:spacing w:after="0"/>
              <w:rPr>
                <w:sz w:val="1"/>
                <w:szCs w:val="1"/>
                <w:color w:val="auto"/>
              </w:rPr>
            </w:pPr>
          </w:p>
        </w:tc>
      </w:tr>
      <w:tr>
        <w:trPr>
          <w:trHeight w:val="338"/>
        </w:trPr>
        <w:tc>
          <w:tcPr>
            <w:tcW w:w="5540" w:type="dxa"/>
            <w:vAlign w:val="bottom"/>
          </w:tcPr>
          <w:p>
            <w:pPr>
              <w:spacing w:after="0"/>
              <w:rPr>
                <w:sz w:val="24"/>
                <w:szCs w:val="24"/>
                <w:color w:val="auto"/>
              </w:rPr>
            </w:pPr>
          </w:p>
        </w:tc>
        <w:tc>
          <w:tcPr>
            <w:tcW w:w="5360" w:type="dxa"/>
            <w:vAlign w:val="bottom"/>
          </w:tcPr>
          <w:p>
            <w:pPr>
              <w:ind w:left="200"/>
              <w:spacing w:after="0"/>
              <w:rPr>
                <w:sz w:val="20"/>
                <w:szCs w:val="20"/>
                <w:color w:val="auto"/>
              </w:rPr>
            </w:pPr>
            <w:r>
              <w:rPr>
                <w:rFonts w:ascii="Arial" w:cs="Arial" w:eastAsia="Arial" w:hAnsi="Arial"/>
                <w:sz w:val="18"/>
                <w:szCs w:val="18"/>
                <w:b w:val="1"/>
                <w:bCs w:val="1"/>
                <w:color w:val="auto"/>
              </w:rPr>
              <w:t>Direct:</w:t>
            </w:r>
          </w:p>
        </w:tc>
        <w:tc>
          <w:tcPr>
            <w:tcW w:w="0" w:type="dxa"/>
            <w:vAlign w:val="bottom"/>
          </w:tcPr>
          <w:p>
            <w:pPr>
              <w:spacing w:after="0"/>
              <w:rPr>
                <w:sz w:val="1"/>
                <w:szCs w:val="1"/>
                <w:color w:val="auto"/>
              </w:rPr>
            </w:pPr>
          </w:p>
        </w:tc>
      </w:tr>
      <w:tr>
        <w:trPr>
          <w:trHeight w:val="338"/>
        </w:trPr>
        <w:tc>
          <w:tcPr>
            <w:tcW w:w="5540" w:type="dxa"/>
            <w:vAlign w:val="bottom"/>
          </w:tcPr>
          <w:p>
            <w:pPr>
              <w:spacing w:after="0"/>
              <w:rPr>
                <w:sz w:val="24"/>
                <w:szCs w:val="24"/>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987,723 ordinary shares fully paid.</w:t>
            </w:r>
          </w:p>
        </w:tc>
        <w:tc>
          <w:tcPr>
            <w:tcW w:w="0" w:type="dxa"/>
            <w:vAlign w:val="bottom"/>
          </w:tcPr>
          <w:p>
            <w:pPr>
              <w:spacing w:after="0"/>
              <w:rPr>
                <w:sz w:val="1"/>
                <w:szCs w:val="1"/>
                <w:color w:val="auto"/>
              </w:rPr>
            </w:pPr>
          </w:p>
        </w:tc>
      </w:tr>
      <w:tr>
        <w:trPr>
          <w:trHeight w:val="323"/>
        </w:trPr>
        <w:tc>
          <w:tcPr>
            <w:tcW w:w="5540" w:type="dxa"/>
            <w:vAlign w:val="bottom"/>
          </w:tcPr>
          <w:p>
            <w:pPr>
              <w:spacing w:after="0"/>
              <w:rPr>
                <w:sz w:val="24"/>
                <w:szCs w:val="24"/>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w w:val="92"/>
              </w:rPr>
              <w:t>3,000,000 unquoted options to acquire fully paid ordinary shares at an</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w w:val="90"/>
              </w:rPr>
              <w:t>exercise price of $0.855, expiring on 29 November 2022, granted under</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the LTIP.</w:t>
            </w:r>
          </w:p>
        </w:tc>
        <w:tc>
          <w:tcPr>
            <w:tcW w:w="0" w:type="dxa"/>
            <w:vAlign w:val="bottom"/>
          </w:tcPr>
          <w:p>
            <w:pPr>
              <w:spacing w:after="0"/>
              <w:rPr>
                <w:sz w:val="1"/>
                <w:szCs w:val="1"/>
                <w:color w:val="auto"/>
              </w:rPr>
            </w:pPr>
          </w:p>
        </w:tc>
      </w:tr>
      <w:tr>
        <w:trPr>
          <w:trHeight w:val="338"/>
        </w:trPr>
        <w:tc>
          <w:tcPr>
            <w:tcW w:w="5540" w:type="dxa"/>
            <w:vAlign w:val="bottom"/>
          </w:tcPr>
          <w:p>
            <w:pPr>
              <w:spacing w:after="0"/>
              <w:rPr>
                <w:sz w:val="20"/>
                <w:szCs w:val="20"/>
                <w:color w:val="auto"/>
              </w:rPr>
            </w:pPr>
            <w:r>
              <w:rPr>
                <w:rFonts w:ascii="Arial" w:cs="Arial" w:eastAsia="Arial" w:hAnsi="Arial"/>
                <w:sz w:val="18"/>
                <w:szCs w:val="18"/>
                <w:b w:val="1"/>
                <w:bCs w:val="1"/>
                <w:color w:val="auto"/>
              </w:rPr>
              <w:t>Nature of change</w:t>
            </w:r>
          </w:p>
        </w:tc>
        <w:tc>
          <w:tcPr>
            <w:tcW w:w="5360" w:type="dxa"/>
            <w:vAlign w:val="bottom"/>
          </w:tcPr>
          <w:p>
            <w:pPr>
              <w:ind w:left="200"/>
              <w:spacing w:after="0"/>
              <w:rPr>
                <w:sz w:val="20"/>
                <w:szCs w:val="20"/>
                <w:color w:val="auto"/>
              </w:rPr>
            </w:pPr>
            <w:r>
              <w:rPr>
                <w:rFonts w:ascii="Arial" w:cs="Arial" w:eastAsia="Arial" w:hAnsi="Arial"/>
                <w:sz w:val="18"/>
                <w:szCs w:val="18"/>
                <w:color w:val="auto"/>
              </w:rPr>
              <w:t>Exercise of unquoted options</w:t>
            </w:r>
          </w:p>
        </w:tc>
        <w:tc>
          <w:tcPr>
            <w:tcW w:w="0" w:type="dxa"/>
            <w:vAlign w:val="bottom"/>
          </w:tcPr>
          <w:p>
            <w:pPr>
              <w:spacing w:after="0"/>
              <w:rPr>
                <w:sz w:val="1"/>
                <w:szCs w:val="1"/>
                <w:color w:val="auto"/>
              </w:rPr>
            </w:pPr>
          </w:p>
        </w:tc>
      </w:tr>
      <w:tr>
        <w:trPr>
          <w:trHeight w:val="323"/>
        </w:trPr>
        <w:tc>
          <w:tcPr>
            <w:tcW w:w="5540" w:type="dxa"/>
            <w:vAlign w:val="bottom"/>
          </w:tcPr>
          <w:p>
            <w:pPr>
              <w:spacing w:after="0"/>
              <w:rPr>
                <w:sz w:val="20"/>
                <w:szCs w:val="20"/>
                <w:color w:val="auto"/>
              </w:rPr>
            </w:pPr>
            <w:r>
              <w:rPr>
                <w:rFonts w:ascii="Arial" w:cs="Arial" w:eastAsia="Arial" w:hAnsi="Arial"/>
                <w:sz w:val="18"/>
                <w:szCs w:val="18"/>
                <w:color w:val="auto"/>
                <w:w w:val="95"/>
              </w:rPr>
              <w:t>Example: on-market trade, off-market trade, exercise of options, issue of</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securities under dividend reinvestment plan, participation in buy-back</w:t>
            </w:r>
          </w:p>
        </w:tc>
        <w:tc>
          <w:tcPr>
            <w:tcW w:w="5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Change of director’s interests in contracts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Note: In the case of a company, interests which come within paragraph (ii) of the definition of “notifiable interest of a director” should be disclosed in this part.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Detail of contract</w:t>
            </w:r>
          </w:p>
        </w:tc>
        <w:tc>
          <w:tcPr>
            <w:tcW w:w="730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324"/>
        </w:trPr>
        <w:tc>
          <w:tcPr>
            <w:tcW w:w="3720" w:type="dxa"/>
            <w:vAlign w:val="bottom"/>
          </w:tcPr>
          <w:p>
            <w:pPr>
              <w:spacing w:after="0"/>
              <w:rPr>
                <w:sz w:val="20"/>
                <w:szCs w:val="20"/>
                <w:color w:val="auto"/>
              </w:rPr>
            </w:pPr>
            <w:r>
              <w:rPr>
                <w:rFonts w:ascii="Arial" w:cs="Arial" w:eastAsia="Arial" w:hAnsi="Arial"/>
                <w:sz w:val="18"/>
                <w:szCs w:val="18"/>
                <w:b w:val="1"/>
                <w:bCs w:val="1"/>
                <w:color w:val="auto"/>
              </w:rPr>
              <w:t>Nature of interest</w:t>
            </w:r>
          </w:p>
        </w:tc>
        <w:tc>
          <w:tcPr>
            <w:tcW w:w="730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324"/>
        </w:trPr>
        <w:tc>
          <w:tcPr>
            <w:tcW w:w="3720" w:type="dxa"/>
            <w:vAlign w:val="bottom"/>
          </w:tcPr>
          <w:p>
            <w:pPr>
              <w:spacing w:after="0"/>
              <w:rPr>
                <w:sz w:val="20"/>
                <w:szCs w:val="20"/>
                <w:color w:val="auto"/>
              </w:rPr>
            </w:pPr>
            <w:r>
              <w:rPr>
                <w:rFonts w:ascii="Arial" w:cs="Arial" w:eastAsia="Arial" w:hAnsi="Arial"/>
                <w:sz w:val="18"/>
                <w:szCs w:val="18"/>
                <w:b w:val="1"/>
                <w:bCs w:val="1"/>
                <w:color w:val="auto"/>
                <w:w w:val="92"/>
              </w:rPr>
              <w:t>Name of registered holder (if issued securities)</w:t>
            </w:r>
          </w:p>
        </w:tc>
        <w:tc>
          <w:tcPr>
            <w:tcW w:w="730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324"/>
        </w:trPr>
        <w:tc>
          <w:tcPr>
            <w:tcW w:w="3720" w:type="dxa"/>
            <w:vAlign w:val="bottom"/>
          </w:tcPr>
          <w:p>
            <w:pPr>
              <w:spacing w:after="0"/>
              <w:rPr>
                <w:sz w:val="20"/>
                <w:szCs w:val="20"/>
                <w:color w:val="auto"/>
              </w:rPr>
            </w:pPr>
            <w:r>
              <w:rPr>
                <w:rFonts w:ascii="Arial" w:cs="Arial" w:eastAsia="Arial" w:hAnsi="Arial"/>
                <w:sz w:val="18"/>
                <w:szCs w:val="18"/>
                <w:b w:val="1"/>
                <w:bCs w:val="1"/>
                <w:color w:val="auto"/>
              </w:rPr>
              <w:t>Date of change</w:t>
            </w:r>
          </w:p>
        </w:tc>
        <w:tc>
          <w:tcPr>
            <w:tcW w:w="730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306"/>
        </w:trPr>
        <w:tc>
          <w:tcPr>
            <w:tcW w:w="3720" w:type="dxa"/>
            <w:vAlign w:val="bottom"/>
          </w:tcPr>
          <w:p>
            <w:pPr>
              <w:spacing w:after="0"/>
              <w:rPr>
                <w:sz w:val="20"/>
                <w:szCs w:val="20"/>
                <w:color w:val="auto"/>
              </w:rPr>
            </w:pPr>
            <w:r>
              <w:rPr>
                <w:rFonts w:ascii="Arial" w:cs="Arial" w:eastAsia="Arial" w:hAnsi="Arial"/>
                <w:sz w:val="18"/>
                <w:szCs w:val="18"/>
                <w:b w:val="1"/>
                <w:bCs w:val="1"/>
                <w:color w:val="auto"/>
                <w:w w:val="98"/>
              </w:rPr>
              <w:t>No. and class of securities to which interest</w:t>
            </w:r>
          </w:p>
        </w:tc>
        <w:tc>
          <w:tcPr>
            <w:tcW w:w="730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related prior to change</w:t>
            </w:r>
          </w:p>
        </w:tc>
        <w:tc>
          <w:tcPr>
            <w:tcW w:w="7300" w:type="dxa"/>
            <w:vAlign w:val="bottom"/>
          </w:tcPr>
          <w:p>
            <w:pPr>
              <w:spacing w:after="0"/>
              <w:rPr>
                <w:sz w:val="20"/>
                <w:szCs w:val="20"/>
                <w:color w:val="auto"/>
              </w:rPr>
            </w:pPr>
          </w:p>
        </w:tc>
      </w:tr>
      <w:tr>
        <w:trPr>
          <w:trHeight w:val="323"/>
        </w:trPr>
        <w:tc>
          <w:tcPr>
            <w:tcW w:w="3720" w:type="dxa"/>
            <w:vAlign w:val="bottom"/>
          </w:tcPr>
          <w:p>
            <w:pPr>
              <w:spacing w:after="0"/>
              <w:rPr>
                <w:sz w:val="20"/>
                <w:szCs w:val="20"/>
                <w:color w:val="auto"/>
              </w:rPr>
            </w:pPr>
            <w:r>
              <w:rPr>
                <w:rFonts w:ascii="Arial" w:cs="Arial" w:eastAsia="Arial" w:hAnsi="Arial"/>
                <w:sz w:val="18"/>
                <w:szCs w:val="18"/>
                <w:color w:val="auto"/>
                <w:w w:val="99"/>
              </w:rPr>
              <w:t>Note: Details are only required for a contract in</w:t>
            </w:r>
          </w:p>
        </w:tc>
        <w:tc>
          <w:tcPr>
            <w:tcW w:w="73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relation to which the interest has changed</w:t>
            </w:r>
          </w:p>
        </w:tc>
        <w:tc>
          <w:tcPr>
            <w:tcW w:w="7300" w:type="dxa"/>
            <w:vAlign w:val="bottom"/>
          </w:tcPr>
          <w:p>
            <w:pPr>
              <w:spacing w:after="0"/>
              <w:rPr>
                <w:sz w:val="20"/>
                <w:szCs w:val="20"/>
                <w:color w:val="auto"/>
              </w:rPr>
            </w:pPr>
          </w:p>
        </w:tc>
      </w:tr>
      <w:tr>
        <w:trPr>
          <w:trHeight w:val="338"/>
        </w:trPr>
        <w:tc>
          <w:tcPr>
            <w:tcW w:w="3720" w:type="dxa"/>
            <w:vAlign w:val="bottom"/>
          </w:tcPr>
          <w:p>
            <w:pPr>
              <w:spacing w:after="0"/>
              <w:rPr>
                <w:sz w:val="20"/>
                <w:szCs w:val="20"/>
                <w:color w:val="auto"/>
              </w:rPr>
            </w:pPr>
            <w:r>
              <w:rPr>
                <w:rFonts w:ascii="Arial" w:cs="Arial" w:eastAsia="Arial" w:hAnsi="Arial"/>
                <w:sz w:val="18"/>
                <w:szCs w:val="18"/>
                <w:b w:val="1"/>
                <w:bCs w:val="1"/>
                <w:color w:val="auto"/>
              </w:rPr>
              <w:t>Interest acquired</w:t>
            </w:r>
          </w:p>
        </w:tc>
        <w:tc>
          <w:tcPr>
            <w:tcW w:w="730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324"/>
        </w:trPr>
        <w:tc>
          <w:tcPr>
            <w:tcW w:w="3720" w:type="dxa"/>
            <w:vAlign w:val="bottom"/>
          </w:tcPr>
          <w:p>
            <w:pPr>
              <w:spacing w:after="0"/>
              <w:rPr>
                <w:sz w:val="20"/>
                <w:szCs w:val="20"/>
                <w:color w:val="auto"/>
              </w:rPr>
            </w:pPr>
            <w:r>
              <w:rPr>
                <w:rFonts w:ascii="Arial" w:cs="Arial" w:eastAsia="Arial" w:hAnsi="Arial"/>
                <w:sz w:val="18"/>
                <w:szCs w:val="18"/>
                <w:b w:val="1"/>
                <w:bCs w:val="1"/>
                <w:color w:val="auto"/>
              </w:rPr>
              <w:t>Interest disposed</w:t>
            </w:r>
          </w:p>
        </w:tc>
        <w:tc>
          <w:tcPr>
            <w:tcW w:w="730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324"/>
        </w:trPr>
        <w:tc>
          <w:tcPr>
            <w:tcW w:w="3720" w:type="dxa"/>
            <w:vAlign w:val="bottom"/>
          </w:tcPr>
          <w:p>
            <w:pPr>
              <w:spacing w:after="0"/>
              <w:rPr>
                <w:sz w:val="20"/>
                <w:szCs w:val="20"/>
                <w:color w:val="auto"/>
              </w:rPr>
            </w:pPr>
            <w:r>
              <w:rPr>
                <w:rFonts w:ascii="Arial" w:cs="Arial" w:eastAsia="Arial" w:hAnsi="Arial"/>
                <w:sz w:val="18"/>
                <w:szCs w:val="18"/>
                <w:b w:val="1"/>
                <w:bCs w:val="1"/>
                <w:color w:val="auto"/>
              </w:rPr>
              <w:t>Value/Consideration</w:t>
            </w:r>
          </w:p>
        </w:tc>
        <w:tc>
          <w:tcPr>
            <w:tcW w:w="730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323"/>
        </w:trPr>
        <w:tc>
          <w:tcPr>
            <w:tcW w:w="3720" w:type="dxa"/>
            <w:vAlign w:val="bottom"/>
          </w:tcPr>
          <w:p>
            <w:pPr>
              <w:spacing w:after="0"/>
              <w:rPr>
                <w:sz w:val="20"/>
                <w:szCs w:val="20"/>
                <w:color w:val="auto"/>
              </w:rPr>
            </w:pPr>
            <w:r>
              <w:rPr>
                <w:rFonts w:ascii="Arial" w:cs="Arial" w:eastAsia="Arial" w:hAnsi="Arial"/>
                <w:sz w:val="18"/>
                <w:szCs w:val="18"/>
                <w:color w:val="auto"/>
                <w:w w:val="94"/>
              </w:rPr>
              <w:t>Note: If consideration is non-cash, provide details</w:t>
            </w:r>
          </w:p>
        </w:tc>
        <w:tc>
          <w:tcPr>
            <w:tcW w:w="73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and an estimated valuation</w:t>
            </w:r>
          </w:p>
        </w:tc>
        <w:tc>
          <w:tcPr>
            <w:tcW w:w="7300" w:type="dxa"/>
            <w:vAlign w:val="bottom"/>
          </w:tcPr>
          <w:p>
            <w:pPr>
              <w:spacing w:after="0"/>
              <w:rPr>
                <w:sz w:val="20"/>
                <w:szCs w:val="20"/>
                <w:color w:val="auto"/>
              </w:rPr>
            </w:pPr>
          </w:p>
        </w:tc>
      </w:tr>
      <w:tr>
        <w:trPr>
          <w:trHeight w:val="338"/>
        </w:trPr>
        <w:tc>
          <w:tcPr>
            <w:tcW w:w="3720" w:type="dxa"/>
            <w:vAlign w:val="bottom"/>
          </w:tcPr>
          <w:p>
            <w:pPr>
              <w:spacing w:after="0"/>
              <w:rPr>
                <w:sz w:val="20"/>
                <w:szCs w:val="20"/>
                <w:color w:val="auto"/>
              </w:rPr>
            </w:pPr>
            <w:r>
              <w:rPr>
                <w:rFonts w:ascii="Arial" w:cs="Arial" w:eastAsia="Arial" w:hAnsi="Arial"/>
                <w:sz w:val="18"/>
                <w:szCs w:val="18"/>
                <w:b w:val="1"/>
                <w:bCs w:val="1"/>
                <w:color w:val="auto"/>
              </w:rPr>
              <w:t>Interest after change</w:t>
            </w:r>
          </w:p>
        </w:tc>
        <w:tc>
          <w:tcPr>
            <w:tcW w:w="730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162"/>
        </w:trPr>
        <w:tc>
          <w:tcPr>
            <w:tcW w:w="372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 See chapter 19 for defined terms.</w:t>
            </w:r>
          </w:p>
        </w:tc>
        <w:tc>
          <w:tcPr>
            <w:tcW w:w="730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Appendix 3Y Page 2</w:t>
            </w:r>
          </w:p>
        </w:tc>
        <w:tc>
          <w:tcPr>
            <w:tcW w:w="7300" w:type="dxa"/>
            <w:vAlign w:val="bottom"/>
          </w:tcPr>
          <w:p>
            <w:pPr>
              <w:ind w:left="6480"/>
              <w:spacing w:after="0"/>
              <w:rPr>
                <w:sz w:val="20"/>
                <w:szCs w:val="20"/>
                <w:color w:val="auto"/>
              </w:rPr>
            </w:pPr>
            <w:r>
              <w:rPr>
                <w:rFonts w:ascii="Arial" w:cs="Arial" w:eastAsia="Arial" w:hAnsi="Arial"/>
                <w:sz w:val="18"/>
                <w:szCs w:val="18"/>
                <w:color w:val="auto"/>
                <w:w w:val="88"/>
              </w:rPr>
              <w:t>01/01/2011</w:t>
            </w:r>
          </w:p>
        </w:tc>
      </w:tr>
    </w:tbl>
    <w:p>
      <w:pPr>
        <w:sectPr>
          <w:pgSz w:w="11900" w:h="16838" w:orient="portrait"/>
          <w:cols w:equalWidth="0" w:num="1">
            <w:col w:w="11020"/>
          </w:cols>
          <w:pgMar w:left="440" w:top="270"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3Y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 xml:space="preserve">Part 3 - </w:t>
            </w:r>
            <w:r>
              <w:rPr>
                <w:rFonts w:ascii="Arial" w:cs="Arial" w:eastAsia="Arial" w:hAnsi="Arial"/>
                <w:sz w:val="15"/>
                <w:szCs w:val="15"/>
                <w:b w:val="1"/>
                <w:bCs w:val="1"/>
                <w:color w:val="auto"/>
              </w:rPr>
              <w:t>+</w:t>
            </w:r>
            <w:r>
              <w:rPr>
                <w:rFonts w:ascii="Arial" w:cs="Arial" w:eastAsia="Arial" w:hAnsi="Arial"/>
                <w:sz w:val="18"/>
                <w:szCs w:val="18"/>
                <w:b w:val="1"/>
                <w:bCs w:val="1"/>
                <w:color w:val="auto"/>
              </w:rPr>
              <w:t>Closed period</w:t>
            </w:r>
          </w:p>
        </w:tc>
        <w:tc>
          <w:tcPr>
            <w:tcW w:w="3640" w:type="dxa"/>
            <w:vAlign w:val="bottom"/>
          </w:tcPr>
          <w:p>
            <w:pPr>
              <w:spacing w:after="0"/>
              <w:rPr>
                <w:sz w:val="20"/>
                <w:szCs w:val="20"/>
                <w:color w:val="auto"/>
              </w:rPr>
            </w:pPr>
          </w:p>
        </w:tc>
      </w:tr>
      <w:tr>
        <w:trPr>
          <w:trHeight w:val="441"/>
        </w:trPr>
        <w:tc>
          <w:tcPr>
            <w:tcW w:w="7380" w:type="dxa"/>
            <w:vAlign w:val="bottom"/>
          </w:tcPr>
          <w:p>
            <w:pPr>
              <w:spacing w:after="0"/>
              <w:rPr>
                <w:sz w:val="20"/>
                <w:szCs w:val="20"/>
                <w:color w:val="auto"/>
              </w:rPr>
            </w:pPr>
            <w:r>
              <w:rPr>
                <w:rFonts w:ascii="Arial" w:cs="Arial" w:eastAsia="Arial" w:hAnsi="Arial"/>
                <w:sz w:val="18"/>
                <w:szCs w:val="18"/>
                <w:b w:val="1"/>
                <w:bCs w:val="1"/>
                <w:color w:val="auto"/>
                <w:w w:val="91"/>
              </w:rPr>
              <w:t xml:space="preserve">Were the interests in the securities or contracts detailed above traded during a </w:t>
            </w:r>
            <w:r>
              <w:rPr>
                <w:rFonts w:ascii="Arial" w:cs="Arial" w:eastAsia="Arial" w:hAnsi="Arial"/>
                <w:sz w:val="15"/>
                <w:szCs w:val="15"/>
                <w:b w:val="1"/>
                <w:bCs w:val="1"/>
                <w:color w:val="auto"/>
                <w:w w:val="91"/>
              </w:rPr>
              <w:t>+</w:t>
            </w:r>
            <w:r>
              <w:rPr>
                <w:rFonts w:ascii="Arial" w:cs="Arial" w:eastAsia="Arial" w:hAnsi="Arial"/>
                <w:sz w:val="18"/>
                <w:szCs w:val="18"/>
                <w:b w:val="1"/>
                <w:bCs w:val="1"/>
                <w:color w:val="auto"/>
                <w:w w:val="91"/>
              </w:rPr>
              <w:t>closed period</w:t>
            </w:r>
          </w:p>
        </w:tc>
        <w:tc>
          <w:tcPr>
            <w:tcW w:w="3640" w:type="dxa"/>
            <w:vAlign w:val="bottom"/>
          </w:tcPr>
          <w:p>
            <w:pPr>
              <w:ind w:left="240"/>
              <w:spacing w:after="0"/>
              <w:rPr>
                <w:sz w:val="20"/>
                <w:szCs w:val="20"/>
                <w:color w:val="auto"/>
              </w:rPr>
            </w:pPr>
            <w:r>
              <w:rPr>
                <w:rFonts w:ascii="Arial" w:cs="Arial" w:eastAsia="Arial" w:hAnsi="Arial"/>
                <w:sz w:val="18"/>
                <w:szCs w:val="18"/>
                <w:color w:val="auto"/>
              </w:rPr>
              <w:t>N/A</w:t>
            </w:r>
          </w:p>
        </w:tc>
      </w:t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where prior written clearance was required?</w:t>
            </w:r>
          </w:p>
        </w:tc>
        <w:tc>
          <w:tcPr>
            <w:tcW w:w="3640" w:type="dxa"/>
            <w:vAlign w:val="bottom"/>
          </w:tcPr>
          <w:p>
            <w:pPr>
              <w:spacing w:after="0"/>
              <w:rPr>
                <w:sz w:val="20"/>
                <w:szCs w:val="20"/>
                <w:color w:val="auto"/>
              </w:rPr>
            </w:pPr>
          </w:p>
        </w:tc>
      </w:tr>
      <w:tr>
        <w:trPr>
          <w:trHeight w:val="324"/>
        </w:trPr>
        <w:tc>
          <w:tcPr>
            <w:tcW w:w="7380" w:type="dxa"/>
            <w:vAlign w:val="bottom"/>
          </w:tcPr>
          <w:p>
            <w:pPr>
              <w:spacing w:after="0"/>
              <w:rPr>
                <w:sz w:val="20"/>
                <w:szCs w:val="20"/>
                <w:color w:val="auto"/>
              </w:rPr>
            </w:pPr>
            <w:r>
              <w:rPr>
                <w:rFonts w:ascii="Arial" w:cs="Arial" w:eastAsia="Arial" w:hAnsi="Arial"/>
                <w:sz w:val="18"/>
                <w:szCs w:val="18"/>
                <w:b w:val="1"/>
                <w:bCs w:val="1"/>
                <w:color w:val="auto"/>
                <w:w w:val="94"/>
              </w:rPr>
              <w:t>If so, was prior written clearance provided to allow the trade to proceed during this period?</w:t>
            </w:r>
          </w:p>
        </w:tc>
        <w:tc>
          <w:tcPr>
            <w:tcW w:w="3640" w:type="dxa"/>
            <w:vAlign w:val="bottom"/>
          </w:tcPr>
          <w:p>
            <w:pPr>
              <w:ind w:left="240"/>
              <w:spacing w:after="0"/>
              <w:rPr>
                <w:sz w:val="20"/>
                <w:szCs w:val="20"/>
                <w:color w:val="auto"/>
              </w:rPr>
            </w:pPr>
            <w:r>
              <w:rPr>
                <w:rFonts w:ascii="Arial" w:cs="Arial" w:eastAsia="Arial" w:hAnsi="Arial"/>
                <w:sz w:val="18"/>
                <w:szCs w:val="18"/>
                <w:color w:val="auto"/>
              </w:rPr>
              <w:t>N/A</w:t>
            </w:r>
          </w:p>
        </w:tc>
      </w:tr>
      <w:tr>
        <w:trPr>
          <w:trHeight w:val="324"/>
        </w:trPr>
        <w:tc>
          <w:tcPr>
            <w:tcW w:w="7380" w:type="dxa"/>
            <w:vAlign w:val="bottom"/>
          </w:tcPr>
          <w:p>
            <w:pPr>
              <w:spacing w:after="0"/>
              <w:rPr>
                <w:sz w:val="20"/>
                <w:szCs w:val="20"/>
                <w:color w:val="auto"/>
              </w:rPr>
            </w:pPr>
            <w:r>
              <w:rPr>
                <w:rFonts w:ascii="Arial" w:cs="Arial" w:eastAsia="Arial" w:hAnsi="Arial"/>
                <w:sz w:val="18"/>
                <w:szCs w:val="18"/>
                <w:b w:val="1"/>
                <w:bCs w:val="1"/>
                <w:color w:val="auto"/>
              </w:rPr>
              <w:t>If prior written clearance was provided, on what date was this provided?</w:t>
            </w:r>
          </w:p>
        </w:tc>
        <w:tc>
          <w:tcPr>
            <w:tcW w:w="3640" w:type="dxa"/>
            <w:vAlign w:val="bottom"/>
          </w:tcPr>
          <w:p>
            <w:pPr>
              <w:ind w:left="240"/>
              <w:spacing w:after="0"/>
              <w:rPr>
                <w:sz w:val="20"/>
                <w:szCs w:val="20"/>
                <w:color w:val="auto"/>
              </w:rPr>
            </w:pPr>
            <w:r>
              <w:rPr>
                <w:rFonts w:ascii="Arial" w:cs="Arial" w:eastAsia="Arial" w:hAnsi="Arial"/>
                <w:sz w:val="18"/>
                <w:szCs w:val="18"/>
                <w:color w:val="auto"/>
              </w:rPr>
              <w:t>N/A</w:t>
            </w:r>
          </w:p>
        </w:tc>
      </w:tr>
      <w:tr>
        <w:trPr>
          <w:trHeight w:val="162"/>
        </w:trPr>
        <w:tc>
          <w:tcPr>
            <w:tcW w:w="738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r>
      <w:tr>
        <w:trPr>
          <w:trHeight w:val="237"/>
        </w:trPr>
        <w:tc>
          <w:tcPr>
            <w:tcW w:w="7380" w:type="dxa"/>
            <w:vAlign w:val="bottom"/>
          </w:tcPr>
          <w:p>
            <w:pPr>
              <w:spacing w:after="0"/>
              <w:rPr>
                <w:sz w:val="20"/>
                <w:szCs w:val="20"/>
                <w:color w:val="auto"/>
              </w:rPr>
            </w:pPr>
            <w:r>
              <w:rPr>
                <w:rFonts w:ascii="Arial" w:cs="Arial" w:eastAsia="Arial" w:hAnsi="Arial"/>
                <w:sz w:val="18"/>
                <w:szCs w:val="18"/>
                <w:color w:val="auto"/>
              </w:rPr>
              <w:t>+ See chapter 19 for defined terms.</w:t>
            </w:r>
          </w:p>
        </w:tc>
        <w:tc>
          <w:tcPr>
            <w:tcW w:w="3640" w:type="dxa"/>
            <w:vAlign w:val="bottom"/>
          </w:tcPr>
          <w:p>
            <w:pPr>
              <w:spacing w:after="0"/>
              <w:rPr>
                <w:sz w:val="20"/>
                <w:szCs w:val="20"/>
                <w:color w:val="auto"/>
              </w:rPr>
            </w:pPr>
          </w:p>
        </w:tc>
      </w:tr>
      <w:tr>
        <w:trPr>
          <w:trHeight w:val="432"/>
        </w:trPr>
        <w:tc>
          <w:tcPr>
            <w:tcW w:w="7380" w:type="dxa"/>
            <w:vAlign w:val="bottom"/>
          </w:tcPr>
          <w:p>
            <w:pPr>
              <w:spacing w:after="0"/>
              <w:rPr>
                <w:sz w:val="20"/>
                <w:szCs w:val="20"/>
                <w:color w:val="auto"/>
              </w:rPr>
            </w:pPr>
            <w:r>
              <w:rPr>
                <w:rFonts w:ascii="Arial" w:cs="Arial" w:eastAsia="Arial" w:hAnsi="Arial"/>
                <w:sz w:val="18"/>
                <w:szCs w:val="18"/>
                <w:color w:val="auto"/>
              </w:rPr>
              <w:t>01/01/2011</w:t>
            </w:r>
          </w:p>
        </w:tc>
        <w:tc>
          <w:tcPr>
            <w:tcW w:w="3640" w:type="dxa"/>
            <w:vAlign w:val="bottom"/>
          </w:tcPr>
          <w:p>
            <w:pPr>
              <w:ind w:left="2120"/>
              <w:spacing w:after="0"/>
              <w:rPr>
                <w:sz w:val="20"/>
                <w:szCs w:val="20"/>
                <w:color w:val="auto"/>
              </w:rPr>
            </w:pPr>
            <w:r>
              <w:rPr>
                <w:rFonts w:ascii="Arial" w:cs="Arial" w:eastAsia="Arial" w:hAnsi="Arial"/>
                <w:sz w:val="18"/>
                <w:szCs w:val="18"/>
                <w:color w:val="auto"/>
                <w:w w:val="91"/>
              </w:rPr>
              <w:t>Appendix 3Y Page 3</w:t>
            </w:r>
          </w:p>
        </w:tc>
      </w:tr>
    </w:tbl>
    <w:p>
      <w:pPr>
        <w:sectPr>
          <w:pgSz w:w="11900" w:h="16838" w:orient="portrait"/>
          <w:cols w:equalWidth="0" w:num="1">
            <w:col w:w="11020"/>
          </w:cols>
          <w:pgMar w:left="440" w:top="270"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99.7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3Y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Rule 3.19A.2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3Y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Introduced 30/09/01 Amended 01/01/11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entity: Opthea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ABN 32 006 340 567</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(the entity) give ASX the following information under listing rule 3.19A.2 and as agent for the director for the purposes of section 205G of the Corporations Act.</w:t>
      </w:r>
    </w:p>
    <w:p>
      <w:pPr>
        <w:spacing w:after="0" w:line="193"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b w:val="1"/>
          <w:bCs w:val="1"/>
          <w:color w:val="auto"/>
        </w:rPr>
        <w:t>Name of Director</w:t>
      </w:r>
      <w:r>
        <w:rPr>
          <w:sz w:val="20"/>
          <w:szCs w:val="20"/>
          <w:color w:val="auto"/>
        </w:rPr>
        <w:tab/>
      </w:r>
      <w:r>
        <w:rPr>
          <w:rFonts w:ascii="Arial" w:cs="Arial" w:eastAsia="Arial" w:hAnsi="Arial"/>
          <w:sz w:val="16"/>
          <w:szCs w:val="16"/>
          <w:color w:val="auto"/>
        </w:rPr>
        <w:t>Michael Sistenich</w:t>
      </w:r>
    </w:p>
    <w:p>
      <w:pPr>
        <w:spacing w:after="0" w:line="27"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b w:val="1"/>
          <w:bCs w:val="1"/>
          <w:color w:val="auto"/>
        </w:rPr>
        <w:t>Date of last notice</w:t>
      </w:r>
      <w:r>
        <w:rPr>
          <w:sz w:val="20"/>
          <w:szCs w:val="20"/>
          <w:color w:val="auto"/>
        </w:rPr>
        <w:tab/>
      </w:r>
      <w:r>
        <w:rPr>
          <w:rFonts w:ascii="Arial" w:cs="Arial" w:eastAsia="Arial" w:hAnsi="Arial"/>
          <w:sz w:val="16"/>
          <w:szCs w:val="16"/>
          <w:color w:val="auto"/>
        </w:rPr>
        <w:t>19 March 2019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Change of director’s relevant interests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case of a trust, this includes interests in the trust made available by the responsible entity of the trust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Note: In the case of a company, interests which come within paragraph (i) of the definition of “notifiable interest of a director” should be disclosed in this part.</w:t>
      </w:r>
    </w:p>
    <w:p>
      <w:pPr>
        <w:sectPr>
          <w:pgSz w:w="11900" w:h="16838" w:orient="portrait"/>
          <w:cols w:equalWidth="0" w:num="1">
            <w:col w:w="11020"/>
          </w:cols>
          <w:pgMar w:left="440" w:top="121"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or indirect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indirect interest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(including registered holder)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Note: Provide details of the circumstances giving rise to the relevant interest.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Indirect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BNP Paribas Nominees Pty Ltd (IB AU NOMS RETAILCLIENT DRP):</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Michael Sistenich is closely related to the beneficiary of the account.</w:t>
      </w:r>
    </w:p>
    <w:p>
      <w:pPr>
        <w:spacing w:after="0" w:line="12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Gachis Advisory Pty Ltd: Michael Sistenich is closely related to the beneficiary of the account.</w:t>
      </w:r>
    </w:p>
    <w:p>
      <w:pPr>
        <w:spacing w:after="0" w:line="72" w:lineRule="exact"/>
        <w:rPr>
          <w:sz w:val="20"/>
          <w:szCs w:val="20"/>
          <w:color w:val="auto"/>
        </w:rPr>
      </w:pPr>
    </w:p>
    <w:p>
      <w:pPr>
        <w:sectPr>
          <w:pgSz w:w="11900" w:h="16838" w:orient="portrait"/>
          <w:cols w:equalWidth="0" w:num="2">
            <w:col w:w="5540" w:space="200"/>
            <w:col w:w="5280"/>
          </w:cols>
          <w:pgMar w:left="440" w:top="121" w:right="4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Date of change</w:t>
            </w:r>
          </w:p>
        </w:tc>
        <w:tc>
          <w:tcPr>
            <w:tcW w:w="6740" w:type="dxa"/>
            <w:vAlign w:val="bottom"/>
          </w:tcPr>
          <w:p>
            <w:pPr>
              <w:ind w:left="1460"/>
              <w:spacing w:after="0"/>
              <w:rPr>
                <w:sz w:val="20"/>
                <w:szCs w:val="20"/>
                <w:color w:val="auto"/>
              </w:rPr>
            </w:pPr>
            <w:r>
              <w:rPr>
                <w:rFonts w:ascii="Arial" w:cs="Arial" w:eastAsia="Arial" w:hAnsi="Arial"/>
                <w:sz w:val="18"/>
                <w:szCs w:val="18"/>
                <w:color w:val="auto"/>
              </w:rPr>
              <w:t>4 March 2021</w:t>
            </w:r>
          </w:p>
        </w:tc>
      </w:tr>
      <w:tr>
        <w:trPr>
          <w:trHeight w:val="324"/>
        </w:trPr>
        <w:tc>
          <w:tcPr>
            <w:tcW w:w="4280" w:type="dxa"/>
            <w:vAlign w:val="bottom"/>
          </w:tcPr>
          <w:p>
            <w:pPr>
              <w:spacing w:after="0"/>
              <w:rPr>
                <w:sz w:val="20"/>
                <w:szCs w:val="20"/>
                <w:color w:val="auto"/>
              </w:rPr>
            </w:pPr>
            <w:r>
              <w:rPr>
                <w:rFonts w:ascii="Arial" w:cs="Arial" w:eastAsia="Arial" w:hAnsi="Arial"/>
                <w:sz w:val="18"/>
                <w:szCs w:val="18"/>
                <w:b w:val="1"/>
                <w:bCs w:val="1"/>
                <w:color w:val="auto"/>
              </w:rPr>
              <w:t>No. of securities held prior to change</w:t>
            </w:r>
          </w:p>
        </w:tc>
        <w:tc>
          <w:tcPr>
            <w:tcW w:w="6740" w:type="dxa"/>
            <w:vAlign w:val="bottom"/>
          </w:tcPr>
          <w:p>
            <w:pPr>
              <w:ind w:left="1460"/>
              <w:spacing w:after="0"/>
              <w:rPr>
                <w:sz w:val="20"/>
                <w:szCs w:val="20"/>
                <w:color w:val="auto"/>
              </w:rPr>
            </w:pPr>
            <w:r>
              <w:rPr>
                <w:rFonts w:ascii="Arial" w:cs="Arial" w:eastAsia="Arial" w:hAnsi="Arial"/>
                <w:sz w:val="18"/>
                <w:szCs w:val="18"/>
                <w:color w:val="auto"/>
              </w:rPr>
              <w:t>520,178 ordinary shares fully paid.</w:t>
            </w:r>
          </w:p>
        </w:tc>
      </w:tr>
      <w:tr>
        <w:trPr>
          <w:trHeight w:val="323"/>
        </w:trPr>
        <w:tc>
          <w:tcPr>
            <w:tcW w:w="4280" w:type="dxa"/>
            <w:vAlign w:val="bottom"/>
          </w:tcPr>
          <w:p>
            <w:pPr>
              <w:spacing w:after="0"/>
              <w:rPr>
                <w:sz w:val="24"/>
                <w:szCs w:val="24"/>
                <w:color w:val="auto"/>
              </w:rPr>
            </w:pPr>
          </w:p>
        </w:tc>
        <w:tc>
          <w:tcPr>
            <w:tcW w:w="6740" w:type="dxa"/>
            <w:vAlign w:val="bottom"/>
          </w:tcPr>
          <w:p>
            <w:pPr>
              <w:ind w:left="1460"/>
              <w:spacing w:after="0"/>
              <w:rPr>
                <w:sz w:val="20"/>
                <w:szCs w:val="20"/>
                <w:color w:val="auto"/>
              </w:rPr>
            </w:pPr>
            <w:r>
              <w:rPr>
                <w:rFonts w:ascii="Arial" w:cs="Arial" w:eastAsia="Arial" w:hAnsi="Arial"/>
                <w:sz w:val="18"/>
                <w:szCs w:val="18"/>
                <w:color w:val="auto"/>
                <w:w w:val="94"/>
              </w:rPr>
              <w:t>1,000,000 unquoted options to acquire fully paid ordinary shares at an</w:t>
            </w:r>
          </w:p>
        </w:tc>
      </w:tr>
      <w:tr>
        <w:trPr>
          <w:trHeight w:val="216"/>
        </w:trPr>
        <w:tc>
          <w:tcPr>
            <w:tcW w:w="4280" w:type="dxa"/>
            <w:vAlign w:val="bottom"/>
          </w:tcPr>
          <w:p>
            <w:pPr>
              <w:spacing w:after="0"/>
              <w:rPr>
                <w:sz w:val="18"/>
                <w:szCs w:val="18"/>
                <w:color w:val="auto"/>
              </w:rPr>
            </w:pPr>
          </w:p>
        </w:tc>
        <w:tc>
          <w:tcPr>
            <w:tcW w:w="6740" w:type="dxa"/>
            <w:vAlign w:val="bottom"/>
          </w:tcPr>
          <w:p>
            <w:pPr>
              <w:ind w:left="1460"/>
              <w:spacing w:after="0"/>
              <w:rPr>
                <w:sz w:val="20"/>
                <w:szCs w:val="20"/>
                <w:color w:val="auto"/>
              </w:rPr>
            </w:pPr>
            <w:r>
              <w:rPr>
                <w:rFonts w:ascii="Arial" w:cs="Arial" w:eastAsia="Arial" w:hAnsi="Arial"/>
                <w:sz w:val="18"/>
                <w:szCs w:val="18"/>
                <w:color w:val="auto"/>
                <w:w w:val="96"/>
              </w:rPr>
              <w:t>exercise price of $0.48, expiring on 7 March 2021, granted under the</w:t>
            </w:r>
          </w:p>
        </w:tc>
      </w:tr>
      <w:tr>
        <w:trPr>
          <w:trHeight w:val="230"/>
        </w:trPr>
        <w:tc>
          <w:tcPr>
            <w:tcW w:w="4280" w:type="dxa"/>
            <w:vAlign w:val="bottom"/>
          </w:tcPr>
          <w:p>
            <w:pPr>
              <w:spacing w:after="0"/>
              <w:rPr>
                <w:sz w:val="20"/>
                <w:szCs w:val="20"/>
                <w:color w:val="auto"/>
              </w:rPr>
            </w:pPr>
          </w:p>
        </w:tc>
        <w:tc>
          <w:tcPr>
            <w:tcW w:w="6740" w:type="dxa"/>
            <w:vAlign w:val="bottom"/>
          </w:tcPr>
          <w:p>
            <w:pPr>
              <w:ind w:left="1460"/>
              <w:spacing w:after="0"/>
              <w:rPr>
                <w:sz w:val="20"/>
                <w:szCs w:val="20"/>
                <w:color w:val="auto"/>
              </w:rPr>
            </w:pPr>
            <w:r>
              <w:rPr>
                <w:rFonts w:ascii="Arial" w:cs="Arial" w:eastAsia="Arial" w:hAnsi="Arial"/>
                <w:sz w:val="18"/>
                <w:szCs w:val="18"/>
                <w:color w:val="auto"/>
              </w:rPr>
              <w:t>NED Plan.</w:t>
            </w:r>
          </w:p>
        </w:tc>
      </w:tr>
      <w:tr>
        <w:trPr>
          <w:trHeight w:val="323"/>
        </w:trPr>
        <w:tc>
          <w:tcPr>
            <w:tcW w:w="4280" w:type="dxa"/>
            <w:vAlign w:val="bottom"/>
          </w:tcPr>
          <w:p>
            <w:pPr>
              <w:spacing w:after="0"/>
              <w:rPr>
                <w:sz w:val="24"/>
                <w:szCs w:val="24"/>
                <w:color w:val="auto"/>
              </w:rPr>
            </w:pPr>
          </w:p>
        </w:tc>
        <w:tc>
          <w:tcPr>
            <w:tcW w:w="6740" w:type="dxa"/>
            <w:vAlign w:val="bottom"/>
          </w:tcPr>
          <w:p>
            <w:pPr>
              <w:ind w:left="1460"/>
              <w:spacing w:after="0"/>
              <w:rPr>
                <w:sz w:val="20"/>
                <w:szCs w:val="20"/>
                <w:color w:val="auto"/>
              </w:rPr>
            </w:pPr>
            <w:r>
              <w:rPr>
                <w:rFonts w:ascii="Arial" w:cs="Arial" w:eastAsia="Arial" w:hAnsi="Arial"/>
                <w:sz w:val="18"/>
                <w:szCs w:val="18"/>
                <w:color w:val="auto"/>
                <w:w w:val="94"/>
              </w:rPr>
              <w:t>1,500,000 unquoted options to acquire fully paid ordinary shares at an</w:t>
            </w:r>
          </w:p>
        </w:tc>
      </w:tr>
      <w:tr>
        <w:trPr>
          <w:trHeight w:val="216"/>
        </w:trPr>
        <w:tc>
          <w:tcPr>
            <w:tcW w:w="4280" w:type="dxa"/>
            <w:vAlign w:val="bottom"/>
          </w:tcPr>
          <w:p>
            <w:pPr>
              <w:spacing w:after="0"/>
              <w:rPr>
                <w:sz w:val="18"/>
                <w:szCs w:val="18"/>
                <w:color w:val="auto"/>
              </w:rPr>
            </w:pPr>
          </w:p>
        </w:tc>
        <w:tc>
          <w:tcPr>
            <w:tcW w:w="6740" w:type="dxa"/>
            <w:vAlign w:val="bottom"/>
          </w:tcPr>
          <w:p>
            <w:pPr>
              <w:ind w:left="1460"/>
              <w:spacing w:after="0"/>
              <w:rPr>
                <w:sz w:val="20"/>
                <w:szCs w:val="20"/>
                <w:color w:val="auto"/>
              </w:rPr>
            </w:pPr>
            <w:r>
              <w:rPr>
                <w:rFonts w:ascii="Arial" w:cs="Arial" w:eastAsia="Arial" w:hAnsi="Arial"/>
                <w:sz w:val="18"/>
                <w:szCs w:val="18"/>
                <w:color w:val="auto"/>
                <w:w w:val="92"/>
              </w:rPr>
              <w:t>exercise price of $0.855, expiring on 29 November 2022, granted under</w:t>
            </w:r>
          </w:p>
        </w:tc>
      </w:tr>
      <w:tr>
        <w:trPr>
          <w:trHeight w:val="230"/>
        </w:trPr>
        <w:tc>
          <w:tcPr>
            <w:tcW w:w="4280" w:type="dxa"/>
            <w:vAlign w:val="bottom"/>
          </w:tcPr>
          <w:p>
            <w:pPr>
              <w:spacing w:after="0"/>
              <w:rPr>
                <w:sz w:val="20"/>
                <w:szCs w:val="20"/>
                <w:color w:val="auto"/>
              </w:rPr>
            </w:pPr>
          </w:p>
        </w:tc>
        <w:tc>
          <w:tcPr>
            <w:tcW w:w="6740" w:type="dxa"/>
            <w:vAlign w:val="bottom"/>
          </w:tcPr>
          <w:p>
            <w:pPr>
              <w:ind w:left="1460"/>
              <w:spacing w:after="0"/>
              <w:rPr>
                <w:sz w:val="20"/>
                <w:szCs w:val="20"/>
                <w:color w:val="auto"/>
              </w:rPr>
            </w:pPr>
            <w:r>
              <w:rPr>
                <w:rFonts w:ascii="Arial" w:cs="Arial" w:eastAsia="Arial" w:hAnsi="Arial"/>
                <w:sz w:val="18"/>
                <w:szCs w:val="18"/>
                <w:color w:val="auto"/>
              </w:rPr>
              <w:t>the NED Plan.</w:t>
            </w:r>
          </w:p>
        </w:tc>
      </w:tr>
      <w:tr>
        <w:trPr>
          <w:trHeight w:val="175"/>
        </w:trPr>
        <w:tc>
          <w:tcPr>
            <w:tcW w:w="4280" w:type="dxa"/>
            <w:vAlign w:val="bottom"/>
            <w:tcBorders>
              <w:bottom w:val="single" w:sz="8" w:color="auto"/>
            </w:tcBorders>
          </w:tcPr>
          <w:p>
            <w:pPr>
              <w:spacing w:after="0"/>
              <w:rPr>
                <w:sz w:val="15"/>
                <w:szCs w:val="15"/>
                <w:color w:val="auto"/>
              </w:rPr>
            </w:pPr>
          </w:p>
        </w:tc>
        <w:tc>
          <w:tcPr>
            <w:tcW w:w="6740" w:type="dxa"/>
            <w:vAlign w:val="bottom"/>
            <w:tcBorders>
              <w:bottom w:val="single" w:sz="8" w:color="auto"/>
            </w:tcBorders>
          </w:tcPr>
          <w:p>
            <w:pPr>
              <w:spacing w:after="0"/>
              <w:rPr>
                <w:sz w:val="15"/>
                <w:szCs w:val="15"/>
                <w:color w:val="auto"/>
              </w:rPr>
            </w:pP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 See chapter 19 for defined terms.</w:t>
            </w:r>
          </w:p>
        </w:tc>
        <w:tc>
          <w:tcPr>
            <w:tcW w:w="6740" w:type="dxa"/>
            <w:vAlign w:val="bottom"/>
          </w:tcPr>
          <w:p>
            <w:pPr>
              <w:spacing w:after="0"/>
              <w:rPr>
                <w:sz w:val="21"/>
                <w:szCs w:val="21"/>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01/01/2011</w:t>
            </w:r>
          </w:p>
        </w:tc>
        <w:tc>
          <w:tcPr>
            <w:tcW w:w="6740" w:type="dxa"/>
            <w:vAlign w:val="bottom"/>
          </w:tcPr>
          <w:p>
            <w:pPr>
              <w:ind w:left="5220"/>
              <w:spacing w:after="0"/>
              <w:rPr>
                <w:sz w:val="20"/>
                <w:szCs w:val="20"/>
                <w:color w:val="auto"/>
              </w:rPr>
            </w:pPr>
            <w:r>
              <w:rPr>
                <w:rFonts w:ascii="Arial" w:cs="Arial" w:eastAsia="Arial" w:hAnsi="Arial"/>
                <w:sz w:val="18"/>
                <w:szCs w:val="18"/>
                <w:color w:val="auto"/>
                <w:w w:val="91"/>
              </w:rPr>
              <w:t>Appendix 3Y Page 1</w:t>
            </w:r>
          </w:p>
        </w:tc>
      </w:tr>
    </w:tbl>
    <w:p>
      <w:pPr>
        <w:sectPr>
          <w:pgSz w:w="11900" w:h="16838" w:orient="portrait"/>
          <w:cols w:equalWidth="0" w:num="1">
            <w:col w:w="11020"/>
          </w:cols>
          <w:pgMar w:left="440" w:top="121" w:right="4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3Y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Class</w:t>
            </w:r>
          </w:p>
        </w:tc>
        <w:tc>
          <w:tcPr>
            <w:tcW w:w="5360" w:type="dxa"/>
            <w:vAlign w:val="bottom"/>
          </w:tcPr>
          <w:p>
            <w:pPr>
              <w:ind w:left="200"/>
              <w:spacing w:after="0"/>
              <w:rPr>
                <w:sz w:val="20"/>
                <w:szCs w:val="20"/>
                <w:color w:val="auto"/>
              </w:rPr>
            </w:pPr>
            <w:r>
              <w:rPr>
                <w:rFonts w:ascii="Arial" w:cs="Arial" w:eastAsia="Arial" w:hAnsi="Arial"/>
                <w:sz w:val="18"/>
                <w:szCs w:val="18"/>
                <w:color w:val="auto"/>
              </w:rPr>
              <w:t>Ordinary shares</w:t>
            </w: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0"/>
                <w:szCs w:val="20"/>
                <w:color w:val="auto"/>
              </w:rPr>
            </w:pPr>
            <w:r>
              <w:rPr>
                <w:rFonts w:ascii="Arial" w:cs="Arial" w:eastAsia="Arial" w:hAnsi="Arial"/>
                <w:sz w:val="18"/>
                <w:szCs w:val="18"/>
                <w:b w:val="1"/>
                <w:bCs w:val="1"/>
                <w:color w:val="auto"/>
              </w:rPr>
              <w:t>Number acquired</w:t>
            </w:r>
          </w:p>
        </w:tc>
        <w:tc>
          <w:tcPr>
            <w:tcW w:w="5360" w:type="dxa"/>
            <w:vAlign w:val="bottom"/>
          </w:tcPr>
          <w:p>
            <w:pPr>
              <w:ind w:left="200"/>
              <w:spacing w:after="0"/>
              <w:rPr>
                <w:sz w:val="20"/>
                <w:szCs w:val="20"/>
                <w:color w:val="auto"/>
              </w:rPr>
            </w:pPr>
            <w:r>
              <w:rPr>
                <w:rFonts w:ascii="Arial" w:cs="Arial" w:eastAsia="Arial" w:hAnsi="Arial"/>
                <w:sz w:val="18"/>
                <w:szCs w:val="18"/>
                <w:color w:val="auto"/>
              </w:rPr>
              <w:t>712,919 ordinary shares fully paid</w:t>
            </w: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0"/>
                <w:szCs w:val="20"/>
                <w:color w:val="auto"/>
              </w:rPr>
            </w:pPr>
            <w:r>
              <w:rPr>
                <w:rFonts w:ascii="Arial" w:cs="Arial" w:eastAsia="Arial" w:hAnsi="Arial"/>
                <w:sz w:val="18"/>
                <w:szCs w:val="18"/>
                <w:b w:val="1"/>
                <w:bCs w:val="1"/>
                <w:color w:val="auto"/>
              </w:rPr>
              <w:t>Number disposed</w:t>
            </w:r>
          </w:p>
        </w:tc>
        <w:tc>
          <w:tcPr>
            <w:tcW w:w="5360" w:type="dxa"/>
            <w:vAlign w:val="bottom"/>
          </w:tcPr>
          <w:p>
            <w:pPr>
              <w:ind w:left="2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310"/>
        </w:trPr>
        <w:tc>
          <w:tcPr>
            <w:tcW w:w="5540" w:type="dxa"/>
            <w:vAlign w:val="bottom"/>
          </w:tcPr>
          <w:p>
            <w:pPr>
              <w:spacing w:after="0"/>
              <w:rPr>
                <w:sz w:val="20"/>
                <w:szCs w:val="20"/>
                <w:color w:val="auto"/>
              </w:rPr>
            </w:pPr>
            <w:r>
              <w:rPr>
                <w:rFonts w:ascii="Arial" w:cs="Arial" w:eastAsia="Arial" w:hAnsi="Arial"/>
                <w:sz w:val="18"/>
                <w:szCs w:val="18"/>
                <w:b w:val="1"/>
                <w:bCs w:val="1"/>
                <w:color w:val="auto"/>
              </w:rPr>
              <w:t>Value/Consideration</w:t>
            </w:r>
          </w:p>
        </w:tc>
        <w:tc>
          <w:tcPr>
            <w:tcW w:w="5360" w:type="dxa"/>
            <w:vAlign w:val="bottom"/>
          </w:tcPr>
          <w:p>
            <w:pPr>
              <w:ind w:left="200"/>
              <w:spacing w:after="0"/>
              <w:rPr>
                <w:sz w:val="20"/>
                <w:szCs w:val="20"/>
                <w:color w:val="auto"/>
              </w:rPr>
            </w:pPr>
            <w:r>
              <w:rPr>
                <w:rFonts w:ascii="Arial" w:cs="Arial" w:eastAsia="Arial" w:hAnsi="Arial"/>
                <w:sz w:val="18"/>
                <w:szCs w:val="18"/>
                <w:color w:val="auto"/>
                <w:w w:val="92"/>
              </w:rPr>
              <w:t>Unquoted options exercised on a cashless basis at $0.48 per ordinary</w:t>
            </w:r>
          </w:p>
        </w:tc>
        <w:tc>
          <w:tcPr>
            <w:tcW w:w="0" w:type="dxa"/>
            <w:vAlign w:val="bottom"/>
          </w:tcPr>
          <w:p>
            <w:pPr>
              <w:spacing w:after="0"/>
              <w:rPr>
                <w:sz w:val="1"/>
                <w:szCs w:val="1"/>
                <w:color w:val="auto"/>
              </w:rPr>
            </w:pPr>
          </w:p>
        </w:tc>
      </w:tr>
      <w:tr>
        <w:trPr>
          <w:trHeight w:val="230"/>
        </w:trPr>
        <w:tc>
          <w:tcPr>
            <w:tcW w:w="5540" w:type="dxa"/>
            <w:vAlign w:val="bottom"/>
            <w:vMerge w:val="restart"/>
          </w:tcPr>
          <w:p>
            <w:pPr>
              <w:spacing w:after="0"/>
              <w:rPr>
                <w:sz w:val="20"/>
                <w:szCs w:val="20"/>
                <w:color w:val="auto"/>
              </w:rPr>
            </w:pPr>
            <w:r>
              <w:rPr>
                <w:rFonts w:ascii="Arial" w:cs="Arial" w:eastAsia="Arial" w:hAnsi="Arial"/>
                <w:sz w:val="18"/>
                <w:szCs w:val="18"/>
                <w:color w:val="auto"/>
                <w:w w:val="93"/>
              </w:rPr>
              <w:t>Note: If consideration is non-cash, provide details and estimated valuation</w:t>
            </w:r>
          </w:p>
        </w:tc>
        <w:tc>
          <w:tcPr>
            <w:tcW w:w="5360" w:type="dxa"/>
            <w:vAlign w:val="bottom"/>
          </w:tcPr>
          <w:p>
            <w:pPr>
              <w:ind w:left="200"/>
              <w:spacing w:after="0"/>
              <w:rPr>
                <w:sz w:val="20"/>
                <w:szCs w:val="20"/>
                <w:color w:val="auto"/>
              </w:rPr>
            </w:pPr>
            <w:r>
              <w:rPr>
                <w:rFonts w:ascii="Arial" w:cs="Arial" w:eastAsia="Arial" w:hAnsi="Arial"/>
                <w:sz w:val="18"/>
                <w:szCs w:val="18"/>
                <w:color w:val="auto"/>
              </w:rPr>
              <w:t>share.</w:t>
            </w:r>
          </w:p>
        </w:tc>
        <w:tc>
          <w:tcPr>
            <w:tcW w:w="0" w:type="dxa"/>
            <w:vAlign w:val="bottom"/>
          </w:tcPr>
          <w:p>
            <w:pPr>
              <w:spacing w:after="0"/>
              <w:rPr>
                <w:sz w:val="1"/>
                <w:szCs w:val="1"/>
                <w:color w:val="auto"/>
              </w:rPr>
            </w:pPr>
          </w:p>
        </w:tc>
      </w:tr>
      <w:tr>
        <w:trPr>
          <w:trHeight w:val="122"/>
        </w:trPr>
        <w:tc>
          <w:tcPr>
            <w:tcW w:w="5540" w:type="dxa"/>
            <w:vAlign w:val="bottom"/>
            <w:vMerge w:val="continue"/>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5540" w:type="dxa"/>
            <w:vAlign w:val="bottom"/>
          </w:tcPr>
          <w:p>
            <w:pPr>
              <w:spacing w:after="0"/>
              <w:rPr>
                <w:sz w:val="20"/>
                <w:szCs w:val="20"/>
                <w:color w:val="auto"/>
              </w:rPr>
            </w:pPr>
            <w:r>
              <w:rPr>
                <w:rFonts w:ascii="Arial" w:cs="Arial" w:eastAsia="Arial" w:hAnsi="Arial"/>
                <w:sz w:val="18"/>
                <w:szCs w:val="18"/>
                <w:b w:val="1"/>
                <w:bCs w:val="1"/>
                <w:color w:val="auto"/>
              </w:rPr>
              <w:t>No. of securities held after change</w:t>
            </w:r>
          </w:p>
        </w:tc>
        <w:tc>
          <w:tcPr>
            <w:tcW w:w="5360" w:type="dxa"/>
            <w:vAlign w:val="bottom"/>
          </w:tcPr>
          <w:p>
            <w:pPr>
              <w:ind w:left="200"/>
              <w:spacing w:after="0"/>
              <w:rPr>
                <w:sz w:val="20"/>
                <w:szCs w:val="20"/>
                <w:color w:val="auto"/>
              </w:rPr>
            </w:pPr>
            <w:r>
              <w:rPr>
                <w:rFonts w:ascii="Arial" w:cs="Arial" w:eastAsia="Arial" w:hAnsi="Arial"/>
                <w:sz w:val="18"/>
                <w:szCs w:val="18"/>
                <w:color w:val="auto"/>
              </w:rPr>
              <w:t>1,233,097 ordinary shares fully paid.</w:t>
            </w:r>
          </w:p>
        </w:tc>
        <w:tc>
          <w:tcPr>
            <w:tcW w:w="0" w:type="dxa"/>
            <w:vAlign w:val="bottom"/>
          </w:tcPr>
          <w:p>
            <w:pPr>
              <w:spacing w:after="0"/>
              <w:rPr>
                <w:sz w:val="1"/>
                <w:szCs w:val="1"/>
                <w:color w:val="auto"/>
              </w:rPr>
            </w:pPr>
          </w:p>
        </w:tc>
      </w:tr>
      <w:tr>
        <w:trPr>
          <w:trHeight w:val="323"/>
        </w:trPr>
        <w:tc>
          <w:tcPr>
            <w:tcW w:w="5540" w:type="dxa"/>
            <w:vAlign w:val="bottom"/>
          </w:tcPr>
          <w:p>
            <w:pPr>
              <w:spacing w:after="0"/>
              <w:rPr>
                <w:sz w:val="24"/>
                <w:szCs w:val="24"/>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w w:val="92"/>
              </w:rPr>
              <w:t>1,500,000 unquoted options to acquire fully paid ordinary shares at an</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w w:val="90"/>
              </w:rPr>
              <w:t>exercise price of $0.855, expiring on 29 November 2022, granted under</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the LTIP.</w:t>
            </w:r>
          </w:p>
        </w:tc>
        <w:tc>
          <w:tcPr>
            <w:tcW w:w="0" w:type="dxa"/>
            <w:vAlign w:val="bottom"/>
          </w:tcPr>
          <w:p>
            <w:pPr>
              <w:spacing w:after="0"/>
              <w:rPr>
                <w:sz w:val="1"/>
                <w:szCs w:val="1"/>
                <w:color w:val="auto"/>
              </w:rPr>
            </w:pPr>
          </w:p>
        </w:tc>
      </w:tr>
      <w:tr>
        <w:trPr>
          <w:trHeight w:val="338"/>
        </w:trPr>
        <w:tc>
          <w:tcPr>
            <w:tcW w:w="5540" w:type="dxa"/>
            <w:vAlign w:val="bottom"/>
          </w:tcPr>
          <w:p>
            <w:pPr>
              <w:spacing w:after="0"/>
              <w:rPr>
                <w:sz w:val="20"/>
                <w:szCs w:val="20"/>
                <w:color w:val="auto"/>
              </w:rPr>
            </w:pPr>
            <w:r>
              <w:rPr>
                <w:rFonts w:ascii="Arial" w:cs="Arial" w:eastAsia="Arial" w:hAnsi="Arial"/>
                <w:sz w:val="18"/>
                <w:szCs w:val="18"/>
                <w:b w:val="1"/>
                <w:bCs w:val="1"/>
                <w:color w:val="auto"/>
              </w:rPr>
              <w:t>Nature of change</w:t>
            </w:r>
          </w:p>
        </w:tc>
        <w:tc>
          <w:tcPr>
            <w:tcW w:w="5360" w:type="dxa"/>
            <w:vAlign w:val="bottom"/>
          </w:tcPr>
          <w:p>
            <w:pPr>
              <w:ind w:left="200"/>
              <w:spacing w:after="0"/>
              <w:rPr>
                <w:sz w:val="20"/>
                <w:szCs w:val="20"/>
                <w:color w:val="auto"/>
              </w:rPr>
            </w:pPr>
            <w:r>
              <w:rPr>
                <w:rFonts w:ascii="Arial" w:cs="Arial" w:eastAsia="Arial" w:hAnsi="Arial"/>
                <w:sz w:val="18"/>
                <w:szCs w:val="18"/>
                <w:color w:val="auto"/>
              </w:rPr>
              <w:t>Exercise of unquoted options</w:t>
            </w:r>
          </w:p>
        </w:tc>
        <w:tc>
          <w:tcPr>
            <w:tcW w:w="0" w:type="dxa"/>
            <w:vAlign w:val="bottom"/>
          </w:tcPr>
          <w:p>
            <w:pPr>
              <w:spacing w:after="0"/>
              <w:rPr>
                <w:sz w:val="1"/>
                <w:szCs w:val="1"/>
                <w:color w:val="auto"/>
              </w:rPr>
            </w:pPr>
          </w:p>
        </w:tc>
      </w:tr>
      <w:tr>
        <w:trPr>
          <w:trHeight w:val="323"/>
        </w:trPr>
        <w:tc>
          <w:tcPr>
            <w:tcW w:w="5540" w:type="dxa"/>
            <w:vAlign w:val="bottom"/>
          </w:tcPr>
          <w:p>
            <w:pPr>
              <w:spacing w:after="0"/>
              <w:rPr>
                <w:sz w:val="20"/>
                <w:szCs w:val="20"/>
                <w:color w:val="auto"/>
              </w:rPr>
            </w:pPr>
            <w:r>
              <w:rPr>
                <w:rFonts w:ascii="Arial" w:cs="Arial" w:eastAsia="Arial" w:hAnsi="Arial"/>
                <w:sz w:val="18"/>
                <w:szCs w:val="18"/>
                <w:color w:val="auto"/>
                <w:w w:val="95"/>
              </w:rPr>
              <w:t>Example: on-market trade, off-market trade, exercise of options, issue of</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securities under dividend reinvestment plan, participation in buy-back</w:t>
            </w:r>
          </w:p>
        </w:tc>
        <w:tc>
          <w:tcPr>
            <w:tcW w:w="5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Change of director’s interests in contracts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Note: In the case of a company, interests which come within paragraph (ii) of the definition of “notifiable interest of a director” should be disclosed in this part.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Detail of contract</w:t>
            </w:r>
          </w:p>
        </w:tc>
        <w:tc>
          <w:tcPr>
            <w:tcW w:w="53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24"/>
        </w:trPr>
        <w:tc>
          <w:tcPr>
            <w:tcW w:w="5640" w:type="dxa"/>
            <w:vAlign w:val="bottom"/>
          </w:tcPr>
          <w:p>
            <w:pPr>
              <w:spacing w:after="0"/>
              <w:rPr>
                <w:sz w:val="20"/>
                <w:szCs w:val="20"/>
                <w:color w:val="auto"/>
              </w:rPr>
            </w:pPr>
            <w:r>
              <w:rPr>
                <w:rFonts w:ascii="Arial" w:cs="Arial" w:eastAsia="Arial" w:hAnsi="Arial"/>
                <w:sz w:val="18"/>
                <w:szCs w:val="18"/>
                <w:b w:val="1"/>
                <w:bCs w:val="1"/>
                <w:color w:val="auto"/>
              </w:rPr>
              <w:t>Nature of interest</w:t>
            </w:r>
          </w:p>
        </w:tc>
        <w:tc>
          <w:tcPr>
            <w:tcW w:w="53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24"/>
        </w:trPr>
        <w:tc>
          <w:tcPr>
            <w:tcW w:w="5640" w:type="dxa"/>
            <w:vAlign w:val="bottom"/>
          </w:tcPr>
          <w:p>
            <w:pPr>
              <w:spacing w:after="0"/>
              <w:rPr>
                <w:sz w:val="20"/>
                <w:szCs w:val="20"/>
                <w:color w:val="auto"/>
              </w:rPr>
            </w:pPr>
            <w:r>
              <w:rPr>
                <w:rFonts w:ascii="Arial" w:cs="Arial" w:eastAsia="Arial" w:hAnsi="Arial"/>
                <w:sz w:val="18"/>
                <w:szCs w:val="18"/>
                <w:b w:val="1"/>
                <w:bCs w:val="1"/>
                <w:color w:val="auto"/>
              </w:rPr>
              <w:t>Name of registered holder (if issued securities)</w:t>
            </w:r>
          </w:p>
        </w:tc>
        <w:tc>
          <w:tcPr>
            <w:tcW w:w="53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24"/>
        </w:trPr>
        <w:tc>
          <w:tcPr>
            <w:tcW w:w="5640" w:type="dxa"/>
            <w:vAlign w:val="bottom"/>
          </w:tcPr>
          <w:p>
            <w:pPr>
              <w:spacing w:after="0"/>
              <w:rPr>
                <w:sz w:val="20"/>
                <w:szCs w:val="20"/>
                <w:color w:val="auto"/>
              </w:rPr>
            </w:pPr>
            <w:r>
              <w:rPr>
                <w:rFonts w:ascii="Arial" w:cs="Arial" w:eastAsia="Arial" w:hAnsi="Arial"/>
                <w:sz w:val="18"/>
                <w:szCs w:val="18"/>
                <w:b w:val="1"/>
                <w:bCs w:val="1"/>
                <w:color w:val="auto"/>
              </w:rPr>
              <w:t>Date of change</w:t>
            </w:r>
          </w:p>
        </w:tc>
        <w:tc>
          <w:tcPr>
            <w:tcW w:w="53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24"/>
        </w:trPr>
        <w:tc>
          <w:tcPr>
            <w:tcW w:w="5640" w:type="dxa"/>
            <w:vAlign w:val="bottom"/>
          </w:tcPr>
          <w:p>
            <w:pPr>
              <w:spacing w:after="0"/>
              <w:rPr>
                <w:sz w:val="20"/>
                <w:szCs w:val="20"/>
                <w:color w:val="auto"/>
              </w:rPr>
            </w:pPr>
            <w:r>
              <w:rPr>
                <w:rFonts w:ascii="Arial" w:cs="Arial" w:eastAsia="Arial" w:hAnsi="Arial"/>
                <w:sz w:val="18"/>
                <w:szCs w:val="18"/>
                <w:b w:val="1"/>
                <w:bCs w:val="1"/>
                <w:color w:val="auto"/>
                <w:w w:val="97"/>
              </w:rPr>
              <w:t>No. and class of securities to which interest related prior to change</w:t>
            </w:r>
          </w:p>
        </w:tc>
        <w:tc>
          <w:tcPr>
            <w:tcW w:w="53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23"/>
        </w:trPr>
        <w:tc>
          <w:tcPr>
            <w:tcW w:w="5640" w:type="dxa"/>
            <w:vAlign w:val="bottom"/>
          </w:tcPr>
          <w:p>
            <w:pPr>
              <w:spacing w:after="0"/>
              <w:rPr>
                <w:sz w:val="20"/>
                <w:szCs w:val="20"/>
                <w:color w:val="auto"/>
              </w:rPr>
            </w:pPr>
            <w:r>
              <w:rPr>
                <w:rFonts w:ascii="Arial" w:cs="Arial" w:eastAsia="Arial" w:hAnsi="Arial"/>
                <w:sz w:val="18"/>
                <w:szCs w:val="18"/>
                <w:color w:val="auto"/>
                <w:w w:val="93"/>
              </w:rPr>
              <w:t>Note: Details are only required for a contract in relation to which the interest</w:t>
            </w:r>
          </w:p>
        </w:tc>
        <w:tc>
          <w:tcPr>
            <w:tcW w:w="5380" w:type="dxa"/>
            <w:vAlign w:val="bottom"/>
          </w:tcPr>
          <w:p>
            <w:pPr>
              <w:spacing w:after="0"/>
              <w:rPr>
                <w:sz w:val="24"/>
                <w:szCs w:val="24"/>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has changed</w:t>
            </w:r>
          </w:p>
        </w:tc>
        <w:tc>
          <w:tcPr>
            <w:tcW w:w="5380" w:type="dxa"/>
            <w:vAlign w:val="bottom"/>
          </w:tcPr>
          <w:p>
            <w:pPr>
              <w:spacing w:after="0"/>
              <w:rPr>
                <w:sz w:val="20"/>
                <w:szCs w:val="20"/>
                <w:color w:val="auto"/>
              </w:rPr>
            </w:pPr>
          </w:p>
        </w:tc>
      </w:tr>
      <w:tr>
        <w:trPr>
          <w:trHeight w:val="338"/>
        </w:trPr>
        <w:tc>
          <w:tcPr>
            <w:tcW w:w="5640" w:type="dxa"/>
            <w:vAlign w:val="bottom"/>
          </w:tcPr>
          <w:p>
            <w:pPr>
              <w:spacing w:after="0"/>
              <w:rPr>
                <w:sz w:val="20"/>
                <w:szCs w:val="20"/>
                <w:color w:val="auto"/>
              </w:rPr>
            </w:pPr>
            <w:r>
              <w:rPr>
                <w:rFonts w:ascii="Arial" w:cs="Arial" w:eastAsia="Arial" w:hAnsi="Arial"/>
                <w:sz w:val="18"/>
                <w:szCs w:val="18"/>
                <w:b w:val="1"/>
                <w:bCs w:val="1"/>
                <w:color w:val="auto"/>
              </w:rPr>
              <w:t>Interest acquired</w:t>
            </w:r>
          </w:p>
        </w:tc>
        <w:tc>
          <w:tcPr>
            <w:tcW w:w="53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24"/>
        </w:trPr>
        <w:tc>
          <w:tcPr>
            <w:tcW w:w="5640" w:type="dxa"/>
            <w:vAlign w:val="bottom"/>
          </w:tcPr>
          <w:p>
            <w:pPr>
              <w:spacing w:after="0"/>
              <w:rPr>
                <w:sz w:val="20"/>
                <w:szCs w:val="20"/>
                <w:color w:val="auto"/>
              </w:rPr>
            </w:pPr>
            <w:r>
              <w:rPr>
                <w:rFonts w:ascii="Arial" w:cs="Arial" w:eastAsia="Arial" w:hAnsi="Arial"/>
                <w:sz w:val="18"/>
                <w:szCs w:val="18"/>
                <w:b w:val="1"/>
                <w:bCs w:val="1"/>
                <w:color w:val="auto"/>
              </w:rPr>
              <w:t>Interest disposed</w:t>
            </w:r>
          </w:p>
        </w:tc>
        <w:tc>
          <w:tcPr>
            <w:tcW w:w="53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24"/>
        </w:trPr>
        <w:tc>
          <w:tcPr>
            <w:tcW w:w="5640" w:type="dxa"/>
            <w:vAlign w:val="bottom"/>
          </w:tcPr>
          <w:p>
            <w:pPr>
              <w:spacing w:after="0"/>
              <w:rPr>
                <w:sz w:val="20"/>
                <w:szCs w:val="20"/>
                <w:color w:val="auto"/>
              </w:rPr>
            </w:pPr>
            <w:r>
              <w:rPr>
                <w:rFonts w:ascii="Arial" w:cs="Arial" w:eastAsia="Arial" w:hAnsi="Arial"/>
                <w:sz w:val="18"/>
                <w:szCs w:val="18"/>
                <w:b w:val="1"/>
                <w:bCs w:val="1"/>
                <w:color w:val="auto"/>
              </w:rPr>
              <w:t>Value/Consideration</w:t>
            </w:r>
          </w:p>
        </w:tc>
        <w:tc>
          <w:tcPr>
            <w:tcW w:w="53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338"/>
        </w:trPr>
        <w:tc>
          <w:tcPr>
            <w:tcW w:w="5640" w:type="dxa"/>
            <w:vAlign w:val="bottom"/>
          </w:tcPr>
          <w:p>
            <w:pPr>
              <w:spacing w:after="0"/>
              <w:rPr>
                <w:sz w:val="20"/>
                <w:szCs w:val="20"/>
                <w:color w:val="auto"/>
              </w:rPr>
            </w:pPr>
            <w:r>
              <w:rPr>
                <w:rFonts w:ascii="Arial" w:cs="Arial" w:eastAsia="Arial" w:hAnsi="Arial"/>
                <w:sz w:val="18"/>
                <w:szCs w:val="18"/>
                <w:color w:val="auto"/>
                <w:w w:val="91"/>
              </w:rPr>
              <w:t>Note: If consideration is non-cash, provide details and an estimated valuation</w:t>
            </w:r>
          </w:p>
        </w:tc>
        <w:tc>
          <w:tcPr>
            <w:tcW w:w="5380" w:type="dxa"/>
            <w:vAlign w:val="bottom"/>
          </w:tcPr>
          <w:p>
            <w:pPr>
              <w:spacing w:after="0"/>
              <w:rPr>
                <w:sz w:val="24"/>
                <w:szCs w:val="24"/>
                <w:color w:val="auto"/>
              </w:rPr>
            </w:pPr>
          </w:p>
        </w:tc>
      </w:tr>
      <w:tr>
        <w:trPr>
          <w:trHeight w:val="338"/>
        </w:trPr>
        <w:tc>
          <w:tcPr>
            <w:tcW w:w="5640" w:type="dxa"/>
            <w:vAlign w:val="bottom"/>
          </w:tcPr>
          <w:p>
            <w:pPr>
              <w:spacing w:after="0"/>
              <w:rPr>
                <w:sz w:val="20"/>
                <w:szCs w:val="20"/>
                <w:color w:val="auto"/>
              </w:rPr>
            </w:pPr>
            <w:r>
              <w:rPr>
                <w:rFonts w:ascii="Arial" w:cs="Arial" w:eastAsia="Arial" w:hAnsi="Arial"/>
                <w:sz w:val="18"/>
                <w:szCs w:val="18"/>
                <w:b w:val="1"/>
                <w:bCs w:val="1"/>
                <w:color w:val="auto"/>
              </w:rPr>
              <w:t>Interest after change</w:t>
            </w:r>
          </w:p>
        </w:tc>
        <w:tc>
          <w:tcPr>
            <w:tcW w:w="538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162"/>
        </w:trPr>
        <w:tc>
          <w:tcPr>
            <w:tcW w:w="564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tcPr>
          <w:p>
            <w:pPr>
              <w:spacing w:after="0"/>
              <w:rPr>
                <w:sz w:val="14"/>
                <w:szCs w:val="14"/>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 See chapter 19 for defined terms.</w:t>
            </w:r>
          </w:p>
        </w:tc>
        <w:tc>
          <w:tcPr>
            <w:tcW w:w="5380" w:type="dxa"/>
            <w:vAlign w:val="bottom"/>
          </w:tcPr>
          <w:p>
            <w:pPr>
              <w:spacing w:after="0"/>
              <w:rPr>
                <w:sz w:val="20"/>
                <w:szCs w:val="20"/>
                <w:color w:val="auto"/>
              </w:rPr>
            </w:pP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Appendix 3Y Page 2</w:t>
            </w:r>
          </w:p>
        </w:tc>
        <w:tc>
          <w:tcPr>
            <w:tcW w:w="5380" w:type="dxa"/>
            <w:vAlign w:val="bottom"/>
          </w:tcPr>
          <w:p>
            <w:pPr>
              <w:ind w:left="4560"/>
              <w:spacing w:after="0"/>
              <w:rPr>
                <w:sz w:val="20"/>
                <w:szCs w:val="20"/>
                <w:color w:val="auto"/>
              </w:rPr>
            </w:pPr>
            <w:r>
              <w:rPr>
                <w:rFonts w:ascii="Arial" w:cs="Arial" w:eastAsia="Arial" w:hAnsi="Arial"/>
                <w:sz w:val="18"/>
                <w:szCs w:val="18"/>
                <w:color w:val="auto"/>
                <w:w w:val="88"/>
              </w:rPr>
              <w:t>01/01/2011</w:t>
            </w:r>
          </w:p>
        </w:tc>
      </w:tr>
    </w:tbl>
    <w:p>
      <w:pPr>
        <w:sectPr>
          <w:pgSz w:w="11900" w:h="16838" w:orient="portrait"/>
          <w:cols w:equalWidth="0" w:num="1">
            <w:col w:w="11020"/>
          </w:cols>
          <w:pgMar w:left="440" w:top="270"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3Y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3 - </w:t>
      </w:r>
      <w:r>
        <w:rPr>
          <w:rFonts w:ascii="Arial" w:cs="Arial" w:eastAsia="Arial" w:hAnsi="Arial"/>
          <w:sz w:val="15"/>
          <w:szCs w:val="15"/>
          <w:b w:val="1"/>
          <w:bCs w:val="1"/>
          <w:color w:val="auto"/>
        </w:rPr>
        <w:t>+</w:t>
      </w:r>
      <w:r>
        <w:rPr>
          <w:rFonts w:ascii="Arial" w:cs="Arial" w:eastAsia="Arial" w:hAnsi="Arial"/>
          <w:sz w:val="18"/>
          <w:szCs w:val="18"/>
          <w:b w:val="1"/>
          <w:bCs w:val="1"/>
          <w:color w:val="auto"/>
        </w:rPr>
        <w:t>Closed period</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Were the interests in the securities or contracts detailed above traded during a </w:t>
      </w:r>
      <w:r>
        <w:rPr>
          <w:rFonts w:ascii="Arial" w:cs="Arial" w:eastAsia="Arial" w:hAnsi="Arial"/>
          <w:sz w:val="15"/>
          <w:szCs w:val="15"/>
          <w:b w:val="1"/>
          <w:bCs w:val="1"/>
          <w:color w:val="auto"/>
        </w:rPr>
        <w:t>+</w:t>
      </w:r>
      <w:r>
        <w:rPr>
          <w:rFonts w:ascii="Arial" w:cs="Arial" w:eastAsia="Arial" w:hAnsi="Arial"/>
          <w:sz w:val="18"/>
          <w:szCs w:val="18"/>
          <w:b w:val="1"/>
          <w:bCs w:val="1"/>
          <w:color w:val="auto"/>
        </w:rPr>
        <w:t>closed period where prior written clearance was required?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so, was prior written clearance provided to allow the trade to proceed during this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prior written clearance was provided, on what date was this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N/A</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N/A</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N/A</w:t>
      </w:r>
    </w:p>
    <w:p>
      <w:pPr>
        <w:spacing w:after="0" w:line="329" w:lineRule="exact"/>
        <w:rPr>
          <w:sz w:val="20"/>
          <w:szCs w:val="20"/>
          <w:color w:val="auto"/>
        </w:rPr>
      </w:pPr>
    </w:p>
    <w:p>
      <w:pPr>
        <w:sectPr>
          <w:pgSz w:w="11900" w:h="16838" w:orient="portrait"/>
          <w:cols w:equalWidth="0" w:num="2">
            <w:col w:w="7140" w:space="480"/>
            <w:col w:w="3400"/>
          </w:cols>
          <w:pgMar w:left="440" w:top="270" w:right="4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pacing w:after="0" w:line="225" w:lineRule="exact"/>
        <w:rPr>
          <w:sz w:val="20"/>
          <w:szCs w:val="20"/>
          <w:color w:val="auto"/>
        </w:rPr>
      </w:pPr>
    </w:p>
    <w:p>
      <w:pPr>
        <w:spacing w:after="0"/>
        <w:tabs>
          <w:tab w:leader="none" w:pos="9480" w:val="left"/>
        </w:tabs>
        <w:rPr>
          <w:sz w:val="20"/>
          <w:szCs w:val="20"/>
          <w:color w:val="auto"/>
        </w:rPr>
      </w:pPr>
      <w:r>
        <w:rPr>
          <w:rFonts w:ascii="Arial" w:cs="Arial" w:eastAsia="Arial" w:hAnsi="Arial"/>
          <w:sz w:val="16"/>
          <w:szCs w:val="16"/>
          <w:color w:val="auto"/>
        </w:rPr>
        <w:t>01/01/2011</w:t>
      </w:r>
      <w:r>
        <w:rPr>
          <w:sz w:val="20"/>
          <w:szCs w:val="20"/>
          <w:color w:val="auto"/>
        </w:rPr>
        <w:tab/>
      </w:r>
      <w:r>
        <w:rPr>
          <w:rFonts w:ascii="Arial" w:cs="Arial" w:eastAsia="Arial" w:hAnsi="Arial"/>
          <w:sz w:val="16"/>
          <w:szCs w:val="16"/>
          <w:color w:val="auto"/>
        </w:rPr>
        <w:t>Appendix 3Y Page 3</w:t>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2021-03-05T16:01:54Z</dcterms:created>
  <dcterms:modified xsi:type="dcterms:W3CDTF">2021-03-05T16:01:54Z</dcterms:modified>
</cp:coreProperties>
</file>