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167005</wp:posOffset>
            </wp:positionV>
            <wp:extent cx="1423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190500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left="320" w:right="399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 PURSUANT TO RULE 13a-16 OR 15d-16 OF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February,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No. 001-39621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191135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OPTHEA LIMITED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175895</wp:posOffset>
            </wp:positionV>
            <wp:extent cx="1423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Level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650 Chapel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Yarra, Victoria, 3141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159385</wp:posOffset>
            </wp:positionV>
            <wp:extent cx="1423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left="320" w:right="379"/>
        <w:spacing w:after="0" w:line="23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428625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-718185</wp:posOffset>
            </wp:positionH>
            <wp:positionV relativeFrom="paragraph">
              <wp:posOffset>1461770</wp:posOffset>
            </wp:positionV>
            <wp:extent cx="7157720" cy="42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334" w:right="1440" w:bottom="1440" w:gutter="0" w:footer="0" w:header="0"/>
        </w:sectPr>
      </w:pPr>
    </w:p>
    <w:bookmarkStart w:id="1" w:name="page2"/>
    <w:bookmarkEnd w:id="1"/>
    <w:p>
      <w:pPr>
        <w:jc w:val="right"/>
        <w:ind w:right="3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7620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0000FF"/>
        </w:rPr>
        <w:t>Opthea Wet AMD Data Featured at Macula Society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-19685</wp:posOffset>
            </wp:positionH>
            <wp:positionV relativeFrom="paragraph">
              <wp:posOffset>1020445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981" w:right="1440" w:bottom="1440" w:gutter="0" w:footer="0" w:header="0"/>
        </w:sectPr>
      </w:pPr>
    </w:p>
    <w:bookmarkStart w:id="2" w:name="page3"/>
    <w:bookmarkEnd w:id="2"/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OPTHEA LIMITED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Frederic Guerard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Frederic Guerard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6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02/06/2025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621665</wp:posOffset>
            </wp:positionV>
            <wp:extent cx="7157720" cy="425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981" w:right="129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6350</wp:posOffset>
            </wp:positionV>
            <wp:extent cx="1920240" cy="9601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ASX, Nasdaq and Media Release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February 6,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Opthea Wet AMD Data Featured at Macula Society Meeting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Melbourne, Australia, and Princeton, NJ, US, February 6, 2025 </w:t>
      </w:r>
      <w:r>
        <w:rPr>
          <w:rFonts w:ascii="Arial" w:cs="Arial" w:eastAsia="Arial" w:hAnsi="Arial"/>
          <w:sz w:val="20"/>
          <w:szCs w:val="20"/>
          <w:color w:val="auto"/>
        </w:rPr>
        <w:t>-- Opthea Limited (ASX/NASDAQ:OPT, “Opthea”, the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0"/>
          <w:szCs w:val="20"/>
          <w:color w:val="auto"/>
        </w:rPr>
        <w:t>“Company”), a clinical-stage biopharmaceutical company developing novel therapies to treat highly prevalent and progressive retinal diseases, including wet age-related macular degeneration (wet AMD), today announced that sozinibercept will be highlighted during an oral presentation at the Macula Society 48</w:t>
      </w:r>
      <w:r>
        <w:rPr>
          <w:rFonts w:ascii="Arial" w:cs="Arial" w:eastAsia="Arial" w:hAnsi="Arial"/>
          <w:sz w:val="26"/>
          <w:szCs w:val="26"/>
          <w:color w:val="auto"/>
          <w:vertAlign w:val="superscript"/>
        </w:rPr>
        <w:t>th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Annual Meeting being held February 12-15, 2025 in Charlotte Harbor, Florida. The Macula Society is a forum for new research in retinal vascular and macular diseases.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Details are as follows: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Session:</w:t>
        <w:tab/>
        <w:t>Neovascular AMD I: Trials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Timing: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auto"/>
        </w:rPr>
        <w:t>Friday, February 14, 2025, 8:00 to 8:05 AM ET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ind w:left="1440" w:hanging="1497"/>
        <w:spacing w:after="0" w:line="271" w:lineRule="auto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Presentation:</w:t>
        <w:tab/>
        <w:t>Sozinibercept Combination Therapy for Neovascular Age-Related Macular Degeneration: Subgroup Analysis of a Phase 2b Study to Assess the Angiographic Predictors of Response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Presenter: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David S. Boyer, MD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Program: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u w:val="single" w:color="auto"/>
          <w:color w:val="0563C1"/>
        </w:rPr>
        <w:t>https://www.xcdsystem.com/maculasociety/program/5G2onFx/index.cfm?pgid=397&amp;RunRemoveSessionFilter=1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David S. Boyer, MD will present data from the sozinibercept Phase 2b wet AMD trial demonstrating that superior vision and anatomic outcomes were observed with sozinibercept 2 mg combination therapy, compared with standard-of-care ranibizumab alone, with baseline angiographic lesion characteristics predictive of response.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About Opthea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Opthea (ASX/NASDAQ:OPT) is a biopharmaceutical company developing novel therapies to address the unmet needs in the treatment of highly prevalent and progressive retinal diseases, including wet age-related macular degeneration (wet AMD) and diabetic macular edema (DME).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Opthea’s lead product candidate, sozinibercept, is being evaluated in two fully enrolled pivotal Phase 3 clinical trials (COAST, </w:t>
      </w:r>
      <w:r>
        <w:rPr>
          <w:rFonts w:ascii="Arial" w:cs="Arial" w:eastAsia="Arial" w:hAnsi="Arial"/>
          <w:sz w:val="20"/>
          <w:szCs w:val="20"/>
          <w:u w:val="single" w:color="auto"/>
          <w:color w:val="0563C1"/>
        </w:rPr>
        <w:t>NCT04757636</w:t>
      </w:r>
      <w:r>
        <w:rPr>
          <w:rFonts w:ascii="Arial" w:cs="Arial" w:eastAsia="Arial" w:hAnsi="Arial"/>
          <w:sz w:val="20"/>
          <w:szCs w:val="20"/>
          <w:color w:val="000000"/>
        </w:rPr>
        <w:t>, and ShORe,</w:t>
      </w:r>
      <w:r>
        <w:rPr>
          <w:rFonts w:ascii="Arial" w:cs="Arial" w:eastAsia="Arial" w:hAnsi="Arial"/>
          <w:sz w:val="20"/>
          <w:szCs w:val="20"/>
          <w:color w:val="0563C1"/>
        </w:rPr>
        <w:t xml:space="preserve"> </w:t>
      </w:r>
      <w:r>
        <w:rPr>
          <w:rFonts w:ascii="Arial" w:cs="Arial" w:eastAsia="Arial" w:hAnsi="Arial"/>
          <w:sz w:val="20"/>
          <w:szCs w:val="20"/>
          <w:u w:val="single" w:color="auto"/>
          <w:color w:val="0563C1"/>
        </w:rPr>
        <w:t>NCT04757610</w:t>
      </w:r>
      <w:r>
        <w:rPr>
          <w:rFonts w:ascii="Arial" w:cs="Arial" w:eastAsia="Arial" w:hAnsi="Arial"/>
          <w:sz w:val="20"/>
          <w:szCs w:val="20"/>
          <w:color w:val="000000"/>
        </w:rPr>
        <w:t>) for use in combination with standard-of-care anti-VEGF-A therapies to improve</w:t>
      </w:r>
      <w:r>
        <w:rPr>
          <w:rFonts w:ascii="Arial" w:cs="Arial" w:eastAsia="Arial" w:hAnsi="Arial"/>
          <w:sz w:val="20"/>
          <w:szCs w:val="20"/>
          <w:color w:val="0563C1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overall efficacy and deliver superior vision gains compared to standard-of-care anti-VEGF-A agents alone.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 xml:space="preserve">To learn more, visit our website at </w:t>
      </w:r>
      <w:r>
        <w:rPr>
          <w:rFonts w:ascii="Arial" w:cs="Arial" w:eastAsia="Arial" w:hAnsi="Arial"/>
          <w:sz w:val="20"/>
          <w:szCs w:val="20"/>
          <w:u w:val="single" w:color="auto"/>
          <w:color w:val="auto"/>
        </w:rPr>
        <w:t>www.opthea.com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and follow us on </w:t>
      </w:r>
      <w:r>
        <w:rPr>
          <w:rFonts w:ascii="Arial" w:cs="Arial" w:eastAsia="Arial" w:hAnsi="Arial"/>
          <w:sz w:val="20"/>
          <w:szCs w:val="20"/>
          <w:u w:val="single" w:color="auto"/>
          <w:color w:val="0563C1"/>
        </w:rPr>
        <w:t>X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and </w:t>
      </w:r>
      <w:r>
        <w:rPr>
          <w:rFonts w:ascii="Arial" w:cs="Arial" w:eastAsia="Arial" w:hAnsi="Arial"/>
          <w:sz w:val="20"/>
          <w:szCs w:val="20"/>
          <w:u w:val="single" w:color="auto"/>
          <w:color w:val="0563C1"/>
        </w:rPr>
        <w:t>LinkedIn</w:t>
      </w:r>
      <w:r>
        <w:rPr>
          <w:rFonts w:ascii="Arial" w:cs="Arial" w:eastAsia="Arial" w:hAnsi="Arial"/>
          <w:sz w:val="20"/>
          <w:szCs w:val="20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Authorized for release to ASX by Frederic Guerard, PharmD, CEO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918210</wp:posOffset>
            </wp:positionV>
            <wp:extent cx="7157720" cy="425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764" w:right="339" w:bottom="1440" w:gutter="0" w:footer="0" w:header="0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1920240" cy="9601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Investor Inquiries</w:t>
            </w:r>
          </w:p>
        </w:tc>
        <w:tc>
          <w:tcPr>
            <w:tcW w:w="6440" w:type="dxa"/>
            <w:vAlign w:val="bottom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Join our email database to receive program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updates: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PJ Kelleher</w:t>
            </w:r>
          </w:p>
        </w:tc>
        <w:tc>
          <w:tcPr>
            <w:tcW w:w="6440" w:type="dxa"/>
            <w:vAlign w:val="bottom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Tel: +61 (0) 3 9826 0399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800" w:type="dxa"/>
            <w:vAlign w:val="bottom"/>
            <w:gridSpan w:val="6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LifeSci Advisors LLC</w:t>
            </w:r>
          </w:p>
        </w:tc>
        <w:tc>
          <w:tcPr>
            <w:tcW w:w="6440" w:type="dxa"/>
            <w:vAlign w:val="bottom"/>
          </w:tcPr>
          <w:p>
            <w:pPr>
              <w:ind w:left="1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Email: info@opthea.com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800" w:type="dxa"/>
            <w:vAlign w:val="bottom"/>
            <w:gridSpan w:val="6"/>
          </w:tcPr>
          <w:p>
            <w:pPr>
              <w:ind w:left="10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Email: pkelleher@lifesciadvisors.com</w:t>
            </w:r>
          </w:p>
        </w:tc>
        <w:tc>
          <w:tcPr>
            <w:tcW w:w="6440" w:type="dxa"/>
            <w:vAlign w:val="bottom"/>
          </w:tcPr>
          <w:p>
            <w:pPr>
              <w:ind w:left="140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Web: www.opthea.com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  <w:w w:val="91"/>
              </w:rPr>
              <w:t>Phone: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5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617-430 7579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Media Inquiries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4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Silvana Guerci-Lena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4800" w:type="dxa"/>
            <w:vAlign w:val="bottom"/>
            <w:gridSpan w:val="6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NorthStream Global Partners</w:t>
            </w:r>
          </w:p>
        </w:tc>
        <w:tc>
          <w:tcPr>
            <w:tcW w:w="6440" w:type="dxa"/>
            <w:vAlign w:val="bottom"/>
            <w:vMerge w:val="restart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Source: Opthea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800" w:type="dxa"/>
            <w:vAlign w:val="bottom"/>
            <w:gridSpan w:val="6"/>
          </w:tcPr>
          <w:p>
            <w:pPr>
              <w:ind w:left="10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Email:silvana@nsgpllc.com</w:t>
            </w:r>
          </w:p>
        </w:tc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6"/>
        </w:trPr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2025-02-06T05:09:44Z</dcterms:created>
  <dcterms:modified xsi:type="dcterms:W3CDTF">2025-02-06T05:09:44Z</dcterms:modified>
</cp:coreProperties>
</file>