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13G</w:t>
      </w:r>
    </w:p>
    <w:p>
      <w:pPr>
        <w:spacing w:after="0" w:line="225" w:lineRule="exact"/>
        <w:rPr>
          <w:sz w:val="24"/>
          <w:szCs w:val="24"/>
          <w:color w:val="auto"/>
        </w:rPr>
      </w:pPr>
    </w:p>
    <w:p>
      <w:pPr>
        <w:jc w:val="center"/>
        <w:ind w:right="536"/>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36"/>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7" w:lineRule="exact"/>
        <w:rPr>
          <w:sz w:val="24"/>
          <w:szCs w:val="24"/>
          <w:color w:val="auto"/>
        </w:rPr>
      </w:pPr>
    </w:p>
    <w:p>
      <w:pPr>
        <w:jc w:val="center"/>
        <w:ind w:right="536"/>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536"/>
        <w:spacing w:after="0"/>
        <w:rPr>
          <w:sz w:val="20"/>
          <w:szCs w:val="20"/>
          <w:color w:val="auto"/>
        </w:rPr>
      </w:pPr>
      <w:r>
        <w:rPr>
          <w:rFonts w:ascii="Arial" w:cs="Arial" w:eastAsia="Arial" w:hAnsi="Arial"/>
          <w:sz w:val="18"/>
          <w:szCs w:val="18"/>
          <w:color w:val="auto"/>
        </w:rPr>
        <w:t>(Amendment No. )*</w:t>
      </w:r>
    </w:p>
    <w:p>
      <w:pPr>
        <w:spacing w:after="0" w:line="202" w:lineRule="exact"/>
        <w:rPr>
          <w:sz w:val="24"/>
          <w:szCs w:val="24"/>
          <w:color w:val="auto"/>
        </w:rPr>
      </w:pPr>
    </w:p>
    <w:p>
      <w:pPr>
        <w:jc w:val="center"/>
        <w:ind w:right="536"/>
        <w:spacing w:after="0"/>
        <w:rPr>
          <w:sz w:val="20"/>
          <w:szCs w:val="20"/>
          <w:color w:val="auto"/>
        </w:rPr>
      </w:pPr>
      <w:r>
        <w:rPr>
          <w:rFonts w:ascii="Arial" w:cs="Arial" w:eastAsia="Arial" w:hAnsi="Arial"/>
          <w:sz w:val="25"/>
          <w:szCs w:val="25"/>
          <w:b w:val="1"/>
          <w:bCs w:val="1"/>
          <w:color w:val="auto"/>
        </w:rPr>
        <w:t>Opthea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536"/>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536"/>
        <w:spacing w:after="0"/>
        <w:rPr>
          <w:sz w:val="20"/>
          <w:szCs w:val="20"/>
          <w:color w:val="auto"/>
        </w:rPr>
      </w:pPr>
      <w:r>
        <w:rPr>
          <w:rFonts w:ascii="Arial" w:cs="Arial" w:eastAsia="Arial" w:hAnsi="Arial"/>
          <w:sz w:val="18"/>
          <w:szCs w:val="18"/>
          <w:b w:val="1"/>
          <w:bCs w:val="1"/>
          <w:color w:val="auto"/>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36"/>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ind w:left="4464"/>
        <w:spacing w:after="0"/>
        <w:rPr>
          <w:sz w:val="20"/>
          <w:szCs w:val="20"/>
          <w:color w:val="auto"/>
        </w:rPr>
      </w:pPr>
      <w:r>
        <w:rPr>
          <w:rFonts w:ascii="Arial" w:cs="Arial" w:eastAsia="Arial" w:hAnsi="Arial"/>
          <w:sz w:val="18"/>
          <w:szCs w:val="18"/>
          <w:b w:val="1"/>
          <w:bCs w:val="1"/>
          <w:color w:val="auto"/>
        </w:rPr>
        <w:t>68386J208**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874395</wp:posOffset>
            </wp:positionH>
            <wp:positionV relativeFrom="paragraph">
              <wp:posOffset>17145</wp:posOffset>
            </wp:positionV>
            <wp:extent cx="4491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7" w:lineRule="exact"/>
        <w:rPr>
          <w:sz w:val="24"/>
          <w:szCs w:val="24"/>
          <w:color w:val="auto"/>
        </w:rPr>
      </w:pPr>
    </w:p>
    <w:p>
      <w:pPr>
        <w:ind w:left="4284"/>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656"/>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874395</wp:posOffset>
            </wp:positionH>
            <wp:positionV relativeFrom="paragraph">
              <wp:posOffset>17145</wp:posOffset>
            </wp:positionV>
            <wp:extent cx="449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7" w:lineRule="exact"/>
        <w:rPr>
          <w:sz w:val="24"/>
          <w:szCs w:val="24"/>
          <w:color w:val="auto"/>
        </w:rPr>
      </w:pPr>
    </w:p>
    <w:p>
      <w:pPr>
        <w:jc w:val="center"/>
        <w:ind w:right="736"/>
        <w:spacing w:after="0"/>
        <w:rPr>
          <w:sz w:val="20"/>
          <w:szCs w:val="20"/>
          <w:color w:val="auto"/>
        </w:rPr>
      </w:pPr>
      <w:r>
        <w:rPr>
          <w:rFonts w:ascii="Arial" w:cs="Arial" w:eastAsia="Arial" w:hAnsi="Arial"/>
          <w:sz w:val="18"/>
          <w:szCs w:val="18"/>
          <w:color w:val="auto"/>
        </w:rPr>
        <w:t>(Date of Event which Requires Filing of this Statement)</w:t>
      </w:r>
    </w:p>
    <w:p>
      <w:pPr>
        <w:spacing w:after="0" w:line="220" w:lineRule="exact"/>
        <w:rPr>
          <w:sz w:val="24"/>
          <w:szCs w:val="24"/>
          <w:color w:val="auto"/>
        </w:rPr>
      </w:pPr>
    </w:p>
    <w:p>
      <w:pPr>
        <w:ind w:left="644"/>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13d-1(c)</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13d-1(d)</w:t>
      </w:r>
    </w:p>
    <w:p>
      <w:pPr>
        <w:spacing w:after="0" w:line="225" w:lineRule="exact"/>
        <w:rPr>
          <w:sz w:val="24"/>
          <w:szCs w:val="24"/>
          <w:color w:val="auto"/>
        </w:rPr>
      </w:pPr>
    </w:p>
    <w:p>
      <w:pPr>
        <w:ind w:left="4" w:firstLine="648"/>
        <w:spacing w:after="0" w:line="266" w:lineRule="auto"/>
        <w:rPr>
          <w:sz w:val="20"/>
          <w:szCs w:val="20"/>
          <w:color w:val="auto"/>
        </w:rPr>
      </w:pPr>
      <w:r>
        <w:rPr>
          <w:rFonts w:ascii="Arial" w:cs="Arial" w:eastAsia="Arial" w:hAnsi="Arial"/>
          <w:sz w:val="18"/>
          <w:szCs w:val="18"/>
          <w:b w:val="1"/>
          <w:bCs w:val="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6" w:lineRule="exact"/>
        <w:rPr>
          <w:sz w:val="24"/>
          <w:szCs w:val="24"/>
          <w:color w:val="auto"/>
        </w:rPr>
      </w:pPr>
    </w:p>
    <w:p>
      <w:pPr>
        <w:jc w:val="both"/>
        <w:ind w:left="4" w:right="100" w:firstLine="648"/>
        <w:spacing w:after="0" w:line="266" w:lineRule="auto"/>
        <w:rPr>
          <w:sz w:val="20"/>
          <w:szCs w:val="20"/>
          <w:color w:val="auto"/>
        </w:rPr>
      </w:pPr>
      <w:r>
        <w:rPr>
          <w:rFonts w:ascii="Arial" w:cs="Arial" w:eastAsia="Arial" w:hAnsi="Arial"/>
          <w:sz w:val="18"/>
          <w:szCs w:val="18"/>
          <w:b w:val="1"/>
          <w:bCs w:val="1"/>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80" w:lineRule="exact"/>
        <w:rPr>
          <w:sz w:val="24"/>
          <w:szCs w:val="24"/>
          <w:color w:val="auto"/>
        </w:rPr>
      </w:pPr>
    </w:p>
    <w:p>
      <w:pPr>
        <w:ind w:left="644"/>
        <w:spacing w:after="0"/>
        <w:rPr>
          <w:sz w:val="20"/>
          <w:szCs w:val="20"/>
          <w:color w:val="auto"/>
        </w:rPr>
      </w:pPr>
      <w:r>
        <w:rPr>
          <w:rFonts w:ascii="Arial" w:cs="Arial" w:eastAsia="Arial" w:hAnsi="Arial"/>
          <w:sz w:val="18"/>
          <w:szCs w:val="18"/>
          <w:color w:val="auto"/>
        </w:rPr>
        <w:t>**This CUSIP applies to the American Depositary Shares, each representing eight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186055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203200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520700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4"/>
          </w:cols>
          <w:pgMar w:left="976" w:top="675" w:right="4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68386J208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2374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23749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20" w:right="7460" w:hanging="452"/>
        <w:spacing w:after="0" w:line="532" w:lineRule="auto"/>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Baker Bros. Advisors LP</w:t>
      </w:r>
    </w:p>
    <w:p>
      <w:pPr>
        <w:spacing w:after="0" w:line="147" w:lineRule="exact"/>
        <w:rPr>
          <w:sz w:val="20"/>
          <w:szCs w:val="20"/>
          <w:color w:val="auto"/>
        </w:rPr>
      </w:pPr>
    </w:p>
    <w:p>
      <w:pPr>
        <w:ind w:left="360"/>
        <w:spacing w:after="0" w:line="207" w:lineRule="exact"/>
        <w:tabs>
          <w:tab w:leader="none" w:pos="800" w:val="left"/>
          <w:tab w:leader="none" w:pos="101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r>
        <w:rPr>
          <w:sz w:val="20"/>
          <w:szCs w:val="20"/>
          <w:color w:val="auto"/>
        </w:rPr>
        <w:tab/>
      </w:r>
      <w:r>
        <w:rPr>
          <w:rFonts w:ascii="Arial" w:cs="Arial" w:eastAsia="Arial" w:hAnsi="Arial"/>
          <w:sz w:val="16"/>
          <w:szCs w:val="16"/>
          <w:b w:val="1"/>
          <w:bCs w:val="1"/>
          <w:color w:val="auto"/>
        </w:rPr>
        <w:t xml:space="preserve">(a) </w:t>
      </w:r>
      <w:r>
        <w:rPr>
          <w:rFonts w:ascii="MS PGothic" w:cs="MS PGothic" w:eastAsia="MS PGothic" w:hAnsi="MS PGothic"/>
          <w:sz w:val="16"/>
          <w:szCs w:val="16"/>
          <w:color w:val="auto"/>
        </w:rPr>
        <w:t>☐</w:t>
      </w:r>
    </w:p>
    <w:p>
      <w:pPr>
        <w:spacing w:after="0" w:line="51" w:lineRule="exact"/>
        <w:rPr>
          <w:sz w:val="20"/>
          <w:szCs w:val="20"/>
          <w:color w:val="auto"/>
        </w:rPr>
      </w:pPr>
    </w:p>
    <w:p>
      <w:pPr>
        <w:jc w:val="right"/>
        <w:ind w:right="70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820" w:hanging="452"/>
        <w:spacing w:after="0"/>
        <w:tabs>
          <w:tab w:leader="none" w:pos="8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5" w:lineRule="exact"/>
        <w:rPr>
          <w:sz w:val="20"/>
          <w:szCs w:val="20"/>
          <w:color w:val="auto"/>
        </w:rPr>
      </w:pPr>
    </w:p>
    <w:p>
      <w:pPr>
        <w:ind w:left="820" w:right="6480" w:hanging="452"/>
        <w:spacing w:after="0" w:line="532" w:lineRule="auto"/>
        <w:tabs>
          <w:tab w:leader="none" w:pos="8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77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ectPr>
          <w:pgSz w:w="11900" w:h="16838" w:orient="portrait"/>
          <w:cols w:equalWidth="0" w:num="1">
            <w:col w:w="11240"/>
          </w:cols>
          <w:pgMar w:left="320" w:top="904" w:right="339" w:bottom="10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811" w:right="6760" w:hanging="811"/>
        <w:spacing w:after="0" w:line="532" w:lineRule="auto"/>
        <w:tabs>
          <w:tab w:leader="none" w:pos="45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33,963,240 (1)</w:t>
      </w:r>
    </w:p>
    <w:p>
      <w:pPr>
        <w:spacing w:after="0" w:line="176" w:lineRule="exact"/>
        <w:rPr>
          <w:sz w:val="20"/>
          <w:szCs w:val="20"/>
          <w:color w:val="auto"/>
        </w:rPr>
      </w:pPr>
    </w:p>
    <w:p>
      <w:pPr>
        <w:ind w:left="811" w:right="6500" w:hanging="811"/>
        <w:spacing w:after="0" w:line="532" w:lineRule="auto"/>
        <w:tabs>
          <w:tab w:leader="none" w:pos="451"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spacing w:after="0" w:line="176" w:lineRule="exact"/>
        <w:rPr>
          <w:sz w:val="20"/>
          <w:szCs w:val="20"/>
          <w:color w:val="auto"/>
        </w:rPr>
      </w:pPr>
    </w:p>
    <w:p>
      <w:pPr>
        <w:ind w:left="811" w:right="6320" w:hanging="811"/>
        <w:spacing w:after="0" w:line="532" w:lineRule="auto"/>
        <w:tabs>
          <w:tab w:leader="none" w:pos="451"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33,963,240 (1)</w:t>
      </w:r>
    </w:p>
    <w:p>
      <w:pPr>
        <w:spacing w:after="0" w:line="176" w:lineRule="exact"/>
        <w:rPr>
          <w:sz w:val="20"/>
          <w:szCs w:val="20"/>
          <w:color w:val="auto"/>
        </w:rPr>
      </w:pPr>
    </w:p>
    <w:p>
      <w:pPr>
        <w:ind w:left="811" w:right="6060" w:hanging="811"/>
        <w:spacing w:after="0" w:line="532" w:lineRule="auto"/>
        <w:tabs>
          <w:tab w:leader="none" w:pos="451"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-4445</wp:posOffset>
            </wp:positionV>
            <wp:extent cx="7132320" cy="2503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1540" w:space="509"/>
            <w:col w:w="9191"/>
          </w:cols>
          <w:pgMar w:left="320" w:top="904" w:right="339" w:bottom="1062" w:gutter="0" w:footer="0" w:header="0"/>
          <w:type w:val="continuous"/>
        </w:sectPr>
      </w:pPr>
    </w:p>
    <w:p>
      <w:pPr>
        <w:ind w:left="1180" w:right="3480" w:hanging="812"/>
        <w:spacing w:after="0" w:line="532" w:lineRule="auto"/>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33,963,240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10</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04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660" w:type="dxa"/>
            <w:vAlign w:val="bottom"/>
          </w:tcPr>
          <w:p>
            <w:pPr>
              <w:spacing w:after="0"/>
              <w:rPr>
                <w:sz w:val="20"/>
                <w:szCs w:val="20"/>
                <w:color w:val="auto"/>
              </w:rPr>
            </w:pP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(See Instructions)</w:t>
            </w:r>
          </w:p>
        </w:tc>
        <w:tc>
          <w:tcPr>
            <w:tcW w:w="2040" w:type="dxa"/>
            <w:vAlign w:val="bottom"/>
          </w:tcPr>
          <w:p>
            <w:pPr>
              <w:spacing w:after="0"/>
              <w:rPr>
                <w:sz w:val="20"/>
                <w:szCs w:val="20"/>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425"/>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11</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9.8% (1)(2)</w:t>
            </w:r>
          </w:p>
        </w:tc>
        <w:tc>
          <w:tcPr>
            <w:tcW w:w="2040" w:type="dxa"/>
            <w:vAlign w:val="bottom"/>
          </w:tcPr>
          <w:p>
            <w:pPr>
              <w:spacing w:after="0"/>
              <w:rPr>
                <w:sz w:val="24"/>
                <w:szCs w:val="24"/>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411"/>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TYPE OF REPORTING PERSON (See Instructions)</w:t>
            </w:r>
          </w:p>
        </w:tc>
        <w:tc>
          <w:tcPr>
            <w:tcW w:w="204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8540" w:type="dxa"/>
            <w:vAlign w:val="bottom"/>
          </w:tcPr>
          <w:p>
            <w:pPr>
              <w:ind w:left="440"/>
              <w:spacing w:after="0"/>
              <w:rPr>
                <w:sz w:val="20"/>
                <w:szCs w:val="20"/>
                <w:color w:val="auto"/>
              </w:rPr>
            </w:pPr>
            <w:r>
              <w:rPr>
                <w:rFonts w:ascii="Arial" w:cs="Arial" w:eastAsia="Arial" w:hAnsi="Arial"/>
                <w:sz w:val="18"/>
                <w:szCs w:val="18"/>
                <w:color w:val="auto"/>
              </w:rPr>
              <w:t>IA, PN</w:t>
            </w:r>
          </w:p>
        </w:tc>
        <w:tc>
          <w:tcPr>
            <w:tcW w:w="2040" w:type="dxa"/>
            <w:vAlign w:val="bottom"/>
          </w:tcPr>
          <w:p>
            <w:pPr>
              <w:spacing w:after="0"/>
              <w:rPr>
                <w:sz w:val="20"/>
                <w:szCs w:val="20"/>
                <w:color w:val="auto"/>
              </w:rPr>
            </w:pPr>
          </w:p>
        </w:tc>
      </w:tr>
    </w:tbl>
    <w:p>
      <w:pPr>
        <w:spacing w:after="0" w:line="200" w:lineRule="exact"/>
        <w:rPr>
          <w:sz w:val="20"/>
          <w:szCs w:val="20"/>
          <w:color w:val="auto"/>
        </w:rPr>
      </w:pPr>
    </w:p>
    <w:p>
      <w:pPr>
        <w:spacing w:after="0" w:line="231" w:lineRule="exact"/>
        <w:rPr>
          <w:sz w:val="20"/>
          <w:szCs w:val="20"/>
          <w:color w:val="auto"/>
        </w:rPr>
      </w:pPr>
    </w:p>
    <w:p>
      <w:pPr>
        <w:ind w:left="980" w:right="260" w:hanging="324"/>
        <w:spacing w:after="0" w:line="25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26,469,640 Ordinary Shares (“Ordinary Shares”) of Opthea Limited (the “Issuer”) that are represented by 3,308,705 American Depositary Shares (“ADS”) and 7,493,600 Ordinary Shares that are represented by 936,700 ADS issuable upon the exercise of Pre-Funded Warrants (as defined in Item 4 and subject to the limitations as described therein) directly held by funds managed by the reporter (the “Funds”). Each ADS represents 8 Ordinary Shares of the Issuer.</w:t>
      </w:r>
    </w:p>
    <w:p>
      <w:pPr>
        <w:spacing w:after="0" w:line="2" w:lineRule="exact"/>
        <w:rPr>
          <w:rFonts w:ascii="Arial" w:cs="Arial" w:eastAsia="Arial" w:hAnsi="Arial"/>
          <w:sz w:val="18"/>
          <w:szCs w:val="18"/>
          <w:color w:val="auto"/>
        </w:rPr>
      </w:pPr>
    </w:p>
    <w:p>
      <w:pPr>
        <w:ind w:left="980" w:right="160" w:hanging="324"/>
        <w:spacing w:after="0" w:line="30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337,664,169 Ordinary Shares of the Issuer outstanding as of October 20, 2020, as reported in the Issuer’s Prospectus filed with the Securities and Exchange Commission (“SEC”) on October 19, 2020, plus 7,493,600 Ordinary Shares that are represented by 936,700 ADS issuable upon the exercise of the Pre-Funded Warrants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062" w:gutter="0" w:footer="0" w:header="0"/>
          <w:type w:val="continuous"/>
        </w:sectPr>
      </w:pPr>
    </w:p>
    <w:bookmarkStart w:id="2" w:name="page3"/>
    <w:bookmarkEnd w:id="2"/>
    <w:p>
      <w:pPr>
        <w:ind w:left="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68386J208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237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23742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20" w:right="7460" w:hanging="452"/>
        <w:spacing w:after="0" w:line="578" w:lineRule="auto"/>
        <w:tabs>
          <w:tab w:leader="none" w:pos="8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NAMES OF REPORTING PERSONS </w:t>
      </w:r>
      <w:r>
        <w:rPr>
          <w:rFonts w:ascii="Arial" w:cs="Arial" w:eastAsia="Arial" w:hAnsi="Arial"/>
          <w:sz w:val="17"/>
          <w:szCs w:val="17"/>
          <w:color w:val="auto"/>
        </w:rPr>
        <w:t>Baker Bros. Advisors (GP) LLC</w:t>
      </w:r>
    </w:p>
    <w:p>
      <w:pPr>
        <w:spacing w:after="0" w:line="123" w:lineRule="exact"/>
        <w:rPr>
          <w:sz w:val="20"/>
          <w:szCs w:val="20"/>
          <w:color w:val="auto"/>
        </w:rPr>
      </w:pPr>
    </w:p>
    <w:p>
      <w:pPr>
        <w:ind w:left="360"/>
        <w:spacing w:after="0" w:line="207" w:lineRule="exact"/>
        <w:tabs>
          <w:tab w:leader="none" w:pos="800" w:val="left"/>
          <w:tab w:leader="none" w:pos="101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r>
        <w:rPr>
          <w:sz w:val="20"/>
          <w:szCs w:val="20"/>
          <w:color w:val="auto"/>
        </w:rPr>
        <w:tab/>
      </w:r>
      <w:r>
        <w:rPr>
          <w:rFonts w:ascii="Arial" w:cs="Arial" w:eastAsia="Arial" w:hAnsi="Arial"/>
          <w:sz w:val="16"/>
          <w:szCs w:val="16"/>
          <w:b w:val="1"/>
          <w:bCs w:val="1"/>
          <w:color w:val="auto"/>
        </w:rPr>
        <w:t xml:space="preserve">(a) </w:t>
      </w:r>
      <w:r>
        <w:rPr>
          <w:rFonts w:ascii="MS PGothic" w:cs="MS PGothic" w:eastAsia="MS PGothic" w:hAnsi="MS PGothic"/>
          <w:sz w:val="16"/>
          <w:szCs w:val="16"/>
          <w:color w:val="auto"/>
        </w:rPr>
        <w:t>☐</w:t>
      </w:r>
    </w:p>
    <w:p>
      <w:pPr>
        <w:spacing w:after="0" w:line="51" w:lineRule="exact"/>
        <w:rPr>
          <w:sz w:val="20"/>
          <w:szCs w:val="20"/>
          <w:color w:val="auto"/>
        </w:rPr>
      </w:pPr>
    </w:p>
    <w:p>
      <w:pPr>
        <w:jc w:val="right"/>
        <w:ind w:right="70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820" w:hanging="452"/>
        <w:spacing w:after="0"/>
        <w:tabs>
          <w:tab w:leader="none" w:pos="8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5" w:lineRule="exact"/>
        <w:rPr>
          <w:sz w:val="20"/>
          <w:szCs w:val="20"/>
          <w:color w:val="auto"/>
        </w:rPr>
      </w:pPr>
    </w:p>
    <w:p>
      <w:pPr>
        <w:ind w:left="820" w:right="6480" w:hanging="452"/>
        <w:spacing w:after="0" w:line="532" w:lineRule="auto"/>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777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811" w:right="6760" w:hanging="811"/>
        <w:spacing w:after="0" w:line="532" w:lineRule="auto"/>
        <w:tabs>
          <w:tab w:leader="none" w:pos="45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33,963,240 (1)</w:t>
      </w:r>
    </w:p>
    <w:p>
      <w:pPr>
        <w:spacing w:after="0" w:line="176" w:lineRule="exact"/>
        <w:rPr>
          <w:sz w:val="20"/>
          <w:szCs w:val="20"/>
          <w:color w:val="auto"/>
        </w:rPr>
      </w:pPr>
    </w:p>
    <w:p>
      <w:pPr>
        <w:ind w:left="811" w:right="6500" w:hanging="811"/>
        <w:spacing w:after="0" w:line="532" w:lineRule="auto"/>
        <w:tabs>
          <w:tab w:leader="none" w:pos="451"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spacing w:after="0" w:line="176" w:lineRule="exact"/>
        <w:rPr>
          <w:sz w:val="20"/>
          <w:szCs w:val="20"/>
          <w:color w:val="auto"/>
        </w:rPr>
      </w:pPr>
    </w:p>
    <w:p>
      <w:pPr>
        <w:ind w:left="811" w:right="6320" w:hanging="811"/>
        <w:spacing w:after="0" w:line="532" w:lineRule="auto"/>
        <w:tabs>
          <w:tab w:leader="none" w:pos="45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33,963,240 (1)</w:t>
      </w:r>
    </w:p>
    <w:p>
      <w:pPr>
        <w:spacing w:after="0" w:line="176" w:lineRule="exact"/>
        <w:rPr>
          <w:sz w:val="20"/>
          <w:szCs w:val="20"/>
          <w:color w:val="auto"/>
        </w:rPr>
      </w:pPr>
    </w:p>
    <w:p>
      <w:pPr>
        <w:ind w:left="811" w:right="6060" w:hanging="811"/>
        <w:spacing w:after="0" w:line="532" w:lineRule="auto"/>
        <w:tabs>
          <w:tab w:leader="none" w:pos="45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-4445</wp:posOffset>
            </wp:positionV>
            <wp:extent cx="7132320" cy="2503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1540" w:space="509"/>
            <w:col w:w="9191"/>
          </w:cols>
          <w:pgMar w:left="320" w:top="904" w:right="339" w:bottom="1440" w:gutter="0" w:footer="0" w:header="0"/>
          <w:type w:val="continuous"/>
        </w:sectPr>
      </w:pPr>
    </w:p>
    <w:p>
      <w:pPr>
        <w:ind w:left="1180" w:right="3480" w:hanging="812"/>
        <w:spacing w:after="0" w:line="532" w:lineRule="auto"/>
        <w:tabs>
          <w:tab w:leader="none" w:pos="8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33,963,240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10</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04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660" w:type="dxa"/>
            <w:vAlign w:val="bottom"/>
          </w:tcPr>
          <w:p>
            <w:pPr>
              <w:spacing w:after="0"/>
              <w:rPr>
                <w:sz w:val="20"/>
                <w:szCs w:val="20"/>
                <w:color w:val="auto"/>
              </w:rPr>
            </w:pP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(See Instructions)</w:t>
            </w:r>
          </w:p>
        </w:tc>
        <w:tc>
          <w:tcPr>
            <w:tcW w:w="2040" w:type="dxa"/>
            <w:vAlign w:val="bottom"/>
          </w:tcPr>
          <w:p>
            <w:pPr>
              <w:spacing w:after="0"/>
              <w:rPr>
                <w:sz w:val="20"/>
                <w:szCs w:val="20"/>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425"/>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11</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9.8% (1)(2)</w:t>
            </w:r>
          </w:p>
        </w:tc>
        <w:tc>
          <w:tcPr>
            <w:tcW w:w="2040" w:type="dxa"/>
            <w:vAlign w:val="bottom"/>
          </w:tcPr>
          <w:p>
            <w:pPr>
              <w:spacing w:after="0"/>
              <w:rPr>
                <w:sz w:val="24"/>
                <w:szCs w:val="24"/>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411"/>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TYPE OF REPORTING PERSON (See Instructions)</w:t>
            </w:r>
          </w:p>
        </w:tc>
        <w:tc>
          <w:tcPr>
            <w:tcW w:w="204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8540" w:type="dxa"/>
            <w:vAlign w:val="bottom"/>
          </w:tcPr>
          <w:p>
            <w:pPr>
              <w:ind w:left="440"/>
              <w:spacing w:after="0"/>
              <w:rPr>
                <w:sz w:val="20"/>
                <w:szCs w:val="20"/>
                <w:color w:val="auto"/>
              </w:rPr>
            </w:pPr>
            <w:r>
              <w:rPr>
                <w:rFonts w:ascii="Arial" w:cs="Arial" w:eastAsia="Arial" w:hAnsi="Arial"/>
                <w:sz w:val="18"/>
                <w:szCs w:val="18"/>
                <w:color w:val="auto"/>
              </w:rPr>
              <w:t>HC, OO</w:t>
            </w:r>
          </w:p>
        </w:tc>
        <w:tc>
          <w:tcPr>
            <w:tcW w:w="2040" w:type="dxa"/>
            <w:vAlign w:val="bottom"/>
          </w:tcPr>
          <w:p>
            <w:pPr>
              <w:spacing w:after="0"/>
              <w:rPr>
                <w:sz w:val="20"/>
                <w:szCs w:val="20"/>
                <w:color w:val="auto"/>
              </w:rPr>
            </w:pPr>
          </w:p>
        </w:tc>
      </w:tr>
    </w:tbl>
    <w:p>
      <w:pPr>
        <w:spacing w:after="0" w:line="200" w:lineRule="exact"/>
        <w:rPr>
          <w:sz w:val="20"/>
          <w:szCs w:val="20"/>
          <w:color w:val="auto"/>
        </w:rPr>
      </w:pPr>
    </w:p>
    <w:p>
      <w:pPr>
        <w:spacing w:after="0" w:line="231" w:lineRule="exact"/>
        <w:rPr>
          <w:sz w:val="20"/>
          <w:szCs w:val="20"/>
          <w:color w:val="auto"/>
        </w:rPr>
      </w:pPr>
    </w:p>
    <w:p>
      <w:pPr>
        <w:ind w:left="980" w:right="60" w:hanging="324"/>
        <w:spacing w:after="0" w:line="255"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26,469,640 Ordinary Shares of the Issuer that are represented by 3,308,705 ADS and 7,493,600 Ordinary Shares that are represented by 936,700 ADS issuable upon the exercise of Pre-Funded Warrants (as defined in Item 4 and subject to the limitations as described therein) directly held by the Funds. Each ADS represents 8 Ordinary Shares of the Issuer.</w:t>
      </w:r>
    </w:p>
    <w:p>
      <w:pPr>
        <w:spacing w:after="0" w:line="2" w:lineRule="exact"/>
        <w:rPr>
          <w:rFonts w:ascii="Arial" w:cs="Arial" w:eastAsia="Arial" w:hAnsi="Arial"/>
          <w:sz w:val="18"/>
          <w:szCs w:val="18"/>
          <w:color w:val="auto"/>
        </w:rPr>
      </w:pPr>
    </w:p>
    <w:p>
      <w:pPr>
        <w:ind w:left="980" w:right="40" w:hanging="324"/>
        <w:spacing w:after="0" w:line="255"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337,664,169 Ordinary Shares of the Issuer outstanding as of October 20, 2020, as reported in the Issuer’s Prospectus filed with the SEC on October 19, 2020, plus 7,493,600 Ordinary Shares that are represented by 936,700 ADS issuable upon the exercise of the Pre-Funded Warrants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ind w:left="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68386J208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2374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23749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20" w:right="7460" w:hanging="452"/>
        <w:spacing w:after="0" w:line="532" w:lineRule="auto"/>
        <w:tabs>
          <w:tab w:leader="none" w:pos="8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Felix J. Baker</w:t>
      </w:r>
    </w:p>
    <w:p>
      <w:pPr>
        <w:spacing w:after="0" w:line="147" w:lineRule="exact"/>
        <w:rPr>
          <w:sz w:val="20"/>
          <w:szCs w:val="20"/>
          <w:color w:val="auto"/>
        </w:rPr>
      </w:pPr>
    </w:p>
    <w:p>
      <w:pPr>
        <w:ind w:left="360"/>
        <w:spacing w:after="0" w:line="207" w:lineRule="exact"/>
        <w:tabs>
          <w:tab w:leader="none" w:pos="800" w:val="left"/>
          <w:tab w:leader="none" w:pos="101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r>
        <w:rPr>
          <w:sz w:val="20"/>
          <w:szCs w:val="20"/>
          <w:color w:val="auto"/>
        </w:rPr>
        <w:tab/>
      </w:r>
      <w:r>
        <w:rPr>
          <w:rFonts w:ascii="Arial" w:cs="Arial" w:eastAsia="Arial" w:hAnsi="Arial"/>
          <w:sz w:val="16"/>
          <w:szCs w:val="16"/>
          <w:b w:val="1"/>
          <w:bCs w:val="1"/>
          <w:color w:val="auto"/>
        </w:rPr>
        <w:t xml:space="preserve">(a) </w:t>
      </w:r>
      <w:r>
        <w:rPr>
          <w:rFonts w:ascii="MS PGothic" w:cs="MS PGothic" w:eastAsia="MS PGothic" w:hAnsi="MS PGothic"/>
          <w:sz w:val="16"/>
          <w:szCs w:val="16"/>
          <w:color w:val="auto"/>
        </w:rPr>
        <w:t>☐</w:t>
      </w:r>
    </w:p>
    <w:p>
      <w:pPr>
        <w:spacing w:after="0" w:line="51" w:lineRule="exact"/>
        <w:rPr>
          <w:sz w:val="20"/>
          <w:szCs w:val="20"/>
          <w:color w:val="auto"/>
        </w:rPr>
      </w:pPr>
    </w:p>
    <w:p>
      <w:pPr>
        <w:jc w:val="right"/>
        <w:ind w:right="70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820" w:hanging="452"/>
        <w:spacing w:after="0"/>
        <w:tabs>
          <w:tab w:leader="none" w:pos="8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5" w:lineRule="exact"/>
        <w:rPr>
          <w:sz w:val="20"/>
          <w:szCs w:val="20"/>
          <w:color w:val="auto"/>
        </w:rPr>
      </w:pPr>
    </w:p>
    <w:p>
      <w:pPr>
        <w:ind w:left="820" w:right="6480" w:hanging="452"/>
        <w:spacing w:after="0" w:line="532" w:lineRule="auto"/>
        <w:tabs>
          <w:tab w:leader="none" w:pos="8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777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811" w:right="6760" w:hanging="811"/>
        <w:spacing w:after="0" w:line="532" w:lineRule="auto"/>
        <w:tabs>
          <w:tab w:leader="none" w:pos="451"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33,963,240 (1)</w:t>
      </w:r>
    </w:p>
    <w:p>
      <w:pPr>
        <w:spacing w:after="0" w:line="176" w:lineRule="exact"/>
        <w:rPr>
          <w:sz w:val="20"/>
          <w:szCs w:val="20"/>
          <w:color w:val="auto"/>
        </w:rPr>
      </w:pPr>
    </w:p>
    <w:p>
      <w:pPr>
        <w:ind w:left="811" w:right="6500" w:hanging="811"/>
        <w:spacing w:after="0" w:line="532" w:lineRule="auto"/>
        <w:tabs>
          <w:tab w:leader="none" w:pos="451"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spacing w:after="0" w:line="176" w:lineRule="exact"/>
        <w:rPr>
          <w:sz w:val="20"/>
          <w:szCs w:val="20"/>
          <w:color w:val="auto"/>
        </w:rPr>
      </w:pPr>
    </w:p>
    <w:p>
      <w:pPr>
        <w:ind w:left="811" w:right="6320" w:hanging="811"/>
        <w:spacing w:after="0" w:line="532" w:lineRule="auto"/>
        <w:tabs>
          <w:tab w:leader="none" w:pos="451"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33,963,240 (1)</w:t>
      </w:r>
    </w:p>
    <w:p>
      <w:pPr>
        <w:spacing w:after="0" w:line="176" w:lineRule="exact"/>
        <w:rPr>
          <w:sz w:val="20"/>
          <w:szCs w:val="20"/>
          <w:color w:val="auto"/>
        </w:rPr>
      </w:pPr>
    </w:p>
    <w:p>
      <w:pPr>
        <w:ind w:left="811" w:right="6060" w:hanging="811"/>
        <w:spacing w:after="0" w:line="532" w:lineRule="auto"/>
        <w:tabs>
          <w:tab w:leader="none" w:pos="451"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-4445</wp:posOffset>
            </wp:positionV>
            <wp:extent cx="7132320" cy="2503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1540" w:space="509"/>
            <w:col w:w="9191"/>
          </w:cols>
          <w:pgMar w:left="320" w:top="904" w:right="339" w:bottom="1440" w:gutter="0" w:footer="0" w:header="0"/>
          <w:type w:val="continuous"/>
        </w:sectPr>
      </w:pPr>
    </w:p>
    <w:p>
      <w:pPr>
        <w:ind w:left="1180" w:right="3480" w:hanging="812"/>
        <w:spacing w:after="0" w:line="532" w:lineRule="auto"/>
        <w:tabs>
          <w:tab w:leader="none" w:pos="8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33,963,240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10</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04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660" w:type="dxa"/>
            <w:vAlign w:val="bottom"/>
          </w:tcPr>
          <w:p>
            <w:pPr>
              <w:spacing w:after="0"/>
              <w:rPr>
                <w:sz w:val="20"/>
                <w:szCs w:val="20"/>
                <w:color w:val="auto"/>
              </w:rPr>
            </w:pP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(See Instructions)</w:t>
            </w:r>
          </w:p>
        </w:tc>
        <w:tc>
          <w:tcPr>
            <w:tcW w:w="2040" w:type="dxa"/>
            <w:vAlign w:val="bottom"/>
          </w:tcPr>
          <w:p>
            <w:pPr>
              <w:spacing w:after="0"/>
              <w:rPr>
                <w:sz w:val="20"/>
                <w:szCs w:val="20"/>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425"/>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11</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9.8% (1)(2)</w:t>
            </w:r>
          </w:p>
        </w:tc>
        <w:tc>
          <w:tcPr>
            <w:tcW w:w="2040" w:type="dxa"/>
            <w:vAlign w:val="bottom"/>
          </w:tcPr>
          <w:p>
            <w:pPr>
              <w:spacing w:after="0"/>
              <w:rPr>
                <w:sz w:val="24"/>
                <w:szCs w:val="24"/>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411"/>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TYPE OF REPORTING PERSON (See Instructions)</w:t>
            </w:r>
          </w:p>
        </w:tc>
        <w:tc>
          <w:tcPr>
            <w:tcW w:w="204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8540" w:type="dxa"/>
            <w:vAlign w:val="bottom"/>
          </w:tcPr>
          <w:p>
            <w:pPr>
              <w:ind w:left="440"/>
              <w:spacing w:after="0"/>
              <w:rPr>
                <w:sz w:val="20"/>
                <w:szCs w:val="20"/>
                <w:color w:val="auto"/>
              </w:rPr>
            </w:pPr>
            <w:r>
              <w:rPr>
                <w:rFonts w:ascii="Arial" w:cs="Arial" w:eastAsia="Arial" w:hAnsi="Arial"/>
                <w:sz w:val="18"/>
                <w:szCs w:val="18"/>
                <w:color w:val="auto"/>
              </w:rPr>
              <w:t>IN, HC</w:t>
            </w:r>
          </w:p>
        </w:tc>
        <w:tc>
          <w:tcPr>
            <w:tcW w:w="2040" w:type="dxa"/>
            <w:vAlign w:val="bottom"/>
          </w:tcPr>
          <w:p>
            <w:pPr>
              <w:spacing w:after="0"/>
              <w:rPr>
                <w:sz w:val="20"/>
                <w:szCs w:val="20"/>
                <w:color w:val="auto"/>
              </w:rPr>
            </w:pPr>
          </w:p>
        </w:tc>
      </w:tr>
    </w:tbl>
    <w:p>
      <w:pPr>
        <w:spacing w:after="0" w:line="200" w:lineRule="exact"/>
        <w:rPr>
          <w:sz w:val="20"/>
          <w:szCs w:val="20"/>
          <w:color w:val="auto"/>
        </w:rPr>
      </w:pPr>
    </w:p>
    <w:p>
      <w:pPr>
        <w:spacing w:after="0" w:line="231" w:lineRule="exact"/>
        <w:rPr>
          <w:sz w:val="20"/>
          <w:szCs w:val="20"/>
          <w:color w:val="auto"/>
        </w:rPr>
      </w:pPr>
    </w:p>
    <w:p>
      <w:pPr>
        <w:ind w:left="980" w:right="60" w:hanging="324"/>
        <w:spacing w:after="0" w:line="255"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26,469,640 Ordinary Shares of the Issuer that are represented by 3,308,705 ADS and 7,493,600 Ordinary Shares that are represented by 936,700 ADS issuable upon the exercise of Pre-Funded Warrants (as defined in Item 4 and subject to the limitations as described therein) directly held by the Funds. Each ADS represents 8 Ordinary Shares of the Issuer.</w:t>
      </w:r>
    </w:p>
    <w:p>
      <w:pPr>
        <w:spacing w:after="0" w:line="2" w:lineRule="exact"/>
        <w:rPr>
          <w:rFonts w:ascii="Arial" w:cs="Arial" w:eastAsia="Arial" w:hAnsi="Arial"/>
          <w:sz w:val="18"/>
          <w:szCs w:val="18"/>
          <w:color w:val="auto"/>
        </w:rPr>
      </w:pPr>
    </w:p>
    <w:p>
      <w:pPr>
        <w:ind w:left="980" w:right="40" w:hanging="324"/>
        <w:spacing w:after="0" w:line="255"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337,664,169 Ordinary Shares of the Issuer outstanding as of October 20, 2020, as reported in the Issuer’s Prospectus filed with the SEC on October 19, 2020, plus 7,493,600 Ordinary Shares that are represented by 936,700 ADS issuable upon the exercise of the Pre-Funded Warrants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68386J208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237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23742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20" w:right="7460" w:hanging="452"/>
        <w:spacing w:after="0" w:line="532" w:lineRule="auto"/>
        <w:tabs>
          <w:tab w:leader="none" w:pos="8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Julian C. Baker</w:t>
      </w:r>
    </w:p>
    <w:p>
      <w:pPr>
        <w:spacing w:after="0" w:line="147" w:lineRule="exact"/>
        <w:rPr>
          <w:sz w:val="20"/>
          <w:szCs w:val="20"/>
          <w:color w:val="auto"/>
        </w:rPr>
      </w:pPr>
    </w:p>
    <w:p>
      <w:pPr>
        <w:ind w:left="360"/>
        <w:spacing w:after="0" w:line="207" w:lineRule="exact"/>
        <w:tabs>
          <w:tab w:leader="none" w:pos="800" w:val="left"/>
          <w:tab w:leader="none" w:pos="101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CHECK THE APPROPRIATE BOX IF A MEMBER OF A GROUP (See Instructions)</w:t>
      </w:r>
      <w:r>
        <w:rPr>
          <w:sz w:val="20"/>
          <w:szCs w:val="20"/>
          <w:color w:val="auto"/>
        </w:rPr>
        <w:tab/>
      </w:r>
      <w:r>
        <w:rPr>
          <w:rFonts w:ascii="Arial" w:cs="Arial" w:eastAsia="Arial" w:hAnsi="Arial"/>
          <w:sz w:val="16"/>
          <w:szCs w:val="16"/>
          <w:b w:val="1"/>
          <w:bCs w:val="1"/>
          <w:color w:val="auto"/>
        </w:rPr>
        <w:t xml:space="preserve">(a) </w:t>
      </w:r>
      <w:r>
        <w:rPr>
          <w:rFonts w:ascii="MS PGothic" w:cs="MS PGothic" w:eastAsia="MS PGothic" w:hAnsi="MS PGothic"/>
          <w:sz w:val="16"/>
          <w:szCs w:val="16"/>
          <w:color w:val="auto"/>
        </w:rPr>
        <w:t>☐</w:t>
      </w:r>
    </w:p>
    <w:p>
      <w:pPr>
        <w:spacing w:after="0" w:line="51" w:lineRule="exact"/>
        <w:rPr>
          <w:sz w:val="20"/>
          <w:szCs w:val="20"/>
          <w:color w:val="auto"/>
        </w:rPr>
      </w:pPr>
    </w:p>
    <w:p>
      <w:pPr>
        <w:jc w:val="right"/>
        <w:ind w:right="700"/>
        <w:spacing w:after="0" w:line="207" w:lineRule="exact"/>
        <w:rPr>
          <w:sz w:val="20"/>
          <w:szCs w:val="20"/>
          <w:color w:val="auto"/>
        </w:rPr>
      </w:pP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820" w:hanging="452"/>
        <w:spacing w:after="0"/>
        <w:tabs>
          <w:tab w:leader="none" w:pos="8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5" w:lineRule="exact"/>
        <w:rPr>
          <w:sz w:val="20"/>
          <w:szCs w:val="20"/>
          <w:color w:val="auto"/>
        </w:rPr>
      </w:pPr>
    </w:p>
    <w:p>
      <w:pPr>
        <w:ind w:left="820" w:right="6480" w:hanging="452"/>
        <w:spacing w:after="0" w:line="532" w:lineRule="auto"/>
        <w:tabs>
          <w:tab w:leader="none" w:pos="8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777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811" w:right="6760" w:hanging="811"/>
        <w:spacing w:after="0" w:line="532" w:lineRule="auto"/>
        <w:tabs>
          <w:tab w:leader="none" w:pos="451"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33,963,240 (1)</w:t>
      </w:r>
    </w:p>
    <w:p>
      <w:pPr>
        <w:spacing w:after="0" w:line="176" w:lineRule="exact"/>
        <w:rPr>
          <w:sz w:val="20"/>
          <w:szCs w:val="20"/>
          <w:color w:val="auto"/>
        </w:rPr>
      </w:pPr>
    </w:p>
    <w:p>
      <w:pPr>
        <w:ind w:left="811" w:right="6500" w:hanging="811"/>
        <w:spacing w:after="0" w:line="532" w:lineRule="auto"/>
        <w:tabs>
          <w:tab w:leader="none" w:pos="451"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spacing w:after="0" w:line="176" w:lineRule="exact"/>
        <w:rPr>
          <w:sz w:val="20"/>
          <w:szCs w:val="20"/>
          <w:color w:val="auto"/>
        </w:rPr>
      </w:pPr>
    </w:p>
    <w:p>
      <w:pPr>
        <w:ind w:left="811" w:right="6320" w:hanging="811"/>
        <w:spacing w:after="0" w:line="532" w:lineRule="auto"/>
        <w:tabs>
          <w:tab w:leader="none" w:pos="451"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33,963,240 (1)</w:t>
      </w:r>
    </w:p>
    <w:p>
      <w:pPr>
        <w:spacing w:after="0" w:line="176" w:lineRule="exact"/>
        <w:rPr>
          <w:sz w:val="20"/>
          <w:szCs w:val="20"/>
          <w:color w:val="auto"/>
        </w:rPr>
      </w:pPr>
    </w:p>
    <w:p>
      <w:pPr>
        <w:ind w:left="811" w:right="6060" w:hanging="811"/>
        <w:spacing w:after="0" w:line="532" w:lineRule="auto"/>
        <w:tabs>
          <w:tab w:leader="none" w:pos="451"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-4445</wp:posOffset>
            </wp:positionV>
            <wp:extent cx="7132320" cy="2503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1540" w:space="509"/>
            <w:col w:w="9191"/>
          </w:cols>
          <w:pgMar w:left="320" w:top="904" w:right="339" w:bottom="1440" w:gutter="0" w:footer="0" w:header="0"/>
          <w:type w:val="continuous"/>
        </w:sectPr>
      </w:pPr>
    </w:p>
    <w:p>
      <w:pPr>
        <w:ind w:left="1180" w:right="3480" w:hanging="812"/>
        <w:spacing w:after="0" w:line="532" w:lineRule="auto"/>
        <w:tabs>
          <w:tab w:leader="none" w:pos="8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33,963,240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10</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04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660" w:type="dxa"/>
            <w:vAlign w:val="bottom"/>
          </w:tcPr>
          <w:p>
            <w:pPr>
              <w:spacing w:after="0"/>
              <w:rPr>
                <w:sz w:val="20"/>
                <w:szCs w:val="20"/>
                <w:color w:val="auto"/>
              </w:rPr>
            </w:pP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(See Instructions)</w:t>
            </w:r>
          </w:p>
        </w:tc>
        <w:tc>
          <w:tcPr>
            <w:tcW w:w="2040" w:type="dxa"/>
            <w:vAlign w:val="bottom"/>
          </w:tcPr>
          <w:p>
            <w:pPr>
              <w:spacing w:after="0"/>
              <w:rPr>
                <w:sz w:val="20"/>
                <w:szCs w:val="20"/>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425"/>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11</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9.8% (1)(2)</w:t>
            </w:r>
          </w:p>
        </w:tc>
        <w:tc>
          <w:tcPr>
            <w:tcW w:w="2040" w:type="dxa"/>
            <w:vAlign w:val="bottom"/>
          </w:tcPr>
          <w:p>
            <w:pPr>
              <w:spacing w:after="0"/>
              <w:rPr>
                <w:sz w:val="24"/>
                <w:szCs w:val="24"/>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411"/>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TYPE OF REPORTING PERSON (See Instructions)</w:t>
            </w:r>
          </w:p>
        </w:tc>
        <w:tc>
          <w:tcPr>
            <w:tcW w:w="204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8540" w:type="dxa"/>
            <w:vAlign w:val="bottom"/>
          </w:tcPr>
          <w:p>
            <w:pPr>
              <w:ind w:left="440"/>
              <w:spacing w:after="0"/>
              <w:rPr>
                <w:sz w:val="20"/>
                <w:szCs w:val="20"/>
                <w:color w:val="auto"/>
              </w:rPr>
            </w:pPr>
            <w:r>
              <w:rPr>
                <w:rFonts w:ascii="Arial" w:cs="Arial" w:eastAsia="Arial" w:hAnsi="Arial"/>
                <w:sz w:val="18"/>
                <w:szCs w:val="18"/>
                <w:color w:val="auto"/>
              </w:rPr>
              <w:t>IN, HC</w:t>
            </w:r>
          </w:p>
        </w:tc>
        <w:tc>
          <w:tcPr>
            <w:tcW w:w="2040" w:type="dxa"/>
            <w:vAlign w:val="bottom"/>
          </w:tcPr>
          <w:p>
            <w:pPr>
              <w:spacing w:after="0"/>
              <w:rPr>
                <w:sz w:val="20"/>
                <w:szCs w:val="20"/>
                <w:color w:val="auto"/>
              </w:rPr>
            </w:pPr>
          </w:p>
        </w:tc>
      </w:tr>
    </w:tbl>
    <w:p>
      <w:pPr>
        <w:spacing w:after="0" w:line="200" w:lineRule="exact"/>
        <w:rPr>
          <w:sz w:val="20"/>
          <w:szCs w:val="20"/>
          <w:color w:val="auto"/>
        </w:rPr>
      </w:pPr>
    </w:p>
    <w:p>
      <w:pPr>
        <w:spacing w:after="0" w:line="231" w:lineRule="exact"/>
        <w:rPr>
          <w:sz w:val="20"/>
          <w:szCs w:val="20"/>
          <w:color w:val="auto"/>
        </w:rPr>
      </w:pPr>
    </w:p>
    <w:p>
      <w:pPr>
        <w:ind w:left="980" w:right="60" w:hanging="324"/>
        <w:spacing w:after="0" w:line="255"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26,469,640 Ordinary Shares of the Issuer that are represented by 3,308,705 ADS and 7,493,600 Ordinary Shares that are represented by 936,700 ADS issuable upon the exercise of Pre-Funded Warrants (as defined in Item 4 and subject to the limitations as described therein) directly held by the Funds. Each ADS represents 8 Ordinary Shares of the Issuer.</w:t>
      </w:r>
    </w:p>
    <w:p>
      <w:pPr>
        <w:spacing w:after="0" w:line="2" w:lineRule="exact"/>
        <w:rPr>
          <w:rFonts w:ascii="Arial" w:cs="Arial" w:eastAsia="Arial" w:hAnsi="Arial"/>
          <w:sz w:val="18"/>
          <w:szCs w:val="18"/>
          <w:color w:val="auto"/>
        </w:rPr>
      </w:pPr>
    </w:p>
    <w:p>
      <w:pPr>
        <w:ind w:left="980" w:right="40" w:hanging="324"/>
        <w:spacing w:after="0" w:line="255"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337,664,169 Ordinary Shares of the Issuer outstanding as of October 20, 2020, as reported in the Issuer’s Prospectus filed with the SEC on October 19, 2020, plus 7,493,600 Ordinary Shares that are represented by 936,700 ADS issuable upon the exercise of the Pre-Funded Warrants (as defined in Item 4 and subject to the limitations as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tcPr>
          <w:p>
            <w:pPr>
              <w:ind w:left="4080"/>
              <w:spacing w:after="0"/>
              <w:rPr>
                <w:sz w:val="20"/>
                <w:szCs w:val="20"/>
                <w:color w:val="auto"/>
              </w:rPr>
            </w:pPr>
            <w:r>
              <w:rPr>
                <w:rFonts w:ascii="Arial" w:cs="Arial" w:eastAsia="Arial" w:hAnsi="Arial"/>
                <w:sz w:val="18"/>
                <w:szCs w:val="18"/>
                <w:b w:val="1"/>
                <w:bCs w:val="1"/>
                <w:color w:val="auto"/>
              </w:rPr>
              <w:t>Schedule 13G</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Opthea Limited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650 Chapel Street, Level 4</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South Yarra, Victoria, Australia 3141</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7"/>
              </w:rPr>
              <w:t>This Schedule 13G is being filed jointly by Baker Bros. Advisors LP (the “Adviser”), Baker Bros. Advisors (GP) LLC (the “Adviser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GP”), Felix J. Baker and Julian C. Baker (collectively, the “Reporting Persons”).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The business address of each of the Reporting Persons is: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 Baker Bros. Advisors LP</w:t>
            </w:r>
          </w:p>
        </w:tc>
      </w:tr>
      <w:tr>
        <w:trPr>
          <w:trHeight w:val="595"/>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860 Washington Street,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tc>
      </w:tr>
      <w:tr>
        <w:trPr>
          <w:trHeight w:val="309"/>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New York, NY 10014</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(212) 339-5690</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The Adviser is a limited partnership organized under the laws of the State of Delaware. The Adviser GP is a limited liability company</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organized under the laws of the State of Delaware. The citizenship of each of Julian C. Baker and Felix J. Baker is the United States of</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America.</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Ordinary Shares, no par value per share (“Ordinary Shares”).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68386J208</w:t>
            </w:r>
          </w:p>
        </w:tc>
      </w:tr>
      <w:tr>
        <w:trPr>
          <w:trHeight w:val="67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(c), check whether the person filing is a:</w:t>
      </w:r>
    </w:p>
    <w:p>
      <w:pPr>
        <w:spacing w:after="0" w:line="196" w:lineRule="exact"/>
        <w:rPr>
          <w:sz w:val="20"/>
          <w:szCs w:val="20"/>
          <w:color w:val="auto"/>
        </w:rPr>
      </w:pPr>
    </w:p>
    <w:p>
      <w:pPr>
        <w:ind w:left="1540" w:hanging="236"/>
        <w:spacing w:after="0" w:line="207" w:lineRule="exact"/>
        <w:tabs>
          <w:tab w:leader="none" w:pos="154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560" w:hanging="256"/>
        <w:spacing w:after="0" w:line="207" w:lineRule="exact"/>
        <w:tabs>
          <w:tab w:leader="none" w:pos="156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540" w:hanging="236"/>
        <w:spacing w:after="0" w:line="207" w:lineRule="exact"/>
        <w:tabs>
          <w:tab w:leader="none" w:pos="154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560" w:hanging="256"/>
        <w:spacing w:after="0" w:line="207" w:lineRule="exact"/>
        <w:tabs>
          <w:tab w:leader="none" w:pos="156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540" w:hanging="236"/>
        <w:spacing w:after="0" w:line="207" w:lineRule="exact"/>
        <w:tabs>
          <w:tab w:leader="none" w:pos="154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520" w:hanging="216"/>
        <w:spacing w:after="0" w:line="207" w:lineRule="exact"/>
        <w:tabs>
          <w:tab w:leader="none" w:pos="152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560" w:hanging="256"/>
        <w:spacing w:after="0" w:line="207" w:lineRule="exact"/>
        <w:tabs>
          <w:tab w:leader="none" w:pos="156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560" w:hanging="256"/>
        <w:spacing w:after="0" w:line="207" w:lineRule="exact"/>
        <w:tabs>
          <w:tab w:leader="none" w:pos="156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540" w:hanging="236"/>
        <w:spacing w:after="0" w:line="184" w:lineRule="exact"/>
        <w:tabs>
          <w:tab w:leader="none" w:pos="1540" w:val="left"/>
        </w:tabs>
        <w:numPr>
          <w:ilvl w:val="0"/>
          <w:numId w:val="3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Act of 1940.</w:t>
      </w:r>
    </w:p>
    <w:p>
      <w:pPr>
        <w:spacing w:after="0" w:line="176" w:lineRule="exact"/>
        <w:rPr>
          <w:sz w:val="20"/>
          <w:szCs w:val="20"/>
          <w:color w:val="auto"/>
        </w:rPr>
      </w:pPr>
    </w:p>
    <w:p>
      <w:pPr>
        <w:ind w:left="1300"/>
        <w:spacing w:after="0" w:line="207" w:lineRule="exact"/>
        <w:rPr>
          <w:sz w:val="20"/>
          <w:szCs w:val="20"/>
          <w:color w:val="auto"/>
        </w:rPr>
      </w:pPr>
      <w:r>
        <w:rPr>
          <w:rFonts w:ascii="Arial" w:cs="Arial" w:eastAsia="Arial" w:hAnsi="Arial"/>
          <w:sz w:val="18"/>
          <w:szCs w:val="18"/>
          <w:color w:val="auto"/>
        </w:rPr>
        <w:t xml:space="preserve">(j) </w:t>
      </w: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2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Items 5 through 9 and 11 of each of the cover pages to this Schedule 13G are incorporated herein by reference. Set forth below is the aggregate number of Ordinary Shares represented by American Depositary Shares (“ADS”) directly held by each of Baker Brothers Life Sciences, L.P. (“Life Sciences”) and 667, L.P. (“667”, and together with Life Sciences, the “Funds”) which may be deemed to be indirectly beneficially owned by the Reporting Persons, as well as Ordinary Shares represented by ADS that may be acquired upon exercise of pre-funded warrants with no expiration date with an exercise price of $0.00001 per ADS (“Pre-Funded Warrants”), subject to the limitations on exercise described below. Each ADS represents 8 Ordinary Shares of the Issuer.</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set forth below is based on 337,664,169 Ordinary Shares outstanding as of October 20, 2020 as reported in the Issuer’s Prospectus filed with the Securities and Exchange Commission (“SEC”) on October 19, 2020, plus 7,493,600 Ordinary Shares represented by 936,700 ADS issuable upon the exercise of the Pre-Funded Warrants, subject to the limitations on exercise described below. Such percentage figures are calculated in accordance with Rule 13d-3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Number of Ordinary Shares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Percent of</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we own or have the right to</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Class</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8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acquire within 60 days</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667, L.P.</w:t>
            </w: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2,713,816</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6600" w:type="dxa"/>
            <w:vAlign w:val="bottom"/>
            <w:gridSpan w:val="2"/>
          </w:tcPr>
          <w:p>
            <w:pPr>
              <w:spacing w:after="0"/>
              <w:rPr>
                <w:sz w:val="20"/>
                <w:szCs w:val="20"/>
                <w:color w:val="auto"/>
              </w:rPr>
            </w:pPr>
            <w:r>
              <w:rPr>
                <w:rFonts w:ascii="Arial" w:cs="Arial" w:eastAsia="Arial" w:hAnsi="Arial"/>
                <w:sz w:val="18"/>
                <w:szCs w:val="18"/>
                <w:color w:val="auto"/>
              </w:rPr>
              <w:t>Baker Brothers Life Sciences, L.P.</w:t>
            </w:r>
          </w:p>
        </w:tc>
        <w:tc>
          <w:tcPr>
            <w:tcW w:w="2000" w:type="dxa"/>
            <w:vAlign w:val="bottom"/>
          </w:tcPr>
          <w:p>
            <w:pPr>
              <w:jc w:val="right"/>
              <w:spacing w:after="0"/>
              <w:rPr>
                <w:sz w:val="20"/>
                <w:szCs w:val="20"/>
                <w:color w:val="auto"/>
              </w:rPr>
            </w:pPr>
            <w:r>
              <w:rPr>
                <w:rFonts w:ascii="Arial" w:cs="Arial" w:eastAsia="Arial" w:hAnsi="Arial"/>
                <w:sz w:val="18"/>
                <w:szCs w:val="18"/>
                <w:color w:val="auto"/>
              </w:rPr>
              <w:t>31,249,424</w:t>
            </w: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33,963,240</w:t>
            </w:r>
          </w:p>
        </w:tc>
        <w:tc>
          <w:tcPr>
            <w:tcW w:w="26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Pre-Funded Warrants are only exercisable to the extent that after giving effect to such exercise the holders thereof, their affiliates and any persons who are members of a Section 13(d) group with the holders or its affiliates would beneficially own in the aggregate, for purposes of Rule 13d-3 under the Exchange Act, no more than 9.99% of the outstanding ADS (“Maximum Percentage”). By written notice to the Issuer, the Funds may from time to time increase or decrease the Maximum Percentage applicable to that Fund to any other percentage not in excess of 19.99%. Any such increase will not be effective until the 61st day after such notice is delivered to the Issuer. As a result of this restriction, the number of ADS that may be issued upon exercise of the Pre-Funded Warrants by the above holders may change depending upon changes in the outstanding ADS.</w:t>
      </w:r>
    </w:p>
    <w:p>
      <w:pPr>
        <w:spacing w:after="0" w:line="17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Adviser GP, Felix J. Baker and Julian C. Baker as managing members of the Adviser GP, and the Adviser may be deemed to be beneficial owners of securities of the Issuer directly held by the Funds.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 N/A</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1300" w:right="6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information in Item 4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Baker Bros. Advisors (GP)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BAKER BROS. ADVISORS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Julian C. Baker</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Felix J. Baker</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accordance with Rule 13d-1(k)(1) under the Securities Exchange Act of 1934, as amended, the undersigned hereby agree that this Statement on Schedule 13G relating to the Ordinary Shares of Opthea Limited is being filed with the Securities and Exchange Commission on behalf of each of them.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Baker Bros. Advisors (GP)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BAKER BROS. ADVISORS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Scott L. Lessing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Julian C. Baker</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Felix J. Baker</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bullet"/>
      <w:start w:val="1"/>
    </w:lvl>
  </w:abstractNum>
  <w:abstractNum w:abstractNumId="3">
    <w:nsid w:val="333AB105"/>
    <w:multiLevelType w:val="hybridMultilevel"/>
    <w:lvl w:ilvl="0">
      <w:lvlJc w:val="left"/>
      <w:lvlText w:val="3"/>
      <w:numFmt w:val="bullet"/>
      <w:start w:val="1"/>
    </w:lvl>
  </w:abstractNum>
  <w:abstractNum w:abstractNumId="4">
    <w:nsid w:val="721DA317"/>
    <w:multiLevelType w:val="hybridMultilevel"/>
    <w:lvl w:ilvl="0">
      <w:lvlJc w:val="left"/>
      <w:lvlText w:val="4"/>
      <w:numFmt w:val="bullet"/>
      <w:start w:val="1"/>
    </w:lvl>
  </w:abstractNum>
  <w:abstractNum w:abstractNumId="5">
    <w:nsid w:val="2443A858"/>
    <w:multiLevelType w:val="hybridMultilevel"/>
    <w:lvl w:ilvl="0">
      <w:lvlJc w:val="left"/>
      <w:lvlText w:val="5"/>
      <w:numFmt w:val="bullet"/>
      <w:start w:val="1"/>
    </w:lvl>
  </w:abstractNum>
  <w:abstractNum w:abstractNumId="6">
    <w:nsid w:val="2D1D5AE9"/>
    <w:multiLevelType w:val="hybridMultilevel"/>
    <w:lvl w:ilvl="0">
      <w:lvlJc w:val="left"/>
      <w:lvlText w:val="6"/>
      <w:numFmt w:val="bullet"/>
      <w:start w:val="1"/>
    </w:lvl>
  </w:abstractNum>
  <w:abstractNum w:abstractNumId="7">
    <w:nsid w:val="6763845E"/>
    <w:multiLevelType w:val="hybridMultilevel"/>
    <w:lvl w:ilvl="0">
      <w:lvlJc w:val="left"/>
      <w:lvlText w:val="7"/>
      <w:numFmt w:val="bullet"/>
      <w:start w:val="1"/>
    </w:lvl>
  </w:abstractNum>
  <w:abstractNum w:abstractNumId="8">
    <w:nsid w:val="75A2A8D4"/>
    <w:multiLevelType w:val="hybridMultilevel"/>
    <w:lvl w:ilvl="0">
      <w:lvlJc w:val="left"/>
      <w:lvlText w:val="8"/>
      <w:numFmt w:val="bullet"/>
      <w:start w:val="1"/>
    </w:lvl>
  </w:abstractNum>
  <w:abstractNum w:abstractNumId="9">
    <w:nsid w:val="8EDBDAB"/>
    <w:multiLevelType w:val="hybridMultilevel"/>
    <w:lvl w:ilvl="0">
      <w:lvlJc w:val="left"/>
      <w:lvlText w:val="9"/>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bullet"/>
      <w:start w:val="1"/>
    </w:lvl>
  </w:abstractNum>
  <w:abstractNum w:abstractNumId="12">
    <w:nsid w:val="B03E0C6"/>
    <w:multiLevelType w:val="hybridMultilevel"/>
    <w:lvl w:ilvl="0">
      <w:lvlJc w:val="left"/>
      <w:lvlText w:val="3"/>
      <w:numFmt w:val="bullet"/>
      <w:start w:val="1"/>
    </w:lvl>
  </w:abstractNum>
  <w:abstractNum w:abstractNumId="13">
    <w:nsid w:val="189A769B"/>
    <w:multiLevelType w:val="hybridMultilevel"/>
    <w:lvl w:ilvl="0">
      <w:lvlJc w:val="left"/>
      <w:lvlText w:val="4"/>
      <w:numFmt w:val="bullet"/>
      <w:start w:val="1"/>
    </w:lvl>
  </w:abstractNum>
  <w:abstractNum w:abstractNumId="14">
    <w:nsid w:val="54E49EB4"/>
    <w:multiLevelType w:val="hybridMultilevel"/>
    <w:lvl w:ilvl="0">
      <w:lvlJc w:val="left"/>
      <w:lvlText w:val="5"/>
      <w:numFmt w:val="bullet"/>
      <w:start w:val="1"/>
    </w:lvl>
  </w:abstractNum>
  <w:abstractNum w:abstractNumId="15">
    <w:nsid w:val="71F32454"/>
    <w:multiLevelType w:val="hybridMultilevel"/>
    <w:lvl w:ilvl="0">
      <w:lvlJc w:val="left"/>
      <w:lvlText w:val="6"/>
      <w:numFmt w:val="bullet"/>
      <w:start w:val="1"/>
    </w:lvl>
  </w:abstractNum>
  <w:abstractNum w:abstractNumId="16">
    <w:nsid w:val="2CA88611"/>
    <w:multiLevelType w:val="hybridMultilevel"/>
    <w:lvl w:ilvl="0">
      <w:lvlJc w:val="left"/>
      <w:lvlText w:val="7"/>
      <w:numFmt w:val="bullet"/>
      <w:start w:val="1"/>
    </w:lvl>
  </w:abstractNum>
  <w:abstractNum w:abstractNumId="17">
    <w:nsid w:val="836C40E"/>
    <w:multiLevelType w:val="hybridMultilevel"/>
    <w:lvl w:ilvl="0">
      <w:lvlJc w:val="left"/>
      <w:lvlText w:val="8"/>
      <w:numFmt w:val="bullet"/>
      <w:start w:val="1"/>
    </w:lvl>
  </w:abstractNum>
  <w:abstractNum w:abstractNumId="18">
    <w:nsid w:val="2901D82"/>
    <w:multiLevelType w:val="hybridMultilevel"/>
    <w:lvl w:ilvl="0">
      <w:lvlJc w:val="left"/>
      <w:lvlText w:val="9"/>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bullet"/>
      <w:start w:val="1"/>
    </w:lvl>
  </w:abstractNum>
  <w:abstractNum w:abstractNumId="21">
    <w:nsid w:val="1E7FF521"/>
    <w:multiLevelType w:val="hybridMultilevel"/>
    <w:lvl w:ilvl="0">
      <w:lvlJc w:val="left"/>
      <w:lvlText w:val="3"/>
      <w:numFmt w:val="bullet"/>
      <w:start w:val="1"/>
    </w:lvl>
  </w:abstractNum>
  <w:abstractNum w:abstractNumId="22">
    <w:nsid w:val="7C3DBD3D"/>
    <w:multiLevelType w:val="hybridMultilevel"/>
    <w:lvl w:ilvl="0">
      <w:lvlJc w:val="left"/>
      <w:lvlText w:val="4"/>
      <w:numFmt w:val="bullet"/>
      <w:start w:val="1"/>
    </w:lvl>
  </w:abstractNum>
  <w:abstractNum w:abstractNumId="23">
    <w:nsid w:val="737B8DDC"/>
    <w:multiLevelType w:val="hybridMultilevel"/>
    <w:lvl w:ilvl="0">
      <w:lvlJc w:val="left"/>
      <w:lvlText w:val="5"/>
      <w:numFmt w:val="bullet"/>
      <w:start w:val="1"/>
    </w:lvl>
  </w:abstractNum>
  <w:abstractNum w:abstractNumId="24">
    <w:nsid w:val="6CEAF087"/>
    <w:multiLevelType w:val="hybridMultilevel"/>
    <w:lvl w:ilvl="0">
      <w:lvlJc w:val="left"/>
      <w:lvlText w:val="6"/>
      <w:numFmt w:val="bullet"/>
      <w:start w:val="1"/>
    </w:lvl>
  </w:abstractNum>
  <w:abstractNum w:abstractNumId="25">
    <w:nsid w:val="22221A70"/>
    <w:multiLevelType w:val="hybridMultilevel"/>
    <w:lvl w:ilvl="0">
      <w:lvlJc w:val="left"/>
      <w:lvlText w:val="7"/>
      <w:numFmt w:val="bullet"/>
      <w:start w:val="1"/>
    </w:lvl>
  </w:abstractNum>
  <w:abstractNum w:abstractNumId="26">
    <w:nsid w:val="4516DDE9"/>
    <w:multiLevelType w:val="hybridMultilevel"/>
    <w:lvl w:ilvl="0">
      <w:lvlJc w:val="left"/>
      <w:lvlText w:val="8"/>
      <w:numFmt w:val="bullet"/>
      <w:start w:val="1"/>
    </w:lvl>
  </w:abstractNum>
  <w:abstractNum w:abstractNumId="27">
    <w:nsid w:val="3006C83E"/>
    <w:multiLevelType w:val="hybridMultilevel"/>
    <w:lvl w:ilvl="0">
      <w:lvlJc w:val="left"/>
      <w:lvlText w:val="9"/>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bullet"/>
      <w:start w:val="1"/>
    </w:lvl>
  </w:abstractNum>
  <w:abstractNum w:abstractNumId="30">
    <w:nsid w:val="5577F8E1"/>
    <w:multiLevelType w:val="hybridMultilevel"/>
    <w:lvl w:ilvl="0">
      <w:lvlJc w:val="left"/>
      <w:lvlText w:val="3"/>
      <w:numFmt w:val="bullet"/>
      <w:start w:val="1"/>
    </w:lvl>
  </w:abstractNum>
  <w:abstractNum w:abstractNumId="31">
    <w:nsid w:val="440BADFC"/>
    <w:multiLevelType w:val="hybridMultilevel"/>
    <w:lvl w:ilvl="0">
      <w:lvlJc w:val="left"/>
      <w:lvlText w:val="4"/>
      <w:numFmt w:val="bullet"/>
      <w:start w:val="1"/>
    </w:lvl>
  </w:abstractNum>
  <w:abstractNum w:abstractNumId="32">
    <w:nsid w:val="5072367"/>
    <w:multiLevelType w:val="hybridMultilevel"/>
    <w:lvl w:ilvl="0">
      <w:lvlJc w:val="left"/>
      <w:lvlText w:val="5"/>
      <w:numFmt w:val="bullet"/>
      <w:start w:val="1"/>
    </w:lvl>
  </w:abstractNum>
  <w:abstractNum w:abstractNumId="33">
    <w:nsid w:val="3804823E"/>
    <w:multiLevelType w:val="hybridMultilevel"/>
    <w:lvl w:ilvl="0">
      <w:lvlJc w:val="left"/>
      <w:lvlText w:val="6"/>
      <w:numFmt w:val="bullet"/>
      <w:start w:val="1"/>
    </w:lvl>
  </w:abstractNum>
  <w:abstractNum w:abstractNumId="34">
    <w:nsid w:val="77465F01"/>
    <w:multiLevelType w:val="hybridMultilevel"/>
    <w:lvl w:ilvl="0">
      <w:lvlJc w:val="left"/>
      <w:lvlText w:val="7"/>
      <w:numFmt w:val="bullet"/>
      <w:start w:val="1"/>
    </w:lvl>
  </w:abstractNum>
  <w:abstractNum w:abstractNumId="35">
    <w:nsid w:val="7724C67E"/>
    <w:multiLevelType w:val="hybridMultilevel"/>
    <w:lvl w:ilvl="0">
      <w:lvlJc w:val="left"/>
      <w:lvlText w:val="8"/>
      <w:numFmt w:val="bullet"/>
      <w:start w:val="1"/>
    </w:lvl>
  </w:abstractNum>
  <w:abstractNum w:abstractNumId="36">
    <w:nsid w:val="5C482A97"/>
    <w:multiLevelType w:val="hybridMultilevel"/>
    <w:lvl w:ilvl="0">
      <w:lvlJc w:val="left"/>
      <w:lvlText w:val="9"/>
      <w:numFmt w:val="bullet"/>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2021-02-16T16:28:15Z</dcterms:created>
  <dcterms:modified xsi:type="dcterms:W3CDTF">2021-02-16T16:28:15Z</dcterms:modified>
</cp:coreProperties>
</file>