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SECURITIES AND EXCHANGE COMMISSION</w:t>
      </w:r>
    </w:p>
    <w:p>
      <w:pPr>
        <w:ind w:left="44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167005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ind w:left="478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186690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ind w:right="-579"/>
        <w:spacing w:after="0"/>
        <w:rPr>
          <w:sz w:val="20"/>
          <w:szCs w:val="20"/>
          <w:color w:val="auto"/>
        </w:rPr>
      </w:pPr>
      <w:r>
        <w:rPr>
          <w:rFonts w:ascii="Arial" w:cs="Arial" w:eastAsia="Arial" w:hAnsi="Arial"/>
          <w:sz w:val="22"/>
          <w:szCs w:val="22"/>
          <w:b w:val="1"/>
          <w:bCs w:val="1"/>
          <w:color w:val="auto"/>
        </w:rPr>
        <w:t>REPORT OF FOREIGN ISSUER</w:t>
      </w:r>
    </w:p>
    <w:p>
      <w:pPr>
        <w:spacing w:after="0" w:line="4" w:lineRule="exact"/>
        <w:rPr>
          <w:sz w:val="24"/>
          <w:szCs w:val="24"/>
          <w:color w:val="auto"/>
        </w:rPr>
      </w:pPr>
    </w:p>
    <w:p>
      <w:pPr>
        <w:jc w:val="center"/>
        <w:ind w:right="-579"/>
        <w:spacing w:after="0"/>
        <w:rPr>
          <w:sz w:val="20"/>
          <w:szCs w:val="20"/>
          <w:color w:val="auto"/>
        </w:rPr>
      </w:pPr>
      <w:r>
        <w:rPr>
          <w:rFonts w:ascii="Arial" w:cs="Arial" w:eastAsia="Arial" w:hAnsi="Arial"/>
          <w:sz w:val="22"/>
          <w:szCs w:val="22"/>
          <w:b w:val="1"/>
          <w:bCs w:val="1"/>
          <w:color w:val="auto"/>
        </w:rPr>
        <w:t>PURSUANT TO RULE 13a-16 OR 15d-16</w:t>
      </w:r>
    </w:p>
    <w:p>
      <w:pPr>
        <w:jc w:val="center"/>
        <w:ind w:right="-5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For the month of January 2023</w:t>
      </w:r>
    </w:p>
    <w:p>
      <w:pPr>
        <w:spacing w:after="0" w:line="22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No. 001-39621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188595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ind w:left="3700"/>
        <w:spacing w:after="0"/>
        <w:rPr>
          <w:sz w:val="20"/>
          <w:szCs w:val="20"/>
          <w:color w:val="auto"/>
        </w:rPr>
      </w:pPr>
      <w:r>
        <w:rPr>
          <w:rFonts w:ascii="Arial" w:cs="Arial" w:eastAsia="Arial" w:hAnsi="Arial"/>
          <w:sz w:val="43"/>
          <w:szCs w:val="43"/>
          <w:b w:val="1"/>
          <w:bCs w:val="1"/>
          <w:color w:val="auto"/>
        </w:rPr>
        <w:t>OPTHEA LIMITED</w:t>
      </w:r>
    </w:p>
    <w:p>
      <w:pPr>
        <w:spacing w:after="0" w:line="50"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Level 4</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650 Chapel Street</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South Yarra, Victoria, 3141</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Australia</w:t>
      </w:r>
    </w:p>
    <w:p>
      <w:pPr>
        <w:spacing w:after="0" w:line="2" w:lineRule="exact"/>
        <w:rPr>
          <w:sz w:val="24"/>
          <w:szCs w:val="24"/>
          <w:color w:val="auto"/>
        </w:rPr>
      </w:pPr>
    </w:p>
    <w:p>
      <w:pPr>
        <w:ind w:left="4080"/>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159385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6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 (b) (1):</w:t>
      </w:r>
    </w:p>
    <w:p>
      <w:pPr>
        <w:spacing w:after="0" w:line="23" w:lineRule="exact"/>
        <w:rPr>
          <w:sz w:val="24"/>
          <w:szCs w:val="24"/>
          <w:color w:val="auto"/>
        </w:rPr>
      </w:pPr>
    </w:p>
    <w:p>
      <w:pPr>
        <w:ind w:left="5140"/>
        <w:spacing w:after="0" w:line="207" w:lineRule="exact"/>
        <w:tabs>
          <w:tab w:leader="none" w:pos="58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 (b) (7):</w:t>
      </w:r>
    </w:p>
    <w:p>
      <w:pPr>
        <w:spacing w:after="0" w:line="23" w:lineRule="exact"/>
        <w:rPr>
          <w:sz w:val="24"/>
          <w:szCs w:val="24"/>
          <w:color w:val="auto"/>
        </w:rPr>
      </w:pPr>
    </w:p>
    <w:p>
      <w:pPr>
        <w:ind w:left="5140"/>
        <w:spacing w:after="0" w:line="207" w:lineRule="exact"/>
        <w:tabs>
          <w:tab w:leader="none" w:pos="58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11"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 w:lineRule="exact"/>
        <w:rPr>
          <w:sz w:val="24"/>
          <w:szCs w:val="24"/>
          <w:color w:val="auto"/>
        </w:rPr>
      </w:pPr>
    </w:p>
    <w:p>
      <w:pPr>
        <w:ind w:left="5100"/>
        <w:spacing w:after="0" w:line="207" w:lineRule="exact"/>
        <w:tabs>
          <w:tab w:leader="none" w:pos="57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810895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706" w:right="959" w:bottom="1440" w:gutter="0" w:footer="0" w:header="0"/>
        </w:sectPr>
      </w:pPr>
    </w:p>
    <w:bookmarkStart w:id="1" w:name="page2"/>
    <w:bookmarkEnd w:id="1"/>
    <w:p>
      <w:pPr>
        <w:ind w:left="4880"/>
        <w:spacing w:after="0"/>
        <w:rPr>
          <w:sz w:val="20"/>
          <w:szCs w:val="20"/>
          <w:color w:val="auto"/>
        </w:rPr>
      </w:pPr>
      <w:r>
        <w:rPr>
          <w:rFonts w:ascii="Arial" w:cs="Arial" w:eastAsia="Arial" w:hAnsi="Arial"/>
          <w:sz w:val="18"/>
          <w:szCs w:val="18"/>
          <w:b w:val="1"/>
          <w:bCs w:val="1"/>
          <w:color w:val="auto"/>
        </w:rPr>
        <w:t>EXHIBIT INDEX</w:t>
      </w:r>
    </w:p>
    <w:p>
      <w:pPr>
        <w:spacing w:after="0" w:line="26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FF"/>
        </w:rPr>
        <w:t>Press Release - Opthea to Present at Sequire Biotechnology Conference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662305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337" w:right="1440" w:bottom="1440" w:gutter="0" w:footer="0" w:header="0"/>
        </w:sectPr>
      </w:pPr>
    </w:p>
    <w:bookmarkStart w:id="2" w:name="page3"/>
    <w:bookmarkEnd w:id="2"/>
    <w:p>
      <w:pPr>
        <w:ind w:left="5020"/>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thereto duly authorized.</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OPTHEA LIMITED</w:t>
      </w:r>
    </w:p>
    <w:p>
      <w:pPr>
        <w:spacing w:after="0" w:line="4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(Registrant)</w:t>
      </w:r>
    </w:p>
    <w:p>
      <w:pPr>
        <w:spacing w:after="0" w:line="279" w:lineRule="exact"/>
        <w:rPr>
          <w:sz w:val="20"/>
          <w:szCs w:val="20"/>
          <w:color w:val="auto"/>
        </w:rPr>
      </w:pPr>
    </w:p>
    <w:p>
      <w:pPr>
        <w:ind w:left="566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Megan Baldwin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Megan Baldwin, Ph.D.</w:t>
      </w:r>
    </w:p>
    <w:p>
      <w:pPr>
        <w:spacing w:after="0" w:line="36" w:lineRule="exact"/>
        <w:rPr>
          <w:sz w:val="20"/>
          <w:szCs w:val="20"/>
          <w:color w:val="auto"/>
        </w:rPr>
      </w:pPr>
    </w:p>
    <w:p>
      <w:pPr>
        <w:ind w:left="566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and Managing Director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Date: 1/30/2023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320" w:top="337" w:right="129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920240" cy="9601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20240"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ASX, Nasdaq and Media Release</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January 30, 2023</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Opthea To Present at Sequire Biotechnology Conference</w:t>
      </w:r>
    </w:p>
    <w:p>
      <w:pPr>
        <w:spacing w:after="0" w:line="3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Melbourne, Australia; 30 January, 2023 </w:t>
      </w:r>
      <w:r>
        <w:rPr>
          <w:rFonts w:ascii="Arial" w:cs="Arial" w:eastAsia="Arial" w:hAnsi="Arial"/>
          <w:sz w:val="18"/>
          <w:szCs w:val="18"/>
          <w:color w:val="auto"/>
        </w:rPr>
        <w:t>– Opthea Limited (NASDAQ:OPT; ASX:OPT), a clinical stage biopharmaceutical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developing novel therapies to treat highly prevalent and progressive retinal diseases, announced today that Dr. Megan Baldwin, the Company’s Chief Executive Officer will present at the Sequire Biotechnology Conference being held virtually on February 2, 2023.</w:t>
      </w:r>
    </w:p>
    <w:p>
      <w:pPr>
        <w:spacing w:after="0" w:line="177" w:lineRule="exact"/>
        <w:rPr>
          <w:sz w:val="20"/>
          <w:szCs w:val="20"/>
          <w:color w:val="auto"/>
        </w:rPr>
      </w:pPr>
    </w:p>
    <w:p>
      <w:pPr>
        <w:jc w:val="both"/>
        <w:ind w:right="20"/>
        <w:spacing w:after="0" w:line="215" w:lineRule="auto"/>
        <w:rPr>
          <w:sz w:val="20"/>
          <w:szCs w:val="20"/>
          <w:color w:val="auto"/>
        </w:rPr>
      </w:pPr>
      <w:r>
        <w:rPr>
          <w:rFonts w:ascii="Arial" w:cs="Arial" w:eastAsia="Arial" w:hAnsi="Arial"/>
          <w:sz w:val="18"/>
          <w:szCs w:val="18"/>
          <w:color w:val="auto"/>
        </w:rPr>
        <w:t>Dr. Baldwin will present on Thursday, February 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at 10:00 am ET (2:00 am AEDT). To access the presentation please register at https://biotech.sequireevents.com.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920240" cy="9601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920240" cy="96012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Opthea Limited</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Opthea (ASX:OPT; Nasdaq:OPT) is a biopharmaceutical company developing novel therapies to address the unmet need in the treatment of highly prevalent and progressive retinal diseases, including wet age-related macular degeneration (wet AMD) and diabetic macular edema (DME). Opthea’s lead product candidate OPT-302 is in pivotal Phase 3 clinical trials and being developed for use in combination with anti-VEGF-A monotherapies to achieve broader inhibition of the VEGF family, with the goal of improving overall efficacy and demonstrating superior vision gains over that which can be achieved by inhibiting VEGF-A alone.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risks of Investment in Biotechnology Companies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There are a number of inherent risks associated with the development of pharmaceutical products to a marketable stage. The lengthy clinical trial process is designed to assess the safety and efficacy of a drug prior to commercialization and a significant proportion of drugs fail one or both of these criteria. Other risks include uncertainty of patent protection and proprietary rights, whether patent applications and issued patents will offer adequate protection to enable product development, the obtaining of necessary drug regulatory authority approvals and difficulties caused by the rapid advancements in technology. Companies such as Opthea are dependent on the success of their research and development projects and on the ability to attract funding to support these activities. Investment in research and development projects cannot be assessed on the same fundamentals as trading and manufacturing enterprises. Therefore, investment in companies specializing in drug development must be regarded as highly speculative. Opthea strongly recommends that professional investment advice be sought prior to such investments.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Company &amp; Media Enquiries:</w:t>
            </w:r>
          </w:p>
        </w:tc>
        <w:tc>
          <w:tcPr>
            <w:tcW w:w="6840" w:type="dxa"/>
            <w:vAlign w:val="bottom"/>
          </w:tcPr>
          <w:p>
            <w:pPr>
              <w:ind w:left="1800"/>
              <w:spacing w:after="0"/>
              <w:rPr>
                <w:sz w:val="20"/>
                <w:szCs w:val="20"/>
                <w:color w:val="auto"/>
              </w:rPr>
            </w:pPr>
            <w:r>
              <w:rPr>
                <w:rFonts w:ascii="Arial" w:cs="Arial" w:eastAsia="Arial" w:hAnsi="Arial"/>
                <w:sz w:val="18"/>
                <w:szCs w:val="18"/>
                <w:b w:val="1"/>
                <w:bCs w:val="1"/>
                <w:i w:val="1"/>
                <w:iCs w:val="1"/>
                <w:color w:val="auto"/>
              </w:rPr>
              <w:t>Join  our  email  database  to  receive  program</w:t>
            </w:r>
          </w:p>
        </w:tc>
      </w:tr>
      <w:tr>
        <w:trPr>
          <w:trHeight w:val="239"/>
        </w:trPr>
        <w:tc>
          <w:tcPr>
            <w:tcW w:w="4400" w:type="dxa"/>
            <w:vAlign w:val="bottom"/>
          </w:tcPr>
          <w:p>
            <w:pPr>
              <w:spacing w:after="0"/>
              <w:rPr>
                <w:sz w:val="20"/>
                <w:szCs w:val="20"/>
                <w:color w:val="auto"/>
              </w:rPr>
            </w:pPr>
          </w:p>
        </w:tc>
        <w:tc>
          <w:tcPr>
            <w:tcW w:w="6840" w:type="dxa"/>
            <w:vAlign w:val="bottom"/>
          </w:tcPr>
          <w:p>
            <w:pPr>
              <w:ind w:left="1800"/>
              <w:spacing w:after="0"/>
              <w:rPr>
                <w:sz w:val="20"/>
                <w:szCs w:val="20"/>
                <w:color w:val="auto"/>
              </w:rPr>
            </w:pPr>
            <w:r>
              <w:rPr>
                <w:rFonts w:ascii="Arial" w:cs="Arial" w:eastAsia="Arial" w:hAnsi="Arial"/>
                <w:sz w:val="18"/>
                <w:szCs w:val="18"/>
                <w:b w:val="1"/>
                <w:bCs w:val="1"/>
                <w:i w:val="1"/>
                <w:iCs w:val="1"/>
                <w:color w:val="auto"/>
              </w:rPr>
              <w:t>updates:</w:t>
            </w:r>
          </w:p>
        </w:tc>
      </w:tr>
      <w:tr>
        <w:trPr>
          <w:trHeight w:val="310"/>
        </w:trPr>
        <w:tc>
          <w:tcPr>
            <w:tcW w:w="440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U.S.A. &amp; International:</w:t>
            </w:r>
          </w:p>
        </w:tc>
        <w:tc>
          <w:tcPr>
            <w:tcW w:w="6840" w:type="dxa"/>
            <w:vAlign w:val="bottom"/>
          </w:tcPr>
          <w:p>
            <w:pPr>
              <w:ind w:left="1800"/>
              <w:spacing w:after="0"/>
              <w:rPr>
                <w:sz w:val="20"/>
                <w:szCs w:val="20"/>
                <w:color w:val="auto"/>
              </w:rPr>
            </w:pPr>
            <w:r>
              <w:rPr>
                <w:rFonts w:ascii="Arial" w:cs="Arial" w:eastAsia="Arial" w:hAnsi="Arial"/>
                <w:sz w:val="18"/>
                <w:szCs w:val="18"/>
                <w:color w:val="auto"/>
              </w:rPr>
              <w:t>Tel: +61 (0) 3 9826 0399</w:t>
            </w:r>
          </w:p>
        </w:tc>
      </w:tr>
      <w:tr>
        <w:trPr>
          <w:trHeight w:val="203"/>
        </w:trPr>
        <w:tc>
          <w:tcPr>
            <w:tcW w:w="4400" w:type="dxa"/>
            <w:vAlign w:val="bottom"/>
          </w:tcPr>
          <w:p>
            <w:pPr>
              <w:ind w:left="100"/>
              <w:spacing w:after="0" w:line="202" w:lineRule="exact"/>
              <w:rPr>
                <w:sz w:val="20"/>
                <w:szCs w:val="20"/>
                <w:color w:val="auto"/>
              </w:rPr>
            </w:pPr>
            <w:r>
              <w:rPr>
                <w:rFonts w:ascii="Arial" w:cs="Arial" w:eastAsia="Arial" w:hAnsi="Arial"/>
                <w:sz w:val="18"/>
                <w:szCs w:val="18"/>
                <w:color w:val="auto"/>
              </w:rPr>
              <w:t>Timothy E Morris CFO</w:t>
            </w:r>
          </w:p>
        </w:tc>
        <w:tc>
          <w:tcPr>
            <w:tcW w:w="6840" w:type="dxa"/>
            <w:vAlign w:val="bottom"/>
          </w:tcPr>
          <w:p>
            <w:pPr>
              <w:ind w:left="1800"/>
              <w:spacing w:after="0" w:line="202" w:lineRule="exact"/>
              <w:rPr>
                <w:sz w:val="20"/>
                <w:szCs w:val="20"/>
                <w:color w:val="auto"/>
              </w:rPr>
            </w:pPr>
            <w:r>
              <w:rPr>
                <w:rFonts w:ascii="Arial" w:cs="Arial" w:eastAsia="Arial" w:hAnsi="Arial"/>
                <w:sz w:val="18"/>
                <w:szCs w:val="18"/>
                <w:color w:val="auto"/>
              </w:rPr>
              <w:t>Email: info@opthea.com</w:t>
            </w:r>
          </w:p>
        </w:tc>
      </w:tr>
      <w:tr>
        <w:trPr>
          <w:trHeight w:val="203"/>
        </w:trPr>
        <w:tc>
          <w:tcPr>
            <w:tcW w:w="4400" w:type="dxa"/>
            <w:vAlign w:val="bottom"/>
          </w:tcPr>
          <w:p>
            <w:pPr>
              <w:ind w:left="100"/>
              <w:spacing w:after="0" w:line="202" w:lineRule="exact"/>
              <w:rPr>
                <w:sz w:val="20"/>
                <w:szCs w:val="20"/>
                <w:color w:val="auto"/>
              </w:rPr>
            </w:pPr>
            <w:r>
              <w:rPr>
                <w:rFonts w:ascii="Arial" w:cs="Arial" w:eastAsia="Arial" w:hAnsi="Arial"/>
                <w:sz w:val="18"/>
                <w:szCs w:val="18"/>
                <w:color w:val="auto"/>
              </w:rPr>
              <w:t>Opthea Limited</w:t>
            </w:r>
          </w:p>
        </w:tc>
        <w:tc>
          <w:tcPr>
            <w:tcW w:w="6840" w:type="dxa"/>
            <w:vAlign w:val="bottom"/>
          </w:tcPr>
          <w:p>
            <w:pPr>
              <w:ind w:left="1800"/>
              <w:spacing w:after="0" w:line="202" w:lineRule="exact"/>
              <w:rPr>
                <w:sz w:val="20"/>
                <w:szCs w:val="20"/>
                <w:color w:val="auto"/>
              </w:rPr>
            </w:pPr>
            <w:r>
              <w:rPr>
                <w:rFonts w:ascii="Arial" w:cs="Arial" w:eastAsia="Arial" w:hAnsi="Arial"/>
                <w:sz w:val="18"/>
                <w:szCs w:val="18"/>
                <w:color w:val="auto"/>
              </w:rPr>
              <w:t>Web: www.opthea.com</w:t>
            </w:r>
          </w:p>
        </w:tc>
      </w:tr>
      <w:tr>
        <w:trPr>
          <w:trHeight w:val="217"/>
        </w:trPr>
        <w:tc>
          <w:tcPr>
            <w:tcW w:w="4400" w:type="dxa"/>
            <w:vAlign w:val="bottom"/>
          </w:tcPr>
          <w:p>
            <w:pPr>
              <w:ind w:left="100"/>
              <w:spacing w:after="0"/>
              <w:rPr>
                <w:sz w:val="20"/>
                <w:szCs w:val="20"/>
                <w:color w:val="auto"/>
              </w:rPr>
            </w:pPr>
            <w:r>
              <w:rPr>
                <w:rFonts w:ascii="Arial" w:cs="Arial" w:eastAsia="Arial" w:hAnsi="Arial"/>
                <w:sz w:val="18"/>
                <w:szCs w:val="18"/>
                <w:color w:val="auto"/>
              </w:rPr>
              <w:t>Tel: +1 650-400-6874</w:t>
            </w:r>
          </w:p>
        </w:tc>
        <w:tc>
          <w:tcPr>
            <w:tcW w:w="6840" w:type="dxa"/>
            <w:vAlign w:val="bottom"/>
          </w:tcPr>
          <w:p>
            <w:pPr>
              <w:spacing w:after="0"/>
              <w:rPr>
                <w:sz w:val="18"/>
                <w:szCs w:val="18"/>
                <w:color w:val="auto"/>
              </w:rPr>
            </w:pPr>
          </w:p>
        </w:tc>
      </w:tr>
      <w:tr>
        <w:trPr>
          <w:trHeight w:val="391"/>
        </w:trPr>
        <w:tc>
          <w:tcPr>
            <w:tcW w:w="440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Australia:</w:t>
            </w:r>
          </w:p>
        </w:tc>
        <w:tc>
          <w:tcPr>
            <w:tcW w:w="6840" w:type="dxa"/>
            <w:vAlign w:val="bottom"/>
          </w:tcPr>
          <w:p>
            <w:pPr>
              <w:spacing w:after="0"/>
              <w:rPr>
                <w:sz w:val="24"/>
                <w:szCs w:val="24"/>
                <w:color w:val="auto"/>
              </w:rPr>
            </w:pPr>
          </w:p>
        </w:tc>
      </w:tr>
      <w:tr>
        <w:trPr>
          <w:trHeight w:val="203"/>
        </w:trPr>
        <w:tc>
          <w:tcPr>
            <w:tcW w:w="4400" w:type="dxa"/>
            <w:vAlign w:val="bottom"/>
          </w:tcPr>
          <w:p>
            <w:pPr>
              <w:ind w:left="100"/>
              <w:spacing w:after="0" w:line="202" w:lineRule="exact"/>
              <w:rPr>
                <w:sz w:val="20"/>
                <w:szCs w:val="20"/>
                <w:color w:val="auto"/>
              </w:rPr>
            </w:pPr>
            <w:r>
              <w:rPr>
                <w:rFonts w:ascii="Arial" w:cs="Arial" w:eastAsia="Arial" w:hAnsi="Arial"/>
                <w:sz w:val="18"/>
                <w:szCs w:val="18"/>
                <w:color w:val="auto"/>
              </w:rPr>
              <w:t>Rudi Michelson</w:t>
            </w:r>
          </w:p>
        </w:tc>
        <w:tc>
          <w:tcPr>
            <w:tcW w:w="6840" w:type="dxa"/>
            <w:vAlign w:val="bottom"/>
          </w:tcPr>
          <w:p>
            <w:pPr>
              <w:spacing w:after="0"/>
              <w:rPr>
                <w:sz w:val="17"/>
                <w:szCs w:val="17"/>
                <w:color w:val="auto"/>
              </w:rPr>
            </w:pPr>
          </w:p>
        </w:tc>
      </w:tr>
      <w:tr>
        <w:trPr>
          <w:trHeight w:val="203"/>
        </w:trPr>
        <w:tc>
          <w:tcPr>
            <w:tcW w:w="4400" w:type="dxa"/>
            <w:vAlign w:val="bottom"/>
          </w:tcPr>
          <w:p>
            <w:pPr>
              <w:ind w:left="100"/>
              <w:spacing w:after="0" w:line="202" w:lineRule="exact"/>
              <w:rPr>
                <w:sz w:val="20"/>
                <w:szCs w:val="20"/>
                <w:color w:val="auto"/>
              </w:rPr>
            </w:pPr>
            <w:r>
              <w:rPr>
                <w:rFonts w:ascii="Arial" w:cs="Arial" w:eastAsia="Arial" w:hAnsi="Arial"/>
                <w:sz w:val="18"/>
                <w:szCs w:val="18"/>
                <w:color w:val="auto"/>
              </w:rPr>
              <w:t>Monsoon Communications</w:t>
            </w:r>
          </w:p>
        </w:tc>
        <w:tc>
          <w:tcPr>
            <w:tcW w:w="6840" w:type="dxa"/>
            <w:vAlign w:val="bottom"/>
          </w:tcPr>
          <w:p>
            <w:pPr>
              <w:spacing w:after="0"/>
              <w:rPr>
                <w:sz w:val="17"/>
                <w:szCs w:val="17"/>
                <w:color w:val="auto"/>
              </w:rPr>
            </w:pPr>
          </w:p>
        </w:tc>
      </w:tr>
      <w:tr>
        <w:trPr>
          <w:trHeight w:val="217"/>
        </w:trPr>
        <w:tc>
          <w:tcPr>
            <w:tcW w:w="4400" w:type="dxa"/>
            <w:vAlign w:val="bottom"/>
          </w:tcPr>
          <w:p>
            <w:pPr>
              <w:ind w:left="100"/>
              <w:spacing w:after="0"/>
              <w:rPr>
                <w:sz w:val="20"/>
                <w:szCs w:val="20"/>
                <w:color w:val="auto"/>
              </w:rPr>
            </w:pPr>
            <w:r>
              <w:rPr>
                <w:rFonts w:ascii="Arial" w:cs="Arial" w:eastAsia="Arial" w:hAnsi="Arial"/>
                <w:sz w:val="18"/>
                <w:szCs w:val="18"/>
                <w:color w:val="auto"/>
              </w:rPr>
              <w:t>Tel: +61 (0) 3 9620 3333</w:t>
            </w:r>
          </w:p>
        </w:tc>
        <w:tc>
          <w:tcPr>
            <w:tcW w:w="6840" w:type="dxa"/>
            <w:vAlign w:val="bottom"/>
          </w:tcPr>
          <w:p>
            <w:pPr>
              <w:spacing w:after="0"/>
              <w:rPr>
                <w:sz w:val="18"/>
                <w:szCs w:val="18"/>
                <w:color w:val="auto"/>
              </w:rPr>
            </w:pPr>
          </w:p>
        </w:tc>
      </w:tr>
      <w:tr>
        <w:trPr>
          <w:trHeight w:val="391"/>
        </w:trPr>
        <w:tc>
          <w:tcPr>
            <w:tcW w:w="4400" w:type="dxa"/>
            <w:vAlign w:val="bottom"/>
          </w:tcPr>
          <w:p>
            <w:pPr>
              <w:ind w:left="100"/>
              <w:spacing w:after="0"/>
              <w:rPr>
                <w:sz w:val="20"/>
                <w:szCs w:val="20"/>
                <w:color w:val="auto"/>
              </w:rPr>
            </w:pPr>
            <w:r>
              <w:rPr>
                <w:rFonts w:ascii="Arial" w:cs="Arial" w:eastAsia="Arial" w:hAnsi="Arial"/>
                <w:sz w:val="18"/>
                <w:szCs w:val="18"/>
                <w:b w:val="1"/>
                <w:bCs w:val="1"/>
                <w:color w:val="auto"/>
              </w:rPr>
              <w:t>Media:</w:t>
            </w:r>
          </w:p>
        </w:tc>
        <w:tc>
          <w:tcPr>
            <w:tcW w:w="6840" w:type="dxa"/>
            <w:vAlign w:val="bottom"/>
          </w:tcPr>
          <w:p>
            <w:pPr>
              <w:spacing w:after="0"/>
              <w:rPr>
                <w:sz w:val="24"/>
                <w:szCs w:val="24"/>
                <w:color w:val="auto"/>
              </w:rPr>
            </w:pPr>
          </w:p>
        </w:tc>
      </w:tr>
      <w:tr>
        <w:trPr>
          <w:trHeight w:val="203"/>
        </w:trPr>
        <w:tc>
          <w:tcPr>
            <w:tcW w:w="4400" w:type="dxa"/>
            <w:vAlign w:val="bottom"/>
          </w:tcPr>
          <w:p>
            <w:pPr>
              <w:ind w:left="100"/>
              <w:spacing w:after="0" w:line="202" w:lineRule="exact"/>
              <w:rPr>
                <w:sz w:val="20"/>
                <w:szCs w:val="20"/>
                <w:color w:val="auto"/>
              </w:rPr>
            </w:pPr>
            <w:r>
              <w:rPr>
                <w:rFonts w:ascii="Arial" w:cs="Arial" w:eastAsia="Arial" w:hAnsi="Arial"/>
                <w:sz w:val="18"/>
                <w:szCs w:val="18"/>
                <w:color w:val="auto"/>
              </w:rPr>
              <w:t>Hershel Berry</w:t>
            </w:r>
          </w:p>
        </w:tc>
        <w:tc>
          <w:tcPr>
            <w:tcW w:w="6840" w:type="dxa"/>
            <w:vAlign w:val="bottom"/>
          </w:tcPr>
          <w:p>
            <w:pPr>
              <w:spacing w:after="0"/>
              <w:rPr>
                <w:sz w:val="17"/>
                <w:szCs w:val="17"/>
                <w:color w:val="auto"/>
              </w:rPr>
            </w:pPr>
          </w:p>
        </w:tc>
      </w:tr>
      <w:tr>
        <w:trPr>
          <w:trHeight w:val="203"/>
        </w:trPr>
        <w:tc>
          <w:tcPr>
            <w:tcW w:w="4400" w:type="dxa"/>
            <w:vAlign w:val="bottom"/>
          </w:tcPr>
          <w:p>
            <w:pPr>
              <w:ind w:left="100"/>
              <w:spacing w:after="0" w:line="202" w:lineRule="exact"/>
              <w:rPr>
                <w:sz w:val="20"/>
                <w:szCs w:val="20"/>
                <w:color w:val="auto"/>
              </w:rPr>
            </w:pPr>
            <w:r>
              <w:rPr>
                <w:rFonts w:ascii="Arial" w:cs="Arial" w:eastAsia="Arial" w:hAnsi="Arial"/>
                <w:sz w:val="18"/>
                <w:szCs w:val="18"/>
                <w:color w:val="auto"/>
              </w:rPr>
              <w:t>Blueprint Life Science Group</w:t>
            </w:r>
          </w:p>
        </w:tc>
        <w:tc>
          <w:tcPr>
            <w:tcW w:w="6840" w:type="dxa"/>
            <w:vAlign w:val="bottom"/>
          </w:tcPr>
          <w:p>
            <w:pPr>
              <w:spacing w:after="0"/>
              <w:rPr>
                <w:sz w:val="17"/>
                <w:szCs w:val="17"/>
                <w:color w:val="auto"/>
              </w:rPr>
            </w:pPr>
          </w:p>
        </w:tc>
      </w:tr>
      <w:tr>
        <w:trPr>
          <w:trHeight w:val="203"/>
        </w:trPr>
        <w:tc>
          <w:tcPr>
            <w:tcW w:w="4400" w:type="dxa"/>
            <w:vAlign w:val="bottom"/>
          </w:tcPr>
          <w:p>
            <w:pPr>
              <w:ind w:left="100"/>
              <w:spacing w:after="0" w:line="202" w:lineRule="exact"/>
              <w:rPr>
                <w:sz w:val="20"/>
                <w:szCs w:val="20"/>
                <w:color w:val="auto"/>
              </w:rPr>
            </w:pPr>
            <w:r>
              <w:rPr>
                <w:rFonts w:ascii="Arial" w:cs="Arial" w:eastAsia="Arial" w:hAnsi="Arial"/>
                <w:sz w:val="18"/>
                <w:szCs w:val="18"/>
                <w:color w:val="auto"/>
              </w:rPr>
              <w:t>Tel: +1 415 505 3749</w:t>
            </w:r>
          </w:p>
        </w:tc>
        <w:tc>
          <w:tcPr>
            <w:tcW w:w="6840" w:type="dxa"/>
            <w:vAlign w:val="bottom"/>
          </w:tcPr>
          <w:p>
            <w:pPr>
              <w:spacing w:after="0"/>
              <w:rPr>
                <w:sz w:val="17"/>
                <w:szCs w:val="17"/>
                <w:color w:val="auto"/>
              </w:rPr>
            </w:pPr>
          </w:p>
        </w:tc>
      </w:tr>
      <w:tr>
        <w:trPr>
          <w:trHeight w:val="217"/>
        </w:trPr>
        <w:tc>
          <w:tcPr>
            <w:tcW w:w="4400" w:type="dxa"/>
            <w:vAlign w:val="bottom"/>
          </w:tcPr>
          <w:p>
            <w:pPr>
              <w:ind w:left="100"/>
              <w:spacing w:after="0"/>
              <w:rPr>
                <w:sz w:val="20"/>
                <w:szCs w:val="20"/>
                <w:color w:val="auto"/>
              </w:rPr>
            </w:pPr>
            <w:r>
              <w:rPr>
                <w:rFonts w:ascii="Arial" w:cs="Arial" w:eastAsia="Arial" w:hAnsi="Arial"/>
                <w:sz w:val="18"/>
                <w:szCs w:val="18"/>
                <w:color w:val="auto"/>
              </w:rPr>
              <w:t>hberry@bplifescience.com</w:t>
            </w:r>
          </w:p>
        </w:tc>
        <w:tc>
          <w:tcPr>
            <w:tcW w:w="6840" w:type="dxa"/>
            <w:vAlign w:val="bottom"/>
          </w:tcPr>
          <w:p>
            <w:pPr>
              <w:spacing w:after="0"/>
              <w:rPr>
                <w:sz w:val="18"/>
                <w:szCs w:val="18"/>
                <w:color w:val="auto"/>
              </w:rPr>
            </w:pPr>
          </w:p>
        </w:tc>
      </w:tr>
      <w:tr>
        <w:trPr>
          <w:trHeight w:val="1384"/>
        </w:trPr>
        <w:tc>
          <w:tcPr>
            <w:tcW w:w="4400" w:type="dxa"/>
            <w:vAlign w:val="bottom"/>
            <w:tcBorders>
              <w:bottom w:val="single" w:sz="8" w:color="9A9A9A"/>
            </w:tcBorders>
          </w:tcPr>
          <w:p>
            <w:pPr>
              <w:spacing w:after="0"/>
              <w:rPr>
                <w:sz w:val="24"/>
                <w:szCs w:val="24"/>
                <w:color w:val="auto"/>
              </w:rPr>
            </w:pPr>
          </w:p>
        </w:tc>
        <w:tc>
          <w:tcPr>
            <w:tcW w:w="6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2023-01-30T05:17:25Z</dcterms:created>
  <dcterms:modified xsi:type="dcterms:W3CDTF">2023-01-30T05:17:25Z</dcterms:modified>
</cp:coreProperties>
</file>