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left="2320" w:right="9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For the Month of February 2021</w:t>
      </w:r>
    </w:p>
    <w:p>
      <w:pPr>
        <w:spacing w:after="0" w:line="225"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Commission File Number: 001-39621</w:t>
      </w:r>
    </w:p>
    <w:p>
      <w:pPr>
        <w:spacing w:after="0" w:line="200" w:lineRule="exact"/>
        <w:rPr>
          <w:sz w:val="24"/>
          <w:szCs w:val="24"/>
          <w:color w:val="auto"/>
        </w:rPr>
      </w:pPr>
    </w:p>
    <w:p>
      <w:pPr>
        <w:ind w:left="358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5"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ectPr>
          <w:pgSz w:w="11900" w:h="16838" w:orient="portrait"/>
          <w:cols w:equalWidth="0" w:num="1">
            <w:col w:w="10019"/>
          </w:cols>
          <w:pgMar w:left="440" w:top="206" w:right="1440"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INCORPORATION BY REFERENCE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report on Form 6-K shall be deemed to be incorporated by reference into the registration statement on Form S-8 (File No. 333-251052) of Opthea Limited and to be a part thereof from the date on which this report is filed, to the extent not superseded by documents or reports subsequently filed or furnished.</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EXHIBITS</w:t>
      </w:r>
    </w:p>
    <w:p>
      <w:pPr>
        <w:spacing w:after="0" w:line="86" w:lineRule="exact"/>
        <w:rPr>
          <w:sz w:val="20"/>
          <w:szCs w:val="20"/>
          <w:color w:val="auto"/>
        </w:rPr>
      </w:pPr>
    </w:p>
    <w:p>
      <w:pPr>
        <w:spacing w:after="0"/>
        <w:tabs>
          <w:tab w:leader="none" w:pos="55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15240</wp:posOffset>
            </wp:positionV>
            <wp:extent cx="64376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pacing w:after="0" w:line="9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Half-year financial report for the six months ended December 31, 2020</w:t>
        </w:r>
      </w:hyperlink>
    </w:p>
    <w:p>
      <w:pPr>
        <w:sectPr>
          <w:pgSz w:w="11900" w:h="16838" w:orient="portrait"/>
          <w:cols w:equalWidth="0" w:num="1">
            <w:col w:w="10840"/>
          </w:cols>
          <w:pgMar w:left="440" w:top="270" w:right="61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OPTHEA LIMITED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Tonroe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Tonroe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Company Secretary</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674620"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46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22 February 2021</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HALF-YEAR FINANCIAL REPORT 31 DECEMBER 2020</w:t>
      </w:r>
    </w:p>
    <w:p>
      <w:pPr>
        <w:spacing w:after="0" w:line="123" w:lineRule="exact"/>
        <w:rPr>
          <w:sz w:val="20"/>
          <w:szCs w:val="20"/>
          <w:color w:val="auto"/>
        </w:rPr>
      </w:pPr>
    </w:p>
    <w:p>
      <w:pPr>
        <w:jc w:val="both"/>
        <w:spacing w:after="0"/>
        <w:rPr>
          <w:sz w:val="20"/>
          <w:szCs w:val="20"/>
          <w:color w:val="auto"/>
        </w:rPr>
      </w:pPr>
      <w:r>
        <w:rPr>
          <w:rFonts w:ascii="Arial" w:cs="Arial" w:eastAsia="Arial" w:hAnsi="Arial"/>
          <w:sz w:val="15"/>
          <w:szCs w:val="15"/>
          <w:color w:val="auto"/>
        </w:rPr>
        <w:t>In accordance with Listing Rule 4.2A, we enclose the Half-Year Financial Report (reviewed) on the consolidated results of Opthea Limited (‘Opthea’ or ‘Group’) for the half-year ended 31 December 2020. The previous corresponding periods are the financial year ended 30 June 2020 and the half-year ended 31 December 2019.</w:t>
      </w:r>
    </w:p>
    <w:p>
      <w:pPr>
        <w:spacing w:after="0" w:line="249"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Information in relation to the operational performance, financial performance, cash flows and financial position is included in the attached Appendix 4D Half-Year Financial Report.</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This Half-Year Financial Report should be read in conjunction with the Company’s Annual Report for the year ended 30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1285875" cy="59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Mike Tonroe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9E9D9D"/>
        </w:rPr>
        <w:t>Level 4, 650 Chapel Street, South Yarra, Victoria 3141 Australia T +61 (3) 9826 0399</w:t>
      </w:r>
    </w:p>
    <w:p>
      <w:pPr>
        <w:jc w:val="center"/>
        <w:spacing w:after="0"/>
        <w:rPr>
          <w:sz w:val="20"/>
          <w:szCs w:val="20"/>
          <w:color w:val="auto"/>
        </w:rPr>
      </w:pPr>
      <w:r>
        <w:rPr>
          <w:rFonts w:ascii="Arial" w:cs="Arial" w:eastAsia="Arial" w:hAnsi="Arial"/>
          <w:sz w:val="18"/>
          <w:szCs w:val="18"/>
          <w:b w:val="1"/>
          <w:bCs w:val="1"/>
          <w:color w:val="auto"/>
        </w:rPr>
        <w:t xml:space="preserve">www.opthea.com </w:t>
      </w:r>
      <w:r>
        <w:rPr>
          <w:rFonts w:ascii="Arial" w:cs="Arial" w:eastAsia="Arial" w:hAnsi="Arial"/>
          <w:sz w:val="18"/>
          <w:szCs w:val="18"/>
          <w:color w:val="9E9D9D"/>
        </w:rPr>
        <w:t>ABN 32 006 340 567</w:t>
      </w:r>
    </w:p>
    <w:p>
      <w:pPr>
        <w:sectPr>
          <w:pgSz w:w="11900" w:h="16838" w:orient="portrait"/>
          <w:cols w:equalWidth="0" w:num="1">
            <w:col w:w="11020"/>
          </w:cols>
          <w:pgMar w:left="440" w:top="118" w:right="439" w:bottom="1440" w:gutter="0" w:footer="0" w:header="0"/>
        </w:sectPr>
      </w:pPr>
    </w:p>
    <w:bookmarkStart w:id="4" w:name="page5"/>
    <w:bookmarkEnd w:id="4"/>
    <w:p>
      <w:pPr>
        <w:spacing w:after="0" w:line="2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25625"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25625" cy="462915"/>
                    </a:xfrm>
                    <a:prstGeom prst="rect">
                      <a:avLst/>
                    </a:prstGeom>
                    <a:noFill/>
                  </pic:spPr>
                </pic:pic>
              </a:graphicData>
            </a:graphic>
          </wp:anchor>
        </w:drawing>
      </w:r>
    </w:p>
    <w:p>
      <w:pPr>
        <w:spacing w:after="0"/>
        <w:rPr>
          <w:sz w:val="20"/>
          <w:szCs w:val="20"/>
          <w:color w:val="auto"/>
        </w:rPr>
      </w:pPr>
      <w:r>
        <w:rPr>
          <w:rFonts w:ascii="Arial" w:cs="Arial" w:eastAsia="Arial" w:hAnsi="Arial"/>
          <w:sz w:val="36"/>
          <w:szCs w:val="36"/>
          <w:color w:val="00AFB7"/>
        </w:rPr>
        <w:t>APPENDIX 4D</w:t>
      </w:r>
    </w:p>
    <w:p>
      <w:pPr>
        <w:spacing w:after="0" w:line="5" w:lineRule="exact"/>
        <w:rPr>
          <w:sz w:val="20"/>
          <w:szCs w:val="20"/>
          <w:color w:val="auto"/>
        </w:rPr>
      </w:pPr>
    </w:p>
    <w:p>
      <w:pPr>
        <w:spacing w:after="0"/>
        <w:rPr>
          <w:sz w:val="20"/>
          <w:szCs w:val="20"/>
          <w:color w:val="auto"/>
        </w:rPr>
      </w:pPr>
      <w:r>
        <w:rPr>
          <w:rFonts w:ascii="Arial" w:cs="Arial" w:eastAsia="Arial" w:hAnsi="Arial"/>
          <w:sz w:val="36"/>
          <w:szCs w:val="36"/>
          <w:color w:val="00AFB7"/>
        </w:rPr>
        <w:t>HALF-YEAR FINANCIAL REPORT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00AFB7"/>
        </w:rPr>
        <w:t>OPTHEA LIMITED</w:t>
      </w:r>
    </w:p>
    <w:p>
      <w:pPr>
        <w:spacing w:after="0"/>
        <w:rPr>
          <w:sz w:val="20"/>
          <w:szCs w:val="20"/>
          <w:color w:val="auto"/>
        </w:rPr>
      </w:pPr>
      <w:r>
        <w:rPr>
          <w:rFonts w:ascii="Arial" w:cs="Arial" w:eastAsia="Arial" w:hAnsi="Arial"/>
          <w:sz w:val="20"/>
          <w:szCs w:val="20"/>
          <w:color w:val="00AFB7"/>
        </w:rPr>
        <w:t>ABN 32 006 340 567</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20286D"/>
        </w:rPr>
        <w:t xml:space="preserve">REPORTING PERIOD: </w:t>
      </w:r>
      <w:r>
        <w:rPr>
          <w:rFonts w:ascii="Arial" w:cs="Arial" w:eastAsia="Arial" w:hAnsi="Arial"/>
          <w:sz w:val="20"/>
          <w:szCs w:val="20"/>
          <w:b w:val="1"/>
          <w:bCs w:val="1"/>
          <w:color w:val="20286D"/>
        </w:rPr>
        <w:t>HALF-YEAR ENDED 31 DECEMBER 2020</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20286D"/>
        </w:rPr>
        <w:t xml:space="preserve">PREVIOUS CORRESPONDING PERIOD: </w:t>
      </w:r>
      <w:r>
        <w:rPr>
          <w:rFonts w:ascii="Arial" w:cs="Arial" w:eastAsia="Arial" w:hAnsi="Arial"/>
          <w:sz w:val="19"/>
          <w:szCs w:val="19"/>
          <w:b w:val="1"/>
          <w:bCs w:val="1"/>
          <w:color w:val="20286D"/>
        </w:rPr>
        <w:t>HALF-YEAR ENDED 31 DECEMBER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INDEX</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jc w:val="right"/>
              <w:spacing w:after="0"/>
              <w:rPr>
                <w:sz w:val="20"/>
                <w:szCs w:val="20"/>
                <w:color w:val="auto"/>
              </w:rPr>
            </w:pPr>
            <w:r>
              <w:rPr>
                <w:rFonts w:ascii="Arial" w:cs="Arial" w:eastAsia="Arial" w:hAnsi="Arial"/>
                <w:sz w:val="15"/>
                <w:szCs w:val="15"/>
                <w:color w:val="auto"/>
                <w:w w:val="79"/>
              </w:rPr>
              <w:t>1.</w:t>
            </w:r>
          </w:p>
        </w:tc>
        <w:tc>
          <w:tcPr>
            <w:tcW w:w="4060" w:type="dxa"/>
            <w:vAlign w:val="bottom"/>
            <w:gridSpan w:val="2"/>
          </w:tcPr>
          <w:p>
            <w:pPr>
              <w:ind w:left="40"/>
              <w:spacing w:after="0"/>
              <w:rPr>
                <w:sz w:val="20"/>
                <w:szCs w:val="20"/>
                <w:color w:val="auto"/>
              </w:rPr>
            </w:pPr>
            <w:r>
              <w:rPr>
                <w:rFonts w:ascii="Arial" w:cs="Arial" w:eastAsia="Arial" w:hAnsi="Arial"/>
                <w:sz w:val="15"/>
                <w:szCs w:val="15"/>
                <w:color w:val="auto"/>
              </w:rPr>
              <w:t>Results for announcement to the market</w:t>
            </w:r>
          </w:p>
        </w:tc>
        <w:tc>
          <w:tcPr>
            <w:tcW w:w="3480" w:type="dxa"/>
            <w:vAlign w:val="bottom"/>
          </w:tcPr>
          <w:p>
            <w:pPr>
              <w:jc w:val="right"/>
              <w:spacing w:after="0"/>
              <w:rPr>
                <w:sz w:val="20"/>
                <w:szCs w:val="20"/>
                <w:color w:val="auto"/>
              </w:rPr>
            </w:pPr>
            <w:r>
              <w:rPr>
                <w:rFonts w:ascii="Arial" w:cs="Arial" w:eastAsia="Arial" w:hAnsi="Arial"/>
                <w:sz w:val="15"/>
                <w:szCs w:val="15"/>
                <w:color w:val="auto"/>
              </w:rPr>
              <w:t>next page</w:t>
            </w:r>
          </w:p>
        </w:tc>
      </w:tr>
      <w:tr>
        <w:trPr>
          <w:trHeight w:val="270"/>
        </w:trPr>
        <w:tc>
          <w:tcPr>
            <w:tcW w:w="160" w:type="dxa"/>
            <w:vAlign w:val="bottom"/>
          </w:tcPr>
          <w:p>
            <w:pPr>
              <w:jc w:val="right"/>
              <w:spacing w:after="0"/>
              <w:rPr>
                <w:sz w:val="20"/>
                <w:szCs w:val="20"/>
                <w:color w:val="auto"/>
              </w:rPr>
            </w:pPr>
            <w:r>
              <w:rPr>
                <w:rFonts w:ascii="Arial" w:cs="Arial" w:eastAsia="Arial" w:hAnsi="Arial"/>
                <w:sz w:val="15"/>
                <w:szCs w:val="15"/>
                <w:color w:val="auto"/>
                <w:w w:val="79"/>
              </w:rPr>
              <w:t>2.</w:t>
            </w:r>
          </w:p>
        </w:tc>
        <w:tc>
          <w:tcPr>
            <w:tcW w:w="4060" w:type="dxa"/>
            <w:vAlign w:val="bottom"/>
            <w:gridSpan w:val="2"/>
          </w:tcPr>
          <w:p>
            <w:pPr>
              <w:ind w:left="40"/>
              <w:spacing w:after="0"/>
              <w:rPr>
                <w:sz w:val="20"/>
                <w:szCs w:val="20"/>
                <w:color w:val="auto"/>
              </w:rPr>
            </w:pPr>
            <w:r>
              <w:rPr>
                <w:rFonts w:ascii="Arial" w:cs="Arial" w:eastAsia="Arial" w:hAnsi="Arial"/>
                <w:sz w:val="15"/>
                <w:szCs w:val="15"/>
                <w:color w:val="auto"/>
              </w:rPr>
              <w:t>Financial report:</w:t>
            </w:r>
          </w:p>
        </w:tc>
        <w:tc>
          <w:tcPr>
            <w:tcW w:w="3480" w:type="dxa"/>
            <w:vAlign w:val="bottom"/>
          </w:tcPr>
          <w:p>
            <w:pPr>
              <w:spacing w:after="0"/>
              <w:rPr>
                <w:sz w:val="23"/>
                <w:szCs w:val="23"/>
                <w:color w:val="auto"/>
              </w:rPr>
            </w:pPr>
          </w:p>
        </w:tc>
      </w:tr>
      <w:tr>
        <w:trPr>
          <w:trHeight w:val="311"/>
        </w:trPr>
        <w:tc>
          <w:tcPr>
            <w:tcW w:w="16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5"/>
                <w:szCs w:val="15"/>
                <w:color w:val="00AFB7"/>
              </w:rPr>
              <w:t>–</w:t>
            </w:r>
          </w:p>
        </w:tc>
        <w:tc>
          <w:tcPr>
            <w:tcW w:w="3840" w:type="dxa"/>
            <w:vAlign w:val="bottom"/>
          </w:tcPr>
          <w:p>
            <w:pPr>
              <w:ind w:left="80"/>
              <w:spacing w:after="0"/>
              <w:rPr>
                <w:sz w:val="20"/>
                <w:szCs w:val="20"/>
                <w:color w:val="auto"/>
              </w:rPr>
            </w:pPr>
            <w:r>
              <w:rPr>
                <w:rFonts w:ascii="Arial" w:cs="Arial" w:eastAsia="Arial" w:hAnsi="Arial"/>
                <w:sz w:val="15"/>
                <w:szCs w:val="15"/>
                <w:color w:val="auto"/>
              </w:rPr>
              <w:t>Directors’ Report</w:t>
            </w:r>
          </w:p>
        </w:tc>
        <w:tc>
          <w:tcPr>
            <w:tcW w:w="3480" w:type="dxa"/>
            <w:vAlign w:val="bottom"/>
          </w:tcPr>
          <w:p>
            <w:pPr>
              <w:jc w:val="right"/>
              <w:spacing w:after="0"/>
              <w:rPr>
                <w:sz w:val="20"/>
                <w:szCs w:val="20"/>
                <w:color w:val="auto"/>
              </w:rPr>
            </w:pPr>
            <w:r>
              <w:rPr>
                <w:rFonts w:ascii="Arial" w:cs="Arial" w:eastAsia="Arial" w:hAnsi="Arial"/>
                <w:sz w:val="15"/>
                <w:szCs w:val="15"/>
                <w:color w:val="auto"/>
              </w:rPr>
              <w:t>page 1 of the financial report</w:t>
            </w:r>
          </w:p>
        </w:tc>
      </w:tr>
      <w:tr>
        <w:trPr>
          <w:trHeight w:val="270"/>
        </w:trPr>
        <w:tc>
          <w:tcPr>
            <w:tcW w:w="16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Arial" w:cs="Arial" w:eastAsia="Arial" w:hAnsi="Arial"/>
                <w:sz w:val="15"/>
                <w:szCs w:val="15"/>
                <w:color w:val="00AFB7"/>
              </w:rPr>
              <w:t>–</w:t>
            </w:r>
          </w:p>
        </w:tc>
        <w:tc>
          <w:tcPr>
            <w:tcW w:w="3840" w:type="dxa"/>
            <w:vAlign w:val="bottom"/>
          </w:tcPr>
          <w:p>
            <w:pPr>
              <w:ind w:left="80"/>
              <w:spacing w:after="0"/>
              <w:rPr>
                <w:sz w:val="20"/>
                <w:szCs w:val="20"/>
                <w:color w:val="auto"/>
              </w:rPr>
            </w:pPr>
            <w:r>
              <w:rPr>
                <w:rFonts w:ascii="Arial" w:cs="Arial" w:eastAsia="Arial" w:hAnsi="Arial"/>
                <w:sz w:val="15"/>
                <w:szCs w:val="15"/>
                <w:color w:val="auto"/>
              </w:rPr>
              <w:t>Auditor’s Independence Declaration</w:t>
            </w:r>
          </w:p>
        </w:tc>
        <w:tc>
          <w:tcPr>
            <w:tcW w:w="3480" w:type="dxa"/>
            <w:vAlign w:val="bottom"/>
          </w:tcPr>
          <w:p>
            <w:pPr>
              <w:jc w:val="right"/>
              <w:spacing w:after="0"/>
              <w:rPr>
                <w:sz w:val="20"/>
                <w:szCs w:val="20"/>
                <w:color w:val="auto"/>
              </w:rPr>
            </w:pPr>
            <w:r>
              <w:rPr>
                <w:rFonts w:ascii="Arial" w:cs="Arial" w:eastAsia="Arial" w:hAnsi="Arial"/>
                <w:sz w:val="15"/>
                <w:szCs w:val="15"/>
                <w:color w:val="auto"/>
              </w:rPr>
              <w:t>page 4 of the financial report</w:t>
            </w:r>
          </w:p>
        </w:tc>
      </w:tr>
      <w:tr>
        <w:trPr>
          <w:trHeight w:val="270"/>
        </w:trPr>
        <w:tc>
          <w:tcPr>
            <w:tcW w:w="16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Arial" w:cs="Arial" w:eastAsia="Arial" w:hAnsi="Arial"/>
                <w:sz w:val="15"/>
                <w:szCs w:val="15"/>
                <w:color w:val="00AFB7"/>
              </w:rPr>
              <w:t>–</w:t>
            </w:r>
          </w:p>
        </w:tc>
        <w:tc>
          <w:tcPr>
            <w:tcW w:w="3840" w:type="dxa"/>
            <w:vAlign w:val="bottom"/>
          </w:tcPr>
          <w:p>
            <w:pPr>
              <w:ind w:left="80"/>
              <w:spacing w:after="0"/>
              <w:rPr>
                <w:sz w:val="20"/>
                <w:szCs w:val="20"/>
                <w:color w:val="auto"/>
              </w:rPr>
            </w:pPr>
            <w:r>
              <w:rPr>
                <w:rFonts w:ascii="Arial" w:cs="Arial" w:eastAsia="Arial" w:hAnsi="Arial"/>
                <w:sz w:val="15"/>
                <w:szCs w:val="15"/>
                <w:color w:val="auto"/>
              </w:rPr>
              <w:t>Financial Statements</w:t>
            </w:r>
          </w:p>
        </w:tc>
        <w:tc>
          <w:tcPr>
            <w:tcW w:w="3480" w:type="dxa"/>
            <w:vAlign w:val="bottom"/>
          </w:tcPr>
          <w:p>
            <w:pPr>
              <w:jc w:val="right"/>
              <w:spacing w:after="0"/>
              <w:rPr>
                <w:sz w:val="20"/>
                <w:szCs w:val="20"/>
                <w:color w:val="auto"/>
              </w:rPr>
            </w:pPr>
            <w:r>
              <w:rPr>
                <w:rFonts w:ascii="Arial" w:cs="Arial" w:eastAsia="Arial" w:hAnsi="Arial"/>
                <w:sz w:val="15"/>
                <w:szCs w:val="15"/>
                <w:color w:val="auto"/>
              </w:rPr>
              <w:t>pages 5–15 of the financial report</w:t>
            </w:r>
          </w:p>
        </w:tc>
      </w:tr>
      <w:tr>
        <w:trPr>
          <w:trHeight w:val="270"/>
        </w:trPr>
        <w:tc>
          <w:tcPr>
            <w:tcW w:w="16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Arial" w:cs="Arial" w:eastAsia="Arial" w:hAnsi="Arial"/>
                <w:sz w:val="15"/>
                <w:szCs w:val="15"/>
                <w:color w:val="00AFB7"/>
              </w:rPr>
              <w:t>–</w:t>
            </w:r>
          </w:p>
        </w:tc>
        <w:tc>
          <w:tcPr>
            <w:tcW w:w="3840" w:type="dxa"/>
            <w:vAlign w:val="bottom"/>
          </w:tcPr>
          <w:p>
            <w:pPr>
              <w:ind w:left="80"/>
              <w:spacing w:after="0"/>
              <w:rPr>
                <w:sz w:val="20"/>
                <w:szCs w:val="20"/>
                <w:color w:val="auto"/>
              </w:rPr>
            </w:pPr>
            <w:r>
              <w:rPr>
                <w:rFonts w:ascii="Arial" w:cs="Arial" w:eastAsia="Arial" w:hAnsi="Arial"/>
                <w:sz w:val="15"/>
                <w:szCs w:val="15"/>
                <w:color w:val="auto"/>
              </w:rPr>
              <w:t>Directors’ Declaration</w:t>
            </w:r>
          </w:p>
        </w:tc>
        <w:tc>
          <w:tcPr>
            <w:tcW w:w="3480" w:type="dxa"/>
            <w:vAlign w:val="bottom"/>
          </w:tcPr>
          <w:p>
            <w:pPr>
              <w:jc w:val="right"/>
              <w:spacing w:after="0"/>
              <w:rPr>
                <w:sz w:val="20"/>
                <w:szCs w:val="20"/>
                <w:color w:val="auto"/>
              </w:rPr>
            </w:pPr>
            <w:r>
              <w:rPr>
                <w:rFonts w:ascii="Arial" w:cs="Arial" w:eastAsia="Arial" w:hAnsi="Arial"/>
                <w:sz w:val="15"/>
                <w:szCs w:val="15"/>
                <w:color w:val="auto"/>
              </w:rPr>
              <w:t>page 16 of the financial report</w:t>
            </w:r>
          </w:p>
        </w:tc>
      </w:tr>
      <w:tr>
        <w:trPr>
          <w:trHeight w:val="270"/>
        </w:trPr>
        <w:tc>
          <w:tcPr>
            <w:tcW w:w="160" w:type="dxa"/>
            <w:vAlign w:val="bottom"/>
          </w:tcPr>
          <w:p>
            <w:pPr>
              <w:spacing w:after="0"/>
              <w:rPr>
                <w:sz w:val="23"/>
                <w:szCs w:val="23"/>
                <w:color w:val="auto"/>
              </w:rPr>
            </w:pPr>
          </w:p>
        </w:tc>
        <w:tc>
          <w:tcPr>
            <w:tcW w:w="4060" w:type="dxa"/>
            <w:vAlign w:val="bottom"/>
            <w:gridSpan w:val="2"/>
          </w:tcPr>
          <w:p>
            <w:pPr>
              <w:ind w:left="60"/>
              <w:spacing w:after="0"/>
              <w:rPr>
                <w:sz w:val="20"/>
                <w:szCs w:val="20"/>
                <w:color w:val="auto"/>
              </w:rPr>
            </w:pPr>
            <w:r>
              <w:rPr>
                <w:rFonts w:ascii="Arial" w:cs="Arial" w:eastAsia="Arial" w:hAnsi="Arial"/>
                <w:sz w:val="15"/>
                <w:szCs w:val="15"/>
                <w:color w:val="00AFB7"/>
              </w:rPr>
              <w:t xml:space="preserve">–  </w:t>
            </w:r>
            <w:r>
              <w:rPr>
                <w:rFonts w:ascii="Arial" w:cs="Arial" w:eastAsia="Arial" w:hAnsi="Arial"/>
                <w:sz w:val="15"/>
                <w:szCs w:val="15"/>
                <w:color w:val="000000"/>
              </w:rPr>
              <w:t>Independent Auditor’s Review Report</w:t>
            </w:r>
          </w:p>
        </w:tc>
        <w:tc>
          <w:tcPr>
            <w:tcW w:w="3480" w:type="dxa"/>
            <w:vAlign w:val="bottom"/>
          </w:tcPr>
          <w:p>
            <w:pPr>
              <w:jc w:val="right"/>
              <w:spacing w:after="0"/>
              <w:rPr>
                <w:sz w:val="20"/>
                <w:szCs w:val="20"/>
                <w:color w:val="auto"/>
              </w:rPr>
            </w:pPr>
            <w:r>
              <w:rPr>
                <w:rFonts w:ascii="Arial" w:cs="Arial" w:eastAsia="Arial" w:hAnsi="Arial"/>
                <w:sz w:val="15"/>
                <w:szCs w:val="15"/>
                <w:color w:val="auto"/>
              </w:rPr>
              <w:t>page 17 of the financial report</w:t>
            </w:r>
          </w:p>
        </w:tc>
      </w:tr>
    </w:tbl>
    <w:p>
      <w:pPr>
        <w:spacing w:after="0" w:line="200" w:lineRule="exact"/>
        <w:rPr>
          <w:sz w:val="20"/>
          <w:szCs w:val="20"/>
          <w:color w:val="auto"/>
        </w:rPr>
      </w:pPr>
    </w:p>
    <w:p>
      <w:pPr>
        <w:spacing w:after="0" w:line="277" w:lineRule="exact"/>
        <w:rPr>
          <w:sz w:val="20"/>
          <w:szCs w:val="20"/>
          <w:color w:val="auto"/>
        </w:rPr>
      </w:pPr>
    </w:p>
    <w:p>
      <w:pPr>
        <w:ind w:right="4019"/>
        <w:spacing w:after="0" w:line="335" w:lineRule="auto"/>
        <w:rPr>
          <w:sz w:val="20"/>
          <w:szCs w:val="20"/>
          <w:color w:val="auto"/>
        </w:rPr>
      </w:pPr>
      <w:r>
        <w:rPr>
          <w:rFonts w:ascii="Arial" w:cs="Arial" w:eastAsia="Arial" w:hAnsi="Arial"/>
          <w:sz w:val="15"/>
          <w:szCs w:val="15"/>
          <w:color w:val="auto"/>
        </w:rPr>
        <w:t xml:space="preserve">This half-year report is to be read in conjunction with the Company’s 2020 Annual Report </w:t>
      </w:r>
      <w:r>
        <w:rPr>
          <w:rFonts w:ascii="Arial" w:cs="Arial" w:eastAsia="Arial" w:hAnsi="Arial"/>
          <w:sz w:val="15"/>
          <w:szCs w:val="15"/>
          <w:b w:val="1"/>
          <w:bCs w:val="1"/>
          <w:color w:val="auto"/>
        </w:rPr>
        <w:t xml:space="preserve">Note: </w:t>
      </w:r>
      <w:r>
        <w:rPr>
          <w:rFonts w:ascii="Arial" w:cs="Arial" w:eastAsia="Arial" w:hAnsi="Arial"/>
          <w:sz w:val="15"/>
          <w:szCs w:val="15"/>
          <w:color w:val="auto"/>
        </w:rPr>
        <w:t>The financial figures provided are in Australian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ASX Announcement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22 February 2021</w:t>
      </w:r>
    </w:p>
    <w:p>
      <w:pPr>
        <w:sectPr>
          <w:pgSz w:w="11900" w:h="16838" w:orient="portrait"/>
          <w:cols w:equalWidth="0" w:num="1">
            <w:col w:w="10019"/>
          </w:cols>
          <w:pgMar w:left="440" w:top="1440" w:right="1440" w:bottom="1440" w:gutter="0" w:footer="0" w:header="0"/>
        </w:sectPr>
      </w:pPr>
    </w:p>
    <w:bookmarkStart w:id="5" w:name="page6"/>
    <w:bookmarkEnd w:id="5"/>
    <w:p>
      <w:pPr>
        <w:ind w:left="360"/>
        <w:spacing w:after="0"/>
        <w:tabs>
          <w:tab w:leader="none" w:pos="1120" w:val="left"/>
          <w:tab w:leader="none" w:pos="1320" w:val="left"/>
          <w:tab w:leader="none" w:pos="2340" w:val="left"/>
          <w:tab w:leader="none" w:pos="10900" w:val="left"/>
        </w:tabs>
        <w:rPr>
          <w:sz w:val="20"/>
          <w:szCs w:val="20"/>
          <w:color w:val="auto"/>
        </w:rPr>
      </w:pPr>
      <w:r>
        <w:rPr>
          <w:rFonts w:ascii="Arial" w:cs="Arial" w:eastAsia="Arial" w:hAnsi="Arial"/>
          <w:sz w:val="13"/>
          <w:szCs w:val="13"/>
          <w:b w:val="1"/>
          <w:bCs w:val="1"/>
          <w:color w:val="00AFB7"/>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183515</wp:posOffset>
            </wp:positionV>
            <wp:extent cx="17145" cy="334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 cy="334010"/>
                    </a:xfrm>
                    <a:prstGeom prst="rect">
                      <a:avLst/>
                    </a:prstGeom>
                    <a:noFill/>
                  </pic:spPr>
                </pic:pic>
              </a:graphicData>
            </a:graphic>
          </wp:anchor>
        </w:drawing>
        <w:t>O p t h e a</w:t>
      </w:r>
      <w:r>
        <w:rPr>
          <w:sz w:val="20"/>
          <w:szCs w:val="20"/>
          <w:color w:val="auto"/>
        </w:rPr>
        <w:tab/>
      </w:r>
      <w:r>
        <w:rPr>
          <w:rFonts w:ascii="Arial" w:cs="Arial" w:eastAsia="Arial" w:hAnsi="Arial"/>
          <w:sz w:val="13"/>
          <w:szCs w:val="13"/>
          <w:color w:val="00AFB7"/>
        </w:rPr>
        <w:t>|</w:t>
        <w:tab/>
        <w:t>A P P E N D I X</w:t>
        <w:tab/>
        <w:t>4 D</w:t>
      </w:r>
      <w:r>
        <w:rPr>
          <w:sz w:val="20"/>
          <w:szCs w:val="20"/>
          <w:color w:val="auto"/>
        </w:rPr>
        <w:tab/>
      </w:r>
      <w:r>
        <w:rPr>
          <w:rFonts w:ascii="Arial" w:cs="Arial" w:eastAsia="Arial" w:hAnsi="Arial"/>
          <w:sz w:val="13"/>
          <w:szCs w:val="13"/>
          <w:color w:val="00AFB7"/>
        </w:rPr>
        <w:t>iii</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RESULTS FOR ANNOUNCEMENT TO THE MARKET</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The consolidated results of Opthea Limited for the six months ended 31 December 2020 are as follows: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00AFB7"/>
        </w:rPr>
        <w:t>Revenues and results from ordinary activities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4"/>
                <w:szCs w:val="14"/>
                <w:color w:val="auto"/>
              </w:rPr>
            </w:pPr>
          </w:p>
        </w:tc>
        <w:tc>
          <w:tcPr>
            <w:tcW w:w="4100" w:type="dxa"/>
            <w:vAlign w:val="bottom"/>
            <w:gridSpan w:val="2"/>
          </w:tcPr>
          <w:p>
            <w:pPr>
              <w:jc w:val="right"/>
              <w:spacing w:after="0"/>
              <w:rPr>
                <w:sz w:val="20"/>
                <w:szCs w:val="20"/>
                <w:color w:val="auto"/>
              </w:rPr>
            </w:pPr>
            <w:r>
              <w:rPr>
                <w:rFonts w:ascii="Arial" w:cs="Arial" w:eastAsia="Arial" w:hAnsi="Arial"/>
                <w:sz w:val="15"/>
                <w:szCs w:val="15"/>
                <w:b w:val="1"/>
                <w:bCs w:val="1"/>
                <w:color w:val="20286D"/>
              </w:rPr>
              <w:t>Change compared to:</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7"/>
        </w:trPr>
        <w:tc>
          <w:tcPr>
            <w:tcW w:w="5400" w:type="dxa"/>
            <w:vAlign w:val="bottom"/>
            <w:tcBorders>
              <w:bottom w:val="single" w:sz="8" w:color="00AFB7"/>
            </w:tcBorders>
          </w:tcPr>
          <w:p>
            <w:pPr>
              <w:spacing w:after="0"/>
              <w:rPr>
                <w:sz w:val="18"/>
                <w:szCs w:val="18"/>
                <w:color w:val="auto"/>
              </w:rPr>
            </w:pPr>
          </w:p>
        </w:tc>
        <w:tc>
          <w:tcPr>
            <w:tcW w:w="2920" w:type="dxa"/>
            <w:vAlign w:val="bottom"/>
            <w:tcBorders>
              <w:bottom w:val="single" w:sz="8" w:color="00AFB7"/>
            </w:tcBorders>
          </w:tcPr>
          <w:p>
            <w:pPr>
              <w:spacing w:after="0"/>
              <w:rPr>
                <w:sz w:val="18"/>
                <w:szCs w:val="18"/>
                <w:color w:val="auto"/>
              </w:rPr>
            </w:pPr>
          </w:p>
        </w:tc>
        <w:tc>
          <w:tcPr>
            <w:tcW w:w="1180" w:type="dxa"/>
            <w:vAlign w:val="bottom"/>
            <w:tcBorders>
              <w:bottom w:val="single" w:sz="8" w:color="00AFB7"/>
            </w:tcBorders>
          </w:tcPr>
          <w:p>
            <w:pPr>
              <w:jc w:val="right"/>
              <w:spacing w:after="0"/>
              <w:rPr>
                <w:sz w:val="20"/>
                <w:szCs w:val="20"/>
                <w:color w:val="auto"/>
              </w:rPr>
            </w:pPr>
            <w:r>
              <w:rPr>
                <w:rFonts w:ascii="Arial" w:cs="Arial" w:eastAsia="Arial" w:hAnsi="Arial"/>
                <w:sz w:val="15"/>
                <w:szCs w:val="15"/>
                <w:b w:val="1"/>
                <w:bCs w:val="1"/>
                <w:color w:val="20286D"/>
              </w:rPr>
              <w:t>31/12/2019</w:t>
            </w:r>
          </w:p>
        </w:tc>
        <w:tc>
          <w:tcPr>
            <w:tcW w:w="300" w:type="dxa"/>
            <w:vAlign w:val="bottom"/>
            <w:tcBorders>
              <w:bottom w:val="single" w:sz="8" w:color="00AFB7"/>
            </w:tcBorders>
          </w:tcPr>
          <w:p>
            <w:pPr>
              <w:spacing w:after="0"/>
              <w:rPr>
                <w:sz w:val="18"/>
                <w:szCs w:val="18"/>
                <w:color w:val="auto"/>
              </w:rPr>
            </w:pPr>
          </w:p>
        </w:tc>
        <w:tc>
          <w:tcPr>
            <w:tcW w:w="1220" w:type="dxa"/>
            <w:vAlign w:val="bottom"/>
            <w:tcBorders>
              <w:bottom w:val="single" w:sz="8" w:color="00AFB7"/>
            </w:tcBorders>
          </w:tcPr>
          <w:p>
            <w:pPr>
              <w:jc w:val="right"/>
              <w:ind w:right="84"/>
              <w:spacing w:after="0"/>
              <w:rPr>
                <w:sz w:val="20"/>
                <w:szCs w:val="20"/>
                <w:color w:val="auto"/>
              </w:rPr>
            </w:pPr>
            <w:r>
              <w:rPr>
                <w:rFonts w:ascii="Arial" w:cs="Arial" w:eastAsia="Arial" w:hAnsi="Arial"/>
                <w:sz w:val="15"/>
                <w:szCs w:val="15"/>
                <w:b w:val="1"/>
                <w:bCs w:val="1"/>
                <w:color w:val="20286D"/>
              </w:rPr>
              <w:t>31/12/2020</w:t>
            </w:r>
          </w:p>
        </w:tc>
      </w:tr>
      <w:tr>
        <w:trPr>
          <w:trHeight w:val="222"/>
        </w:trPr>
        <w:tc>
          <w:tcPr>
            <w:tcW w:w="54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1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1220" w:type="dxa"/>
            <w:vAlign w:val="bottom"/>
          </w:tcPr>
          <w:p>
            <w:pPr>
              <w:jc w:val="right"/>
              <w:ind w:right="264"/>
              <w:spacing w:after="0"/>
              <w:rPr>
                <w:sz w:val="20"/>
                <w:szCs w:val="20"/>
                <w:color w:val="auto"/>
              </w:rPr>
            </w:pPr>
            <w:r>
              <w:rPr>
                <w:rFonts w:ascii="Arial" w:cs="Arial" w:eastAsia="Arial" w:hAnsi="Arial"/>
                <w:sz w:val="15"/>
                <w:szCs w:val="15"/>
                <w:color w:val="auto"/>
              </w:rPr>
              <w:t>$</w:t>
            </w:r>
          </w:p>
        </w:tc>
      </w:tr>
      <w:tr>
        <w:trPr>
          <w:trHeight w:val="35"/>
        </w:trPr>
        <w:tc>
          <w:tcPr>
            <w:tcW w:w="5400" w:type="dxa"/>
            <w:vAlign w:val="bottom"/>
            <w:tcBorders>
              <w:bottom w:val="single" w:sz="8" w:color="00AFB7"/>
            </w:tcBorders>
          </w:tcPr>
          <w:p>
            <w:pPr>
              <w:spacing w:after="0"/>
              <w:rPr>
                <w:sz w:val="3"/>
                <w:szCs w:val="3"/>
                <w:color w:val="auto"/>
              </w:rPr>
            </w:pPr>
          </w:p>
        </w:tc>
        <w:tc>
          <w:tcPr>
            <w:tcW w:w="2920" w:type="dxa"/>
            <w:vAlign w:val="bottom"/>
            <w:tcBorders>
              <w:bottom w:val="single" w:sz="8" w:color="00AFB7"/>
            </w:tcBorders>
          </w:tcPr>
          <w:p>
            <w:pPr>
              <w:spacing w:after="0"/>
              <w:rPr>
                <w:sz w:val="3"/>
                <w:szCs w:val="3"/>
                <w:color w:val="auto"/>
              </w:rPr>
            </w:pPr>
          </w:p>
        </w:tc>
        <w:tc>
          <w:tcPr>
            <w:tcW w:w="1180" w:type="dxa"/>
            <w:vAlign w:val="bottom"/>
            <w:tcBorders>
              <w:bottom w:val="single" w:sz="8" w:color="00AFB7"/>
            </w:tcBorders>
          </w:tcPr>
          <w:p>
            <w:pPr>
              <w:spacing w:after="0"/>
              <w:rPr>
                <w:sz w:val="3"/>
                <w:szCs w:val="3"/>
                <w:color w:val="auto"/>
              </w:rPr>
            </w:pPr>
          </w:p>
        </w:tc>
        <w:tc>
          <w:tcPr>
            <w:tcW w:w="300" w:type="dxa"/>
            <w:vAlign w:val="bottom"/>
            <w:tcBorders>
              <w:bottom w:val="single" w:sz="8" w:color="00AFB7"/>
            </w:tcBorders>
          </w:tcPr>
          <w:p>
            <w:pPr>
              <w:spacing w:after="0"/>
              <w:rPr>
                <w:sz w:val="3"/>
                <w:szCs w:val="3"/>
                <w:color w:val="auto"/>
              </w:rPr>
            </w:pPr>
          </w:p>
        </w:tc>
        <w:tc>
          <w:tcPr>
            <w:tcW w:w="1220" w:type="dxa"/>
            <w:vAlign w:val="bottom"/>
            <w:tcBorders>
              <w:bottom w:val="single" w:sz="8" w:color="00AFB7"/>
            </w:tcBorders>
          </w:tcPr>
          <w:p>
            <w:pPr>
              <w:spacing w:after="0"/>
              <w:rPr>
                <w:sz w:val="3"/>
                <w:szCs w:val="3"/>
                <w:color w:val="auto"/>
              </w:rPr>
            </w:pPr>
          </w:p>
        </w:tc>
      </w:tr>
      <w:tr>
        <w:trPr>
          <w:trHeight w:val="215"/>
        </w:trPr>
        <w:tc>
          <w:tcPr>
            <w:tcW w:w="5400" w:type="dxa"/>
            <w:vAlign w:val="bottom"/>
          </w:tcPr>
          <w:p>
            <w:pPr>
              <w:spacing w:after="0"/>
              <w:rPr>
                <w:sz w:val="20"/>
                <w:szCs w:val="20"/>
                <w:color w:val="auto"/>
              </w:rPr>
            </w:pPr>
            <w:r>
              <w:rPr>
                <w:rFonts w:ascii="Arial" w:cs="Arial" w:eastAsia="Arial" w:hAnsi="Arial"/>
                <w:sz w:val="15"/>
                <w:szCs w:val="15"/>
                <w:color w:val="auto"/>
              </w:rPr>
              <w:t>Revenues from ordinary activities</w:t>
            </w:r>
          </w:p>
        </w:tc>
        <w:tc>
          <w:tcPr>
            <w:tcW w:w="2920" w:type="dxa"/>
            <w:vAlign w:val="bottom"/>
          </w:tcPr>
          <w:p>
            <w:pPr>
              <w:ind w:left="1260"/>
              <w:spacing w:after="0"/>
              <w:rPr>
                <w:sz w:val="20"/>
                <w:szCs w:val="20"/>
                <w:color w:val="auto"/>
              </w:rPr>
            </w:pPr>
            <w:r>
              <w:rPr>
                <w:rFonts w:ascii="Arial" w:cs="Arial" w:eastAsia="Arial" w:hAnsi="Arial"/>
                <w:sz w:val="15"/>
                <w:szCs w:val="15"/>
                <w:color w:val="auto"/>
              </w:rPr>
              <w:t>Increased</w:t>
            </w:r>
          </w:p>
        </w:tc>
        <w:tc>
          <w:tcPr>
            <w:tcW w:w="1180" w:type="dxa"/>
            <w:vAlign w:val="bottom"/>
          </w:tcPr>
          <w:p>
            <w:pPr>
              <w:jc w:val="center"/>
              <w:ind w:left="164"/>
              <w:spacing w:after="0"/>
              <w:rPr>
                <w:sz w:val="20"/>
                <w:szCs w:val="20"/>
                <w:color w:val="auto"/>
              </w:rPr>
            </w:pPr>
            <w:r>
              <w:rPr>
                <w:rFonts w:ascii="Arial" w:cs="Arial" w:eastAsia="Arial" w:hAnsi="Arial"/>
                <w:sz w:val="15"/>
                <w:szCs w:val="15"/>
                <w:color w:val="auto"/>
              </w:rPr>
              <w:t>15</w:t>
            </w:r>
          </w:p>
        </w:tc>
        <w:tc>
          <w:tcPr>
            <w:tcW w:w="300" w:type="dxa"/>
            <w:vAlign w:val="bottom"/>
          </w:tcPr>
          <w:p>
            <w:pPr>
              <w:ind w:left="60"/>
              <w:spacing w:after="0"/>
              <w:rPr>
                <w:sz w:val="20"/>
                <w:szCs w:val="20"/>
                <w:color w:val="auto"/>
              </w:rPr>
            </w:pPr>
            <w:r>
              <w:rPr>
                <w:rFonts w:ascii="Arial" w:cs="Arial" w:eastAsia="Arial" w:hAnsi="Arial"/>
                <w:sz w:val="15"/>
                <w:szCs w:val="15"/>
                <w:color w:val="auto"/>
              </w:rPr>
              <w:t>to</w:t>
            </w:r>
          </w:p>
        </w:tc>
        <w:tc>
          <w:tcPr>
            <w:tcW w:w="1220" w:type="dxa"/>
            <w:vAlign w:val="bottom"/>
          </w:tcPr>
          <w:p>
            <w:pPr>
              <w:jc w:val="right"/>
              <w:ind w:right="264"/>
              <w:spacing w:after="0"/>
              <w:rPr>
                <w:sz w:val="20"/>
                <w:szCs w:val="20"/>
                <w:color w:val="auto"/>
              </w:rPr>
            </w:pPr>
            <w:r>
              <w:rPr>
                <w:rFonts w:ascii="Arial" w:cs="Arial" w:eastAsia="Arial" w:hAnsi="Arial"/>
                <w:sz w:val="15"/>
                <w:szCs w:val="15"/>
                <w:color w:val="auto"/>
              </w:rPr>
              <w:t>314,295</w:t>
            </w:r>
          </w:p>
        </w:tc>
      </w:tr>
      <w:tr>
        <w:trPr>
          <w:trHeight w:val="35"/>
        </w:trPr>
        <w:tc>
          <w:tcPr>
            <w:tcW w:w="5400" w:type="dxa"/>
            <w:vAlign w:val="bottom"/>
            <w:tcBorders>
              <w:bottom w:val="single" w:sz="8" w:color="00AFB7"/>
            </w:tcBorders>
          </w:tcPr>
          <w:p>
            <w:pPr>
              <w:spacing w:after="0"/>
              <w:rPr>
                <w:sz w:val="3"/>
                <w:szCs w:val="3"/>
                <w:color w:val="auto"/>
              </w:rPr>
            </w:pPr>
          </w:p>
        </w:tc>
        <w:tc>
          <w:tcPr>
            <w:tcW w:w="2920" w:type="dxa"/>
            <w:vAlign w:val="bottom"/>
            <w:tcBorders>
              <w:bottom w:val="single" w:sz="8" w:color="00AFB7"/>
            </w:tcBorders>
          </w:tcPr>
          <w:p>
            <w:pPr>
              <w:spacing w:after="0"/>
              <w:rPr>
                <w:sz w:val="3"/>
                <w:szCs w:val="3"/>
                <w:color w:val="auto"/>
              </w:rPr>
            </w:pPr>
          </w:p>
        </w:tc>
        <w:tc>
          <w:tcPr>
            <w:tcW w:w="1180" w:type="dxa"/>
            <w:vAlign w:val="bottom"/>
            <w:tcBorders>
              <w:bottom w:val="single" w:sz="8" w:color="00AFB7"/>
            </w:tcBorders>
          </w:tcPr>
          <w:p>
            <w:pPr>
              <w:spacing w:after="0"/>
              <w:rPr>
                <w:sz w:val="3"/>
                <w:szCs w:val="3"/>
                <w:color w:val="auto"/>
              </w:rPr>
            </w:pPr>
          </w:p>
        </w:tc>
        <w:tc>
          <w:tcPr>
            <w:tcW w:w="300" w:type="dxa"/>
            <w:vAlign w:val="bottom"/>
            <w:tcBorders>
              <w:bottom w:val="single" w:sz="8" w:color="00AFB7"/>
            </w:tcBorders>
          </w:tcPr>
          <w:p>
            <w:pPr>
              <w:spacing w:after="0"/>
              <w:rPr>
                <w:sz w:val="3"/>
                <w:szCs w:val="3"/>
                <w:color w:val="auto"/>
              </w:rPr>
            </w:pPr>
          </w:p>
        </w:tc>
        <w:tc>
          <w:tcPr>
            <w:tcW w:w="1220" w:type="dxa"/>
            <w:vAlign w:val="bottom"/>
            <w:tcBorders>
              <w:bottom w:val="single" w:sz="8" w:color="00AFB7"/>
            </w:tcBorders>
          </w:tcPr>
          <w:p>
            <w:pPr>
              <w:spacing w:after="0"/>
              <w:rPr>
                <w:sz w:val="3"/>
                <w:szCs w:val="3"/>
                <w:color w:val="auto"/>
              </w:rPr>
            </w:pPr>
          </w:p>
        </w:tc>
      </w:tr>
      <w:tr>
        <w:trPr>
          <w:trHeight w:val="215"/>
        </w:trPr>
        <w:tc>
          <w:tcPr>
            <w:tcW w:w="5400" w:type="dxa"/>
            <w:vAlign w:val="bottom"/>
          </w:tcPr>
          <w:p>
            <w:pPr>
              <w:spacing w:after="0"/>
              <w:rPr>
                <w:sz w:val="20"/>
                <w:szCs w:val="20"/>
                <w:color w:val="auto"/>
              </w:rPr>
            </w:pPr>
            <w:r>
              <w:rPr>
                <w:rFonts w:ascii="Arial" w:cs="Arial" w:eastAsia="Arial" w:hAnsi="Arial"/>
                <w:sz w:val="15"/>
                <w:szCs w:val="15"/>
                <w:color w:val="auto"/>
              </w:rPr>
              <w:t>Loss from ordinary activities before tax</w:t>
            </w:r>
          </w:p>
        </w:tc>
        <w:tc>
          <w:tcPr>
            <w:tcW w:w="2920" w:type="dxa"/>
            <w:vAlign w:val="bottom"/>
          </w:tcPr>
          <w:p>
            <w:pPr>
              <w:ind w:left="1260"/>
              <w:spacing w:after="0"/>
              <w:rPr>
                <w:sz w:val="20"/>
                <w:szCs w:val="20"/>
                <w:color w:val="auto"/>
              </w:rPr>
            </w:pPr>
            <w:r>
              <w:rPr>
                <w:rFonts w:ascii="Arial" w:cs="Arial" w:eastAsia="Arial" w:hAnsi="Arial"/>
                <w:sz w:val="15"/>
                <w:szCs w:val="15"/>
                <w:color w:val="auto"/>
              </w:rPr>
              <w:t>Loss has increased</w:t>
            </w:r>
          </w:p>
        </w:tc>
        <w:tc>
          <w:tcPr>
            <w:tcW w:w="1180" w:type="dxa"/>
            <w:vAlign w:val="bottom"/>
          </w:tcPr>
          <w:p>
            <w:pPr>
              <w:jc w:val="center"/>
              <w:ind w:left="164"/>
              <w:spacing w:after="0"/>
              <w:rPr>
                <w:sz w:val="20"/>
                <w:szCs w:val="20"/>
                <w:color w:val="auto"/>
              </w:rPr>
            </w:pPr>
            <w:r>
              <w:rPr>
                <w:rFonts w:ascii="Arial" w:cs="Arial" w:eastAsia="Arial" w:hAnsi="Arial"/>
                <w:sz w:val="15"/>
                <w:szCs w:val="15"/>
                <w:color w:val="auto"/>
              </w:rPr>
              <w:t>236</w:t>
            </w:r>
          </w:p>
        </w:tc>
        <w:tc>
          <w:tcPr>
            <w:tcW w:w="300" w:type="dxa"/>
            <w:vAlign w:val="bottom"/>
          </w:tcPr>
          <w:p>
            <w:pPr>
              <w:ind w:left="60"/>
              <w:spacing w:after="0"/>
              <w:rPr>
                <w:sz w:val="20"/>
                <w:szCs w:val="20"/>
                <w:color w:val="auto"/>
              </w:rPr>
            </w:pPr>
            <w:r>
              <w:rPr>
                <w:rFonts w:ascii="Arial" w:cs="Arial" w:eastAsia="Arial" w:hAnsi="Arial"/>
                <w:sz w:val="15"/>
                <w:szCs w:val="15"/>
                <w:color w:val="auto"/>
              </w:rPr>
              <w:t>to</w:t>
            </w:r>
          </w:p>
        </w:tc>
        <w:tc>
          <w:tcPr>
            <w:tcW w:w="1220" w:type="dxa"/>
            <w:vAlign w:val="bottom"/>
          </w:tcPr>
          <w:p>
            <w:pPr>
              <w:jc w:val="right"/>
              <w:ind w:right="264"/>
              <w:spacing w:after="0"/>
              <w:rPr>
                <w:sz w:val="20"/>
                <w:szCs w:val="20"/>
                <w:color w:val="auto"/>
              </w:rPr>
            </w:pPr>
            <w:r>
              <w:rPr>
                <w:rFonts w:ascii="Arial" w:cs="Arial" w:eastAsia="Arial" w:hAnsi="Arial"/>
                <w:sz w:val="15"/>
                <w:szCs w:val="15"/>
                <w:color w:val="auto"/>
              </w:rPr>
              <w:t>38,505,045</w:t>
            </w:r>
          </w:p>
        </w:tc>
      </w:tr>
      <w:tr>
        <w:trPr>
          <w:trHeight w:val="35"/>
        </w:trPr>
        <w:tc>
          <w:tcPr>
            <w:tcW w:w="5400" w:type="dxa"/>
            <w:vAlign w:val="bottom"/>
            <w:tcBorders>
              <w:bottom w:val="single" w:sz="8" w:color="00AFB7"/>
            </w:tcBorders>
          </w:tcPr>
          <w:p>
            <w:pPr>
              <w:spacing w:after="0"/>
              <w:rPr>
                <w:sz w:val="3"/>
                <w:szCs w:val="3"/>
                <w:color w:val="auto"/>
              </w:rPr>
            </w:pPr>
          </w:p>
        </w:tc>
        <w:tc>
          <w:tcPr>
            <w:tcW w:w="2920" w:type="dxa"/>
            <w:vAlign w:val="bottom"/>
            <w:tcBorders>
              <w:bottom w:val="single" w:sz="8" w:color="00AFB7"/>
            </w:tcBorders>
          </w:tcPr>
          <w:p>
            <w:pPr>
              <w:spacing w:after="0"/>
              <w:rPr>
                <w:sz w:val="3"/>
                <w:szCs w:val="3"/>
                <w:color w:val="auto"/>
              </w:rPr>
            </w:pPr>
          </w:p>
        </w:tc>
        <w:tc>
          <w:tcPr>
            <w:tcW w:w="1180" w:type="dxa"/>
            <w:vAlign w:val="bottom"/>
            <w:tcBorders>
              <w:bottom w:val="single" w:sz="8" w:color="00AFB7"/>
            </w:tcBorders>
          </w:tcPr>
          <w:p>
            <w:pPr>
              <w:spacing w:after="0"/>
              <w:rPr>
                <w:sz w:val="3"/>
                <w:szCs w:val="3"/>
                <w:color w:val="auto"/>
              </w:rPr>
            </w:pPr>
          </w:p>
        </w:tc>
        <w:tc>
          <w:tcPr>
            <w:tcW w:w="300" w:type="dxa"/>
            <w:vAlign w:val="bottom"/>
            <w:tcBorders>
              <w:bottom w:val="single" w:sz="8" w:color="00AFB7"/>
            </w:tcBorders>
          </w:tcPr>
          <w:p>
            <w:pPr>
              <w:spacing w:after="0"/>
              <w:rPr>
                <w:sz w:val="3"/>
                <w:szCs w:val="3"/>
                <w:color w:val="auto"/>
              </w:rPr>
            </w:pPr>
          </w:p>
        </w:tc>
        <w:tc>
          <w:tcPr>
            <w:tcW w:w="1220" w:type="dxa"/>
            <w:vAlign w:val="bottom"/>
            <w:tcBorders>
              <w:bottom w:val="single" w:sz="8" w:color="00AFB7"/>
            </w:tcBorders>
          </w:tcPr>
          <w:p>
            <w:pPr>
              <w:spacing w:after="0"/>
              <w:rPr>
                <w:sz w:val="3"/>
                <w:szCs w:val="3"/>
                <w:color w:val="auto"/>
              </w:rPr>
            </w:pPr>
          </w:p>
        </w:tc>
      </w:tr>
      <w:tr>
        <w:trPr>
          <w:trHeight w:val="215"/>
        </w:trPr>
        <w:tc>
          <w:tcPr>
            <w:tcW w:w="5400" w:type="dxa"/>
            <w:vAlign w:val="bottom"/>
          </w:tcPr>
          <w:p>
            <w:pPr>
              <w:spacing w:after="0"/>
              <w:rPr>
                <w:sz w:val="20"/>
                <w:szCs w:val="20"/>
                <w:color w:val="auto"/>
              </w:rPr>
            </w:pPr>
            <w:r>
              <w:rPr>
                <w:rFonts w:ascii="Arial" w:cs="Arial" w:eastAsia="Arial" w:hAnsi="Arial"/>
                <w:sz w:val="15"/>
                <w:szCs w:val="15"/>
                <w:color w:val="auto"/>
              </w:rPr>
              <w:t>Loss from ordinary activities after tax attributable to members</w:t>
            </w:r>
          </w:p>
        </w:tc>
        <w:tc>
          <w:tcPr>
            <w:tcW w:w="2920" w:type="dxa"/>
            <w:vAlign w:val="bottom"/>
          </w:tcPr>
          <w:p>
            <w:pPr>
              <w:ind w:left="1260"/>
              <w:spacing w:after="0"/>
              <w:rPr>
                <w:sz w:val="20"/>
                <w:szCs w:val="20"/>
                <w:color w:val="auto"/>
              </w:rPr>
            </w:pPr>
            <w:r>
              <w:rPr>
                <w:rFonts w:ascii="Arial" w:cs="Arial" w:eastAsia="Arial" w:hAnsi="Arial"/>
                <w:sz w:val="15"/>
                <w:szCs w:val="15"/>
                <w:color w:val="auto"/>
              </w:rPr>
              <w:t>Loss has increased</w:t>
            </w:r>
          </w:p>
        </w:tc>
        <w:tc>
          <w:tcPr>
            <w:tcW w:w="1180" w:type="dxa"/>
            <w:vAlign w:val="bottom"/>
          </w:tcPr>
          <w:p>
            <w:pPr>
              <w:jc w:val="center"/>
              <w:ind w:left="164"/>
              <w:spacing w:after="0"/>
              <w:rPr>
                <w:sz w:val="20"/>
                <w:szCs w:val="20"/>
                <w:color w:val="auto"/>
              </w:rPr>
            </w:pPr>
            <w:r>
              <w:rPr>
                <w:rFonts w:ascii="Arial" w:cs="Arial" w:eastAsia="Arial" w:hAnsi="Arial"/>
                <w:sz w:val="15"/>
                <w:szCs w:val="15"/>
                <w:color w:val="auto"/>
              </w:rPr>
              <w:t>359</w:t>
            </w:r>
          </w:p>
        </w:tc>
        <w:tc>
          <w:tcPr>
            <w:tcW w:w="300" w:type="dxa"/>
            <w:vAlign w:val="bottom"/>
          </w:tcPr>
          <w:p>
            <w:pPr>
              <w:ind w:left="60"/>
              <w:spacing w:after="0"/>
              <w:rPr>
                <w:sz w:val="20"/>
                <w:szCs w:val="20"/>
                <w:color w:val="auto"/>
              </w:rPr>
            </w:pPr>
            <w:r>
              <w:rPr>
                <w:rFonts w:ascii="Arial" w:cs="Arial" w:eastAsia="Arial" w:hAnsi="Arial"/>
                <w:sz w:val="15"/>
                <w:szCs w:val="15"/>
                <w:color w:val="auto"/>
              </w:rPr>
              <w:t>to</w:t>
            </w:r>
          </w:p>
        </w:tc>
        <w:tc>
          <w:tcPr>
            <w:tcW w:w="1220" w:type="dxa"/>
            <w:vAlign w:val="bottom"/>
          </w:tcPr>
          <w:p>
            <w:pPr>
              <w:jc w:val="right"/>
              <w:ind w:right="264"/>
              <w:spacing w:after="0"/>
              <w:rPr>
                <w:sz w:val="20"/>
                <w:szCs w:val="20"/>
                <w:color w:val="auto"/>
              </w:rPr>
            </w:pPr>
            <w:r>
              <w:rPr>
                <w:rFonts w:ascii="Arial" w:cs="Arial" w:eastAsia="Arial" w:hAnsi="Arial"/>
                <w:sz w:val="15"/>
                <w:szCs w:val="15"/>
                <w:color w:val="auto"/>
              </w:rPr>
              <w:t>34,982,213</w:t>
            </w:r>
          </w:p>
        </w:tc>
      </w:tr>
      <w:tr>
        <w:trPr>
          <w:trHeight w:val="35"/>
        </w:trPr>
        <w:tc>
          <w:tcPr>
            <w:tcW w:w="5400" w:type="dxa"/>
            <w:vAlign w:val="bottom"/>
            <w:tcBorders>
              <w:bottom w:val="single" w:sz="8" w:color="00AFB7"/>
            </w:tcBorders>
          </w:tcPr>
          <w:p>
            <w:pPr>
              <w:spacing w:after="0"/>
              <w:rPr>
                <w:sz w:val="3"/>
                <w:szCs w:val="3"/>
                <w:color w:val="auto"/>
              </w:rPr>
            </w:pPr>
          </w:p>
        </w:tc>
        <w:tc>
          <w:tcPr>
            <w:tcW w:w="2920" w:type="dxa"/>
            <w:vAlign w:val="bottom"/>
            <w:tcBorders>
              <w:bottom w:val="single" w:sz="8" w:color="00AFB7"/>
            </w:tcBorders>
          </w:tcPr>
          <w:p>
            <w:pPr>
              <w:spacing w:after="0"/>
              <w:rPr>
                <w:sz w:val="3"/>
                <w:szCs w:val="3"/>
                <w:color w:val="auto"/>
              </w:rPr>
            </w:pPr>
          </w:p>
        </w:tc>
        <w:tc>
          <w:tcPr>
            <w:tcW w:w="1180" w:type="dxa"/>
            <w:vAlign w:val="bottom"/>
            <w:tcBorders>
              <w:bottom w:val="single" w:sz="8" w:color="00AFB7"/>
            </w:tcBorders>
          </w:tcPr>
          <w:p>
            <w:pPr>
              <w:spacing w:after="0"/>
              <w:rPr>
                <w:sz w:val="3"/>
                <w:szCs w:val="3"/>
                <w:color w:val="auto"/>
              </w:rPr>
            </w:pPr>
          </w:p>
        </w:tc>
        <w:tc>
          <w:tcPr>
            <w:tcW w:w="300" w:type="dxa"/>
            <w:vAlign w:val="bottom"/>
            <w:tcBorders>
              <w:bottom w:val="single" w:sz="8" w:color="00AFB7"/>
            </w:tcBorders>
          </w:tcPr>
          <w:p>
            <w:pPr>
              <w:spacing w:after="0"/>
              <w:rPr>
                <w:sz w:val="3"/>
                <w:szCs w:val="3"/>
                <w:color w:val="auto"/>
              </w:rPr>
            </w:pPr>
          </w:p>
        </w:tc>
        <w:tc>
          <w:tcPr>
            <w:tcW w:w="1220" w:type="dxa"/>
            <w:vAlign w:val="bottom"/>
            <w:tcBorders>
              <w:bottom w:val="single" w:sz="8" w:color="00AFB7"/>
            </w:tcBorders>
          </w:tcPr>
          <w:p>
            <w:pPr>
              <w:spacing w:after="0"/>
              <w:rPr>
                <w:sz w:val="3"/>
                <w:szCs w:val="3"/>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An explanation of the figures reported above are contained in the Directors’ Report under the heading ‘Financial performance’.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SHAREHOLDER DISTRIBUTIONS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No dividends have been paid or declared by the entity since the beginning of the current reporting period.</w:t>
      </w:r>
    </w:p>
    <w:p>
      <w:pPr>
        <w:spacing w:after="0" w:line="53" w:lineRule="exact"/>
        <w:rPr>
          <w:sz w:val="20"/>
          <w:szCs w:val="20"/>
          <w:color w:val="auto"/>
        </w:rPr>
      </w:pPr>
    </w:p>
    <w:p>
      <w:pPr>
        <w:ind w:left="9500"/>
        <w:spacing w:after="0"/>
        <w:rPr>
          <w:sz w:val="20"/>
          <w:szCs w:val="20"/>
          <w:color w:val="auto"/>
        </w:rPr>
      </w:pPr>
      <w:r>
        <w:rPr>
          <w:rFonts w:ascii="Arial" w:cs="Arial" w:eastAsia="Arial" w:hAnsi="Arial"/>
          <w:sz w:val="15"/>
          <w:szCs w:val="15"/>
          <w:b w:val="1"/>
          <w:bCs w:val="1"/>
          <w:color w:val="20286D"/>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20"/>
                <w:szCs w:val="20"/>
                <w:color w:val="auto"/>
              </w:rPr>
            </w:pPr>
            <w:r>
              <w:rPr>
                <w:rFonts w:ascii="Arial" w:cs="Arial" w:eastAsia="Arial" w:hAnsi="Arial"/>
                <w:sz w:val="15"/>
                <w:szCs w:val="15"/>
                <w:color w:val="20286D"/>
              </w:rPr>
              <w:t>NTA backing</w:t>
            </w:r>
          </w:p>
        </w:tc>
        <w:tc>
          <w:tcPr>
            <w:tcW w:w="3820" w:type="dxa"/>
            <w:vAlign w:val="bottom"/>
          </w:tcPr>
          <w:p>
            <w:pPr>
              <w:jc w:val="right"/>
              <w:ind w:right="44"/>
              <w:spacing w:after="0"/>
              <w:rPr>
                <w:sz w:val="20"/>
                <w:szCs w:val="20"/>
                <w:color w:val="auto"/>
              </w:rPr>
            </w:pPr>
            <w:r>
              <w:rPr>
                <w:rFonts w:ascii="Arial" w:cs="Arial" w:eastAsia="Arial" w:hAnsi="Arial"/>
                <w:sz w:val="15"/>
                <w:szCs w:val="15"/>
                <w:color w:val="20286D"/>
              </w:rPr>
              <w:t>31/12/2020</w:t>
            </w:r>
          </w:p>
        </w:tc>
        <w:tc>
          <w:tcPr>
            <w:tcW w:w="1040" w:type="dxa"/>
            <w:vAlign w:val="bottom"/>
          </w:tcPr>
          <w:p>
            <w:pPr>
              <w:jc w:val="right"/>
              <w:ind w:right="84"/>
              <w:spacing w:after="0"/>
              <w:rPr>
                <w:sz w:val="20"/>
                <w:szCs w:val="20"/>
                <w:color w:val="auto"/>
              </w:rPr>
            </w:pPr>
            <w:r>
              <w:rPr>
                <w:rFonts w:ascii="Arial" w:cs="Arial" w:eastAsia="Arial" w:hAnsi="Arial"/>
                <w:sz w:val="15"/>
                <w:szCs w:val="15"/>
                <w:color w:val="20286D"/>
              </w:rPr>
              <w:t>30/06/2020</w:t>
            </w:r>
          </w:p>
        </w:tc>
      </w:tr>
      <w:tr>
        <w:trPr>
          <w:trHeight w:val="35"/>
        </w:trPr>
        <w:tc>
          <w:tcPr>
            <w:tcW w:w="6160" w:type="dxa"/>
            <w:vAlign w:val="bottom"/>
            <w:tcBorders>
              <w:bottom w:val="single" w:sz="8" w:color="00AFB7"/>
            </w:tcBorders>
          </w:tcPr>
          <w:p>
            <w:pPr>
              <w:spacing w:after="0"/>
              <w:rPr>
                <w:sz w:val="3"/>
                <w:szCs w:val="3"/>
                <w:color w:val="auto"/>
              </w:rPr>
            </w:pPr>
          </w:p>
        </w:tc>
        <w:tc>
          <w:tcPr>
            <w:tcW w:w="3820" w:type="dxa"/>
            <w:vAlign w:val="bottom"/>
            <w:tcBorders>
              <w:bottom w:val="single" w:sz="8" w:color="00AFB7"/>
            </w:tcBorders>
          </w:tcPr>
          <w:p>
            <w:pPr>
              <w:spacing w:after="0"/>
              <w:rPr>
                <w:sz w:val="3"/>
                <w:szCs w:val="3"/>
                <w:color w:val="auto"/>
              </w:rPr>
            </w:pPr>
          </w:p>
        </w:tc>
        <w:tc>
          <w:tcPr>
            <w:tcW w:w="1040" w:type="dxa"/>
            <w:vAlign w:val="bottom"/>
            <w:tcBorders>
              <w:bottom w:val="single" w:sz="8" w:color="00AFB7"/>
            </w:tcBorders>
          </w:tcPr>
          <w:p>
            <w:pPr>
              <w:spacing w:after="0"/>
              <w:rPr>
                <w:sz w:val="3"/>
                <w:szCs w:val="3"/>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5"/>
                <w:szCs w:val="15"/>
                <w:color w:val="auto"/>
              </w:rPr>
              <w:t>Net tangible asset backing per ordinary security</w:t>
            </w:r>
          </w:p>
        </w:tc>
        <w:tc>
          <w:tcPr>
            <w:tcW w:w="3820" w:type="dxa"/>
            <w:vAlign w:val="bottom"/>
          </w:tcPr>
          <w:p>
            <w:pPr>
              <w:jc w:val="right"/>
              <w:ind w:right="44"/>
              <w:spacing w:after="0"/>
              <w:rPr>
                <w:sz w:val="20"/>
                <w:szCs w:val="20"/>
                <w:color w:val="auto"/>
              </w:rPr>
            </w:pPr>
            <w:r>
              <w:rPr>
                <w:rFonts w:ascii="Arial" w:cs="Arial" w:eastAsia="Arial" w:hAnsi="Arial"/>
                <w:sz w:val="15"/>
                <w:szCs w:val="15"/>
                <w:color w:val="auto"/>
              </w:rPr>
              <w:t>$0.59</w:t>
            </w:r>
          </w:p>
        </w:tc>
        <w:tc>
          <w:tcPr>
            <w:tcW w:w="1040" w:type="dxa"/>
            <w:vAlign w:val="bottom"/>
          </w:tcPr>
          <w:p>
            <w:pPr>
              <w:jc w:val="right"/>
              <w:ind w:right="84"/>
              <w:spacing w:after="0"/>
              <w:rPr>
                <w:sz w:val="20"/>
                <w:szCs w:val="20"/>
                <w:color w:val="auto"/>
              </w:rPr>
            </w:pPr>
            <w:r>
              <w:rPr>
                <w:rFonts w:ascii="Arial" w:cs="Arial" w:eastAsia="Arial" w:hAnsi="Arial"/>
                <w:sz w:val="15"/>
                <w:szCs w:val="15"/>
                <w:color w:val="auto"/>
              </w:rPr>
              <w:t>$0.24</w:t>
            </w:r>
          </w:p>
        </w:tc>
      </w:tr>
      <w:tr>
        <w:trPr>
          <w:trHeight w:val="35"/>
        </w:trPr>
        <w:tc>
          <w:tcPr>
            <w:tcW w:w="6160" w:type="dxa"/>
            <w:vAlign w:val="bottom"/>
            <w:tcBorders>
              <w:bottom w:val="single" w:sz="8" w:color="00AFB7"/>
            </w:tcBorders>
          </w:tcPr>
          <w:p>
            <w:pPr>
              <w:spacing w:after="0"/>
              <w:rPr>
                <w:sz w:val="3"/>
                <w:szCs w:val="3"/>
                <w:color w:val="auto"/>
              </w:rPr>
            </w:pPr>
          </w:p>
        </w:tc>
        <w:tc>
          <w:tcPr>
            <w:tcW w:w="3820" w:type="dxa"/>
            <w:vAlign w:val="bottom"/>
            <w:tcBorders>
              <w:bottom w:val="single" w:sz="8" w:color="00AFB7"/>
            </w:tcBorders>
          </w:tcPr>
          <w:p>
            <w:pPr>
              <w:spacing w:after="0"/>
              <w:rPr>
                <w:sz w:val="3"/>
                <w:szCs w:val="3"/>
                <w:color w:val="auto"/>
              </w:rPr>
            </w:pPr>
          </w:p>
        </w:tc>
        <w:tc>
          <w:tcPr>
            <w:tcW w:w="1040" w:type="dxa"/>
            <w:vAlign w:val="bottom"/>
            <w:tcBorders>
              <w:bottom w:val="single" w:sz="8" w:color="00AFB7"/>
            </w:tcBorders>
          </w:tcPr>
          <w:p>
            <w:pPr>
              <w:spacing w:after="0"/>
              <w:rPr>
                <w:sz w:val="3"/>
                <w:szCs w:val="3"/>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STATUS OF REVIEW OF ACCOUNTS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The financial report for the half-year ended 31 December 2020 has been reviewed. The auditor’s review report is included at page 17 of the financial report.</w:t>
      </w:r>
    </w:p>
    <w:p>
      <w:pPr>
        <w:sectPr>
          <w:pgSz w:w="11900" w:h="16838" w:orient="portrait"/>
          <w:cols w:equalWidth="0" w:num="1">
            <w:col w:w="11020"/>
          </w:cols>
          <w:pgMar w:left="440" w:top="644" w:right="43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369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9369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3694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9369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tbl>
      <w:tblPr>
        <w:tblLayout w:type="fixed"/>
        <w:tblInd w:w="364" w:type="dxa"/>
        <w:tblCellMar>
          <w:top w:w="0" w:type="dxa"/>
          <w:left w:w="0" w:type="dxa"/>
          <w:bottom w:w="0" w:type="dxa"/>
          <w:right w:w="0" w:type="dxa"/>
        </w:tblCellMar>
      </w:tblPr>
      <w:tr>
        <w:trPr>
          <w:trHeight w:val="168"/>
        </w:trPr>
        <w:tc>
          <w:tcPr>
            <w:tcW w:w="8600" w:type="dxa"/>
            <w:vAlign w:val="bottom"/>
          </w:tcPr>
          <w:p>
            <w:pPr>
              <w:spacing w:after="0"/>
              <w:rPr>
                <w:sz w:val="20"/>
                <w:szCs w:val="20"/>
                <w:color w:val="auto"/>
              </w:rPr>
            </w:pPr>
            <w:r>
              <w:rPr>
                <w:rFonts w:ascii="Arial" w:cs="Arial" w:eastAsia="Arial" w:hAnsi="Arial"/>
                <w:sz w:val="13"/>
                <w:szCs w:val="13"/>
                <w:b w:val="1"/>
                <w:bCs w:val="1"/>
                <w:color w:val="00AFB7"/>
              </w:rPr>
              <w:t xml:space="preserve">O p t h e a   </w:t>
            </w:r>
            <w:r>
              <w:rPr>
                <w:rFonts w:ascii="Arial" w:cs="Arial" w:eastAsia="Arial" w:hAnsi="Arial"/>
                <w:sz w:val="13"/>
                <w:szCs w:val="13"/>
                <w:color w:val="00AFB7"/>
              </w:rPr>
              <w:t>|   H A L F Y E A R R E P O R T F O R T H E H A L F - Y E A R E N D E D 3 1 D E C E M B E R 2 0 2 0</w:t>
            </w:r>
          </w:p>
        </w:tc>
        <w:tc>
          <w:tcPr>
            <w:tcW w:w="1800" w:type="dxa"/>
            <w:vAlign w:val="bottom"/>
          </w:tcPr>
          <w:p>
            <w:pPr>
              <w:jc w:val="right"/>
              <w:spacing w:after="0"/>
              <w:rPr>
                <w:sz w:val="20"/>
                <w:szCs w:val="20"/>
                <w:color w:val="auto"/>
              </w:rPr>
            </w:pPr>
            <w:r>
              <w:rPr>
                <w:rFonts w:ascii="Arial" w:cs="Arial" w:eastAsia="Arial" w:hAnsi="Arial"/>
                <w:sz w:val="13"/>
                <w:szCs w:val="13"/>
                <w:color w:val="00AFB7"/>
              </w:rPr>
              <w:t>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17145" cy="334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 cy="334010"/>
                    </a:xfrm>
                    <a:prstGeom prst="rect">
                      <a:avLst/>
                    </a:prstGeom>
                    <a:noFill/>
                  </pic:spPr>
                </pic:pic>
              </a:graphicData>
            </a:graphic>
          </wp:anchor>
        </w:drawing>
      </w:r>
    </w:p>
    <w:p>
      <w:pPr>
        <w:spacing w:after="0" w:line="387" w:lineRule="exact"/>
        <w:rPr>
          <w:sz w:val="20"/>
          <w:szCs w:val="20"/>
          <w:color w:val="auto"/>
        </w:rPr>
      </w:pPr>
    </w:p>
    <w:p>
      <w:pPr>
        <w:ind w:left="4"/>
        <w:spacing w:after="0"/>
        <w:rPr>
          <w:sz w:val="20"/>
          <w:szCs w:val="20"/>
          <w:color w:val="auto"/>
        </w:rPr>
      </w:pPr>
      <w:r>
        <w:rPr>
          <w:rFonts w:ascii="Arial" w:cs="Arial" w:eastAsia="Arial" w:hAnsi="Arial"/>
          <w:sz w:val="49"/>
          <w:szCs w:val="49"/>
          <w:color w:val="00AFB7"/>
        </w:rPr>
        <w:t>DIRECTORS’ REPORT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 w:right="100"/>
        <w:spacing w:after="0" w:line="242" w:lineRule="auto"/>
        <w:rPr>
          <w:sz w:val="20"/>
          <w:szCs w:val="20"/>
          <w:color w:val="auto"/>
        </w:rPr>
      </w:pPr>
      <w:r>
        <w:rPr>
          <w:rFonts w:ascii="Arial" w:cs="Arial" w:eastAsia="Arial" w:hAnsi="Arial"/>
          <w:sz w:val="15"/>
          <w:szCs w:val="15"/>
          <w:color w:val="auto"/>
        </w:rPr>
        <w:t xml:space="preserve">The directors of Opthea Limited submit herewith the financial report of Opthea Limited and its subsidiaries (Opthea, the Company and the Group) for the half-year ended 31 December 2020. In order to comply with the provisions of the </w:t>
      </w:r>
      <w:r>
        <w:rPr>
          <w:rFonts w:ascii="Arial" w:cs="Arial" w:eastAsia="Arial" w:hAnsi="Arial"/>
          <w:sz w:val="15"/>
          <w:szCs w:val="15"/>
          <w:i w:val="1"/>
          <w:iCs w:val="1"/>
          <w:color w:val="auto"/>
        </w:rPr>
        <w:t>Corporations Act 2001</w:t>
      </w:r>
      <w:r>
        <w:rPr>
          <w:rFonts w:ascii="Arial" w:cs="Arial" w:eastAsia="Arial" w:hAnsi="Arial"/>
          <w:sz w:val="15"/>
          <w:szCs w:val="15"/>
          <w:color w:val="auto"/>
        </w:rPr>
        <w:t>, the directors report as follows:</w:t>
      </w:r>
    </w:p>
    <w:p>
      <w:pPr>
        <w:spacing w:after="0" w:line="3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20286D"/>
        </w:rPr>
        <w:t>DIRECTORS</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5"/>
          <w:szCs w:val="15"/>
          <w:color w:val="auto"/>
        </w:rPr>
        <w:t>The names of the Company’s Directors in office during the half-year and until the date of this report are:</w:t>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188"/>
        </w:trPr>
        <w:tc>
          <w:tcPr>
            <w:tcW w:w="34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Jeremy Levin</w:t>
            </w:r>
          </w:p>
        </w:tc>
        <w:tc>
          <w:tcPr>
            <w:tcW w:w="7620" w:type="dxa"/>
            <w:vAlign w:val="bottom"/>
            <w:tcBorders>
              <w:bottom w:val="single" w:sz="8" w:color="00AFB7"/>
            </w:tcBorders>
            <w:gridSpan w:val="2"/>
          </w:tcPr>
          <w:p>
            <w:pPr>
              <w:ind w:left="2220"/>
              <w:spacing w:after="0"/>
              <w:rPr>
                <w:sz w:val="20"/>
                <w:szCs w:val="20"/>
                <w:color w:val="auto"/>
              </w:rPr>
            </w:pPr>
            <w:r>
              <w:rPr>
                <w:rFonts w:ascii="Arial" w:cs="Arial" w:eastAsia="Arial" w:hAnsi="Arial"/>
                <w:sz w:val="15"/>
                <w:szCs w:val="15"/>
                <w:color w:val="auto"/>
              </w:rPr>
              <w:t>Chairman, Non-Executive Director (appointed on 12 October 2020)</w:t>
            </w:r>
          </w:p>
        </w:tc>
      </w:tr>
      <w:tr>
        <w:trPr>
          <w:trHeight w:val="196"/>
        </w:trPr>
        <w:tc>
          <w:tcPr>
            <w:tcW w:w="34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Geoffrey Kempler</w:t>
            </w:r>
          </w:p>
        </w:tc>
        <w:tc>
          <w:tcPr>
            <w:tcW w:w="7620" w:type="dxa"/>
            <w:vAlign w:val="bottom"/>
            <w:tcBorders>
              <w:bottom w:val="single" w:sz="8" w:color="00AFB7"/>
            </w:tcBorders>
            <w:gridSpan w:val="2"/>
          </w:tcPr>
          <w:p>
            <w:pPr>
              <w:ind w:left="2220"/>
              <w:spacing w:after="0"/>
              <w:rPr>
                <w:sz w:val="20"/>
                <w:szCs w:val="20"/>
                <w:color w:val="auto"/>
              </w:rPr>
            </w:pPr>
            <w:r>
              <w:rPr>
                <w:rFonts w:ascii="Arial" w:cs="Arial" w:eastAsia="Arial" w:hAnsi="Arial"/>
                <w:sz w:val="15"/>
                <w:szCs w:val="15"/>
                <w:color w:val="auto"/>
              </w:rPr>
              <w:t>Chairman, Non-Executive Director (retired on 12 October 2020)</w:t>
            </w:r>
          </w:p>
        </w:tc>
      </w:tr>
      <w:tr>
        <w:trPr>
          <w:trHeight w:val="196"/>
        </w:trPr>
        <w:tc>
          <w:tcPr>
            <w:tcW w:w="34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Megan Baldwin</w:t>
            </w:r>
          </w:p>
        </w:tc>
        <w:tc>
          <w:tcPr>
            <w:tcW w:w="7620" w:type="dxa"/>
            <w:vAlign w:val="bottom"/>
            <w:tcBorders>
              <w:bottom w:val="single" w:sz="8" w:color="00AFB7"/>
            </w:tcBorders>
            <w:gridSpan w:val="2"/>
          </w:tcPr>
          <w:p>
            <w:pPr>
              <w:ind w:left="2220"/>
              <w:spacing w:after="0"/>
              <w:rPr>
                <w:sz w:val="20"/>
                <w:szCs w:val="20"/>
                <w:color w:val="auto"/>
              </w:rPr>
            </w:pPr>
            <w:r>
              <w:rPr>
                <w:rFonts w:ascii="Arial" w:cs="Arial" w:eastAsia="Arial" w:hAnsi="Arial"/>
                <w:sz w:val="15"/>
                <w:szCs w:val="15"/>
                <w:color w:val="auto"/>
              </w:rPr>
              <w:t>Chief Executive Officer and Managing Director</w:t>
            </w:r>
          </w:p>
        </w:tc>
      </w:tr>
      <w:tr>
        <w:trPr>
          <w:trHeight w:val="196"/>
        </w:trPr>
        <w:tc>
          <w:tcPr>
            <w:tcW w:w="34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Michael Sistenich</w:t>
            </w:r>
          </w:p>
        </w:tc>
        <w:tc>
          <w:tcPr>
            <w:tcW w:w="5000" w:type="dxa"/>
            <w:vAlign w:val="bottom"/>
            <w:tcBorders>
              <w:bottom w:val="single" w:sz="8" w:color="00AFB7"/>
            </w:tcBorders>
          </w:tcPr>
          <w:p>
            <w:pPr>
              <w:ind w:left="2220"/>
              <w:spacing w:after="0"/>
              <w:rPr>
                <w:sz w:val="20"/>
                <w:szCs w:val="20"/>
                <w:color w:val="auto"/>
              </w:rPr>
            </w:pPr>
            <w:r>
              <w:rPr>
                <w:rFonts w:ascii="Arial" w:cs="Arial" w:eastAsia="Arial" w:hAnsi="Arial"/>
                <w:sz w:val="15"/>
                <w:szCs w:val="15"/>
                <w:color w:val="auto"/>
              </w:rPr>
              <w:t>Non-Executive Director</w:t>
            </w:r>
          </w:p>
        </w:tc>
        <w:tc>
          <w:tcPr>
            <w:tcW w:w="2620" w:type="dxa"/>
            <w:vAlign w:val="bottom"/>
            <w:tcBorders>
              <w:bottom w:val="single" w:sz="8" w:color="00AFB7"/>
            </w:tcBorders>
          </w:tcPr>
          <w:p>
            <w:pPr>
              <w:spacing w:after="0"/>
              <w:rPr>
                <w:sz w:val="17"/>
                <w:szCs w:val="17"/>
                <w:color w:val="auto"/>
              </w:rPr>
            </w:pPr>
          </w:p>
        </w:tc>
      </w:tr>
      <w:tr>
        <w:trPr>
          <w:trHeight w:val="196"/>
        </w:trPr>
        <w:tc>
          <w:tcPr>
            <w:tcW w:w="34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Lawrence Gozlan</w:t>
            </w:r>
          </w:p>
        </w:tc>
        <w:tc>
          <w:tcPr>
            <w:tcW w:w="5000" w:type="dxa"/>
            <w:vAlign w:val="bottom"/>
            <w:tcBorders>
              <w:bottom w:val="single" w:sz="8" w:color="00AFB7"/>
            </w:tcBorders>
          </w:tcPr>
          <w:p>
            <w:pPr>
              <w:ind w:left="2220"/>
              <w:spacing w:after="0"/>
              <w:rPr>
                <w:sz w:val="20"/>
                <w:szCs w:val="20"/>
                <w:color w:val="auto"/>
              </w:rPr>
            </w:pPr>
            <w:r>
              <w:rPr>
                <w:rFonts w:ascii="Arial" w:cs="Arial" w:eastAsia="Arial" w:hAnsi="Arial"/>
                <w:sz w:val="15"/>
                <w:szCs w:val="15"/>
                <w:color w:val="auto"/>
              </w:rPr>
              <w:t>Non-Executive Director (appointed on 24</w:t>
            </w:r>
          </w:p>
        </w:tc>
        <w:tc>
          <w:tcPr>
            <w:tcW w:w="2620" w:type="dxa"/>
            <w:vAlign w:val="bottom"/>
            <w:tcBorders>
              <w:bottom w:val="single" w:sz="8" w:color="00AFB7"/>
            </w:tcBorders>
          </w:tcPr>
          <w:p>
            <w:pPr>
              <w:ind w:left="40"/>
              <w:spacing w:after="0"/>
              <w:rPr>
                <w:sz w:val="20"/>
                <w:szCs w:val="20"/>
                <w:color w:val="auto"/>
              </w:rPr>
            </w:pPr>
            <w:r>
              <w:rPr>
                <w:rFonts w:ascii="Arial" w:cs="Arial" w:eastAsia="Arial" w:hAnsi="Arial"/>
                <w:sz w:val="15"/>
                <w:szCs w:val="15"/>
                <w:color w:val="auto"/>
              </w:rPr>
              <w:t>July 2020)</w:t>
            </w:r>
          </w:p>
        </w:tc>
      </w:tr>
      <w:tr>
        <w:trPr>
          <w:trHeight w:val="196"/>
        </w:trPr>
        <w:tc>
          <w:tcPr>
            <w:tcW w:w="34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Dan Spiegelman</w:t>
            </w:r>
          </w:p>
        </w:tc>
        <w:tc>
          <w:tcPr>
            <w:tcW w:w="5000" w:type="dxa"/>
            <w:vAlign w:val="bottom"/>
            <w:tcBorders>
              <w:bottom w:val="single" w:sz="8" w:color="00AFB7"/>
            </w:tcBorders>
          </w:tcPr>
          <w:p>
            <w:pPr>
              <w:ind w:left="2220"/>
              <w:spacing w:after="0"/>
              <w:rPr>
                <w:sz w:val="20"/>
                <w:szCs w:val="20"/>
                <w:color w:val="auto"/>
              </w:rPr>
            </w:pPr>
            <w:r>
              <w:rPr>
                <w:rFonts w:ascii="Arial" w:cs="Arial" w:eastAsia="Arial" w:hAnsi="Arial"/>
                <w:sz w:val="15"/>
                <w:szCs w:val="15"/>
                <w:color w:val="auto"/>
              </w:rPr>
              <w:t>Non-Executive Director (appointed on 10</w:t>
            </w:r>
          </w:p>
        </w:tc>
        <w:tc>
          <w:tcPr>
            <w:tcW w:w="2620" w:type="dxa"/>
            <w:vAlign w:val="bottom"/>
            <w:tcBorders>
              <w:bottom w:val="single" w:sz="8" w:color="00AFB7"/>
            </w:tcBorders>
          </w:tcPr>
          <w:p>
            <w:pPr>
              <w:ind w:left="40"/>
              <w:spacing w:after="0"/>
              <w:rPr>
                <w:sz w:val="20"/>
                <w:szCs w:val="20"/>
                <w:color w:val="auto"/>
              </w:rPr>
            </w:pPr>
            <w:r>
              <w:rPr>
                <w:rFonts w:ascii="Arial" w:cs="Arial" w:eastAsia="Arial" w:hAnsi="Arial"/>
                <w:sz w:val="15"/>
                <w:szCs w:val="15"/>
                <w:color w:val="auto"/>
              </w:rPr>
              <w:t>September 2020)</w:t>
            </w:r>
          </w:p>
        </w:tc>
      </w:tr>
    </w:tbl>
    <w:p>
      <w:pPr>
        <w:spacing w:after="0" w:line="200" w:lineRule="exact"/>
        <w:rPr>
          <w:sz w:val="20"/>
          <w:szCs w:val="20"/>
          <w:color w:val="auto"/>
        </w:rPr>
      </w:pPr>
    </w:p>
    <w:p>
      <w:pPr>
        <w:sectPr>
          <w:pgSz w:w="11900" w:h="16838" w:orient="portrait"/>
          <w:cols w:equalWidth="0" w:num="1">
            <w:col w:w="11024"/>
          </w:cols>
          <w:pgMar w:left="436" w:top="644" w:right="439" w:bottom="1440" w:gutter="0" w:footer="0" w:header="0"/>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20286D"/>
        </w:rPr>
        <w:t>OPERATING AND FINANCIAL REVIEW</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AFB7"/>
        </w:rPr>
        <w:t>Financial performance</w:t>
      </w:r>
    </w:p>
    <w:p>
      <w:pPr>
        <w:spacing w:after="0" w:line="101" w:lineRule="exact"/>
        <w:rPr>
          <w:sz w:val="20"/>
          <w:szCs w:val="20"/>
          <w:color w:val="auto"/>
        </w:rPr>
      </w:pPr>
    </w:p>
    <w:p>
      <w:pPr>
        <w:ind w:left="4" w:right="40"/>
        <w:spacing w:after="0" w:line="230" w:lineRule="auto"/>
        <w:rPr>
          <w:sz w:val="20"/>
          <w:szCs w:val="20"/>
          <w:color w:val="auto"/>
        </w:rPr>
      </w:pPr>
      <w:r>
        <w:rPr>
          <w:rFonts w:ascii="Arial" w:cs="Arial" w:eastAsia="Arial" w:hAnsi="Arial"/>
          <w:sz w:val="15"/>
          <w:szCs w:val="15"/>
          <w:color w:val="auto"/>
        </w:rPr>
        <w:t>For the half-year ended 31 December 2020, the Company’s net loss before tax attributable to members is $38,505,045 (31 December 2019: $11,465,210). The increased loss compared to the prior year is mainly due to the increase in research and development (R&amp;D) spending, which can be attributed to the manufacturing of OPT-302 and planning of the Phase 3 clinical trials of OPT-302 in wet AMD.</w:t>
      </w:r>
    </w:p>
    <w:p>
      <w:pPr>
        <w:spacing w:after="0" w:line="88" w:lineRule="exact"/>
        <w:rPr>
          <w:sz w:val="20"/>
          <w:szCs w:val="20"/>
          <w:color w:val="auto"/>
        </w:rPr>
      </w:pPr>
    </w:p>
    <w:p>
      <w:pPr>
        <w:ind w:left="4"/>
        <w:spacing w:after="0"/>
        <w:rPr>
          <w:sz w:val="20"/>
          <w:szCs w:val="20"/>
          <w:color w:val="auto"/>
        </w:rPr>
      </w:pPr>
      <w:r>
        <w:rPr>
          <w:rFonts w:ascii="Arial" w:cs="Arial" w:eastAsia="Arial" w:hAnsi="Arial"/>
          <w:sz w:val="15"/>
          <w:szCs w:val="15"/>
          <w:color w:val="auto"/>
        </w:rPr>
        <w:t>Set out below are other factors affecting financial performance:</w:t>
      </w:r>
    </w:p>
    <w:p>
      <w:pPr>
        <w:spacing w:after="0" w:line="30" w:lineRule="exact"/>
        <w:rPr>
          <w:sz w:val="20"/>
          <w:szCs w:val="20"/>
          <w:color w:val="auto"/>
        </w:rPr>
      </w:pPr>
    </w:p>
    <w:p>
      <w:pPr>
        <w:ind w:left="144" w:right="540" w:hanging="144"/>
        <w:spacing w:after="0"/>
        <w:tabs>
          <w:tab w:leader="none" w:pos="144" w:val="left"/>
        </w:tabs>
        <w:numPr>
          <w:ilvl w:val="0"/>
          <w:numId w:val="1"/>
        </w:numPr>
        <w:rPr>
          <w:rFonts w:ascii="Arial" w:cs="Arial" w:eastAsia="Arial" w:hAnsi="Arial"/>
          <w:sz w:val="28"/>
          <w:szCs w:val="28"/>
          <w:b w:val="1"/>
          <w:bCs w:val="1"/>
          <w:color w:val="00AFB7"/>
          <w:vertAlign w:val="subscript"/>
        </w:rPr>
      </w:pPr>
      <w:r>
        <w:rPr>
          <w:rFonts w:ascii="Arial" w:cs="Arial" w:eastAsia="Arial" w:hAnsi="Arial"/>
          <w:sz w:val="12"/>
          <w:szCs w:val="12"/>
          <w:color w:val="auto"/>
        </w:rPr>
        <w:t>The total investment in R&amp;D was $18,807,475 (31 December 2019: $8,340,640);</w:t>
      </w:r>
    </w:p>
    <w:p>
      <w:pPr>
        <w:spacing w:after="0" w:line="42" w:lineRule="exact"/>
        <w:rPr>
          <w:rFonts w:ascii="Arial" w:cs="Arial" w:eastAsia="Arial" w:hAnsi="Arial"/>
          <w:sz w:val="28"/>
          <w:szCs w:val="28"/>
          <w:b w:val="1"/>
          <w:bCs w:val="1"/>
          <w:color w:val="00AFB7"/>
          <w:vertAlign w:val="subscript"/>
        </w:rPr>
      </w:pPr>
    </w:p>
    <w:p>
      <w:pPr>
        <w:ind w:left="144" w:right="140" w:hanging="144"/>
        <w:spacing w:after="0"/>
        <w:tabs>
          <w:tab w:leader="none" w:pos="144" w:val="left"/>
        </w:tabs>
        <w:numPr>
          <w:ilvl w:val="0"/>
          <w:numId w:val="1"/>
        </w:numPr>
        <w:rPr>
          <w:rFonts w:ascii="Arial" w:cs="Arial" w:eastAsia="Arial" w:hAnsi="Arial"/>
          <w:sz w:val="28"/>
          <w:szCs w:val="28"/>
          <w:b w:val="1"/>
          <w:bCs w:val="1"/>
          <w:color w:val="00AFB7"/>
          <w:vertAlign w:val="subscript"/>
        </w:rPr>
      </w:pPr>
      <w:r>
        <w:rPr>
          <w:rFonts w:ascii="Arial" w:cs="Arial" w:eastAsia="Arial" w:hAnsi="Arial"/>
          <w:sz w:val="12"/>
          <w:szCs w:val="12"/>
          <w:color w:val="auto"/>
        </w:rPr>
        <w:t>Net foreign exchange losses were $12,442,849 (31 December 2019: gain of $113,370);</w:t>
      </w:r>
    </w:p>
    <w:p>
      <w:pPr>
        <w:spacing w:after="0" w:line="42" w:lineRule="exact"/>
        <w:rPr>
          <w:rFonts w:ascii="Arial" w:cs="Arial" w:eastAsia="Arial" w:hAnsi="Arial"/>
          <w:sz w:val="28"/>
          <w:szCs w:val="28"/>
          <w:b w:val="1"/>
          <w:bCs w:val="1"/>
          <w:color w:val="00AFB7"/>
          <w:vertAlign w:val="subscript"/>
        </w:rPr>
      </w:pPr>
    </w:p>
    <w:p>
      <w:pPr>
        <w:ind w:left="144" w:right="220" w:hanging="144"/>
        <w:spacing w:after="0" w:line="180" w:lineRule="auto"/>
        <w:tabs>
          <w:tab w:leader="none" w:pos="144" w:val="left"/>
        </w:tabs>
        <w:numPr>
          <w:ilvl w:val="0"/>
          <w:numId w:val="1"/>
        </w:numPr>
        <w:rPr>
          <w:rFonts w:ascii="Arial" w:cs="Arial" w:eastAsia="Arial" w:hAnsi="Arial"/>
          <w:sz w:val="28"/>
          <w:szCs w:val="28"/>
          <w:b w:val="1"/>
          <w:bCs w:val="1"/>
          <w:color w:val="00AFB7"/>
          <w:vertAlign w:val="subscript"/>
        </w:rPr>
      </w:pPr>
      <w:r>
        <w:rPr>
          <w:rFonts w:ascii="Arial" w:cs="Arial" w:eastAsia="Arial" w:hAnsi="Arial"/>
          <w:sz w:val="12"/>
          <w:szCs w:val="12"/>
          <w:color w:val="auto"/>
        </w:rPr>
        <w:t>The net income tax benefit for the half year is $3,522,832 (31 December 2019: $3,845,192); and</w:t>
      </w:r>
    </w:p>
    <w:p>
      <w:pPr>
        <w:spacing w:after="0" w:line="19" w:lineRule="exact"/>
        <w:rPr>
          <w:rFonts w:ascii="Arial" w:cs="Arial" w:eastAsia="Arial" w:hAnsi="Arial"/>
          <w:sz w:val="28"/>
          <w:szCs w:val="28"/>
          <w:b w:val="1"/>
          <w:bCs w:val="1"/>
          <w:color w:val="00AFB7"/>
          <w:vertAlign w:val="subscript"/>
        </w:rPr>
      </w:pPr>
    </w:p>
    <w:p>
      <w:pPr>
        <w:ind w:left="144" w:right="140" w:hanging="144"/>
        <w:spacing w:after="0"/>
        <w:tabs>
          <w:tab w:leader="none" w:pos="144" w:val="left"/>
        </w:tabs>
        <w:numPr>
          <w:ilvl w:val="0"/>
          <w:numId w:val="1"/>
        </w:numPr>
        <w:rPr>
          <w:rFonts w:ascii="Arial" w:cs="Arial" w:eastAsia="Arial" w:hAnsi="Arial"/>
          <w:sz w:val="28"/>
          <w:szCs w:val="28"/>
          <w:b w:val="1"/>
          <w:bCs w:val="1"/>
          <w:color w:val="00AFB7"/>
          <w:vertAlign w:val="subscript"/>
        </w:rPr>
      </w:pPr>
      <w:r>
        <w:rPr>
          <w:rFonts w:ascii="Arial" w:cs="Arial" w:eastAsia="Arial" w:hAnsi="Arial"/>
          <w:sz w:val="12"/>
          <w:szCs w:val="12"/>
          <w:color w:val="auto"/>
        </w:rPr>
        <w:t>Basic earnings per share were a loss of 11.75 cents (31 December 2019: loss of 3.02 cents).</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AFB7"/>
        </w:rPr>
        <w:t>Financial position</w:t>
      </w:r>
    </w:p>
    <w:p>
      <w:pPr>
        <w:spacing w:after="0" w:line="87" w:lineRule="exact"/>
        <w:rPr>
          <w:sz w:val="20"/>
          <w:szCs w:val="20"/>
          <w:color w:val="auto"/>
        </w:rPr>
      </w:pPr>
    </w:p>
    <w:p>
      <w:pPr>
        <w:ind w:left="4"/>
        <w:spacing w:after="0"/>
        <w:rPr>
          <w:sz w:val="20"/>
          <w:szCs w:val="20"/>
          <w:color w:val="auto"/>
        </w:rPr>
      </w:pPr>
      <w:r>
        <w:rPr>
          <w:rFonts w:ascii="Arial" w:cs="Arial" w:eastAsia="Arial" w:hAnsi="Arial"/>
          <w:sz w:val="15"/>
          <w:szCs w:val="15"/>
          <w:color w:val="auto"/>
        </w:rPr>
        <w:t>Points to note on the Company’s financial position are:</w:t>
      </w:r>
    </w:p>
    <w:p>
      <w:pPr>
        <w:spacing w:after="0" w:line="30" w:lineRule="exact"/>
        <w:rPr>
          <w:sz w:val="20"/>
          <w:szCs w:val="20"/>
          <w:color w:val="auto"/>
        </w:rPr>
      </w:pPr>
    </w:p>
    <w:p>
      <w:pPr>
        <w:ind w:left="144" w:right="240" w:hanging="144"/>
        <w:spacing w:after="0" w:line="180" w:lineRule="auto"/>
        <w:tabs>
          <w:tab w:leader="none" w:pos="144" w:val="left"/>
        </w:tabs>
        <w:numPr>
          <w:ilvl w:val="0"/>
          <w:numId w:val="2"/>
        </w:numPr>
        <w:rPr>
          <w:rFonts w:ascii="Arial" w:cs="Arial" w:eastAsia="Arial" w:hAnsi="Arial"/>
          <w:sz w:val="28"/>
          <w:szCs w:val="28"/>
          <w:b w:val="1"/>
          <w:bCs w:val="1"/>
          <w:color w:val="00AFB7"/>
          <w:vertAlign w:val="subscript"/>
        </w:rPr>
      </w:pPr>
      <w:r>
        <w:rPr>
          <w:rFonts w:ascii="Arial" w:cs="Arial" w:eastAsia="Arial" w:hAnsi="Arial"/>
          <w:sz w:val="12"/>
          <w:szCs w:val="12"/>
          <w:color w:val="auto"/>
        </w:rPr>
        <w:t>The cash position as at 31 December 2020 was $202,544,985 (30 June 2020: $62,020,382);</w:t>
      </w:r>
    </w:p>
    <w:p>
      <w:pPr>
        <w:spacing w:after="0" w:line="19" w:lineRule="exact"/>
        <w:rPr>
          <w:rFonts w:ascii="Arial" w:cs="Arial" w:eastAsia="Arial" w:hAnsi="Arial"/>
          <w:sz w:val="28"/>
          <w:szCs w:val="28"/>
          <w:b w:val="1"/>
          <w:bCs w:val="1"/>
          <w:color w:val="00AFB7"/>
          <w:vertAlign w:val="subscript"/>
        </w:rPr>
      </w:pPr>
    </w:p>
    <w:p>
      <w:pPr>
        <w:ind w:left="144" w:right="120" w:hanging="144"/>
        <w:spacing w:after="0" w:line="217" w:lineRule="auto"/>
        <w:tabs>
          <w:tab w:leader="none" w:pos="144" w:val="left"/>
        </w:tabs>
        <w:numPr>
          <w:ilvl w:val="0"/>
          <w:numId w:val="2"/>
        </w:numPr>
        <w:rPr>
          <w:rFonts w:ascii="Arial" w:cs="Arial" w:eastAsia="Arial" w:hAnsi="Arial"/>
          <w:sz w:val="38"/>
          <w:szCs w:val="38"/>
          <w:b w:val="1"/>
          <w:bCs w:val="1"/>
          <w:color w:val="00AFB7"/>
          <w:vertAlign w:val="subscript"/>
        </w:rPr>
      </w:pPr>
      <w:r>
        <w:rPr>
          <w:rFonts w:ascii="Arial" w:cs="Arial" w:eastAsia="Arial" w:hAnsi="Arial"/>
          <w:sz w:val="14"/>
          <w:szCs w:val="14"/>
          <w:color w:val="auto"/>
        </w:rPr>
        <w:t>The 2020 Research and Development (R&amp;D) tax incentive claim of $8,533,123 was received from the Australian Tax Office during October 2020. A benefit of $3,522,832 (31 December 2019: $3,845,192) has been recognised in relation to the R&amp;D tax incentive in the current period and included in current tax assets;</w:t>
      </w:r>
    </w:p>
    <w:p>
      <w:pPr>
        <w:spacing w:after="0" w:line="18" w:lineRule="exact"/>
        <w:rPr>
          <w:rFonts w:ascii="Arial" w:cs="Arial" w:eastAsia="Arial" w:hAnsi="Arial"/>
          <w:sz w:val="38"/>
          <w:szCs w:val="38"/>
          <w:b w:val="1"/>
          <w:bCs w:val="1"/>
          <w:color w:val="00AFB7"/>
          <w:vertAlign w:val="subscript"/>
        </w:rPr>
      </w:pPr>
    </w:p>
    <w:p>
      <w:pPr>
        <w:ind w:left="144" w:right="100" w:hanging="144"/>
        <w:spacing w:after="0" w:line="180" w:lineRule="auto"/>
        <w:tabs>
          <w:tab w:leader="none" w:pos="144" w:val="left"/>
        </w:tabs>
        <w:numPr>
          <w:ilvl w:val="0"/>
          <w:numId w:val="2"/>
        </w:numPr>
        <w:rPr>
          <w:rFonts w:ascii="Arial" w:cs="Arial" w:eastAsia="Arial" w:hAnsi="Arial"/>
          <w:sz w:val="40"/>
          <w:szCs w:val="40"/>
          <w:b w:val="1"/>
          <w:bCs w:val="1"/>
          <w:color w:val="00AFB7"/>
          <w:vertAlign w:val="subscript"/>
        </w:rPr>
      </w:pPr>
      <w:r>
        <w:rPr>
          <w:rFonts w:ascii="Arial" w:cs="Arial" w:eastAsia="Arial" w:hAnsi="Arial"/>
          <w:sz w:val="15"/>
          <w:szCs w:val="15"/>
          <w:color w:val="auto"/>
        </w:rPr>
        <w:t>During the half year to 31 December 2020, 68,506,400 (31 December 2019: 18,867,930) new shares were issued in a US initial public offering (IPO) and NASDAQ listing, increasing contributed equity by $148,623,205 (31 December 2019: $48,722,444). The Company also issued 7,493,600 pre-funded warrants in the IPO, increasing contributed equity by $16,268,932; and</w:t>
      </w:r>
    </w:p>
    <w:p>
      <w:pPr>
        <w:spacing w:after="0" w:line="20" w:lineRule="exact"/>
        <w:rPr>
          <w:rFonts w:ascii="Arial" w:cs="Arial" w:eastAsia="Arial" w:hAnsi="Arial"/>
          <w:sz w:val="40"/>
          <w:szCs w:val="40"/>
          <w:b w:val="1"/>
          <w:bCs w:val="1"/>
          <w:color w:val="00AFB7"/>
          <w:vertAlign w:val="subscript"/>
        </w:rPr>
      </w:pPr>
    </w:p>
    <w:p>
      <w:pPr>
        <w:ind w:left="144" w:hanging="144"/>
        <w:spacing w:after="0" w:line="180" w:lineRule="auto"/>
        <w:tabs>
          <w:tab w:leader="none" w:pos="144" w:val="left"/>
        </w:tabs>
        <w:numPr>
          <w:ilvl w:val="0"/>
          <w:numId w:val="2"/>
        </w:numPr>
        <w:rPr>
          <w:rFonts w:ascii="Arial" w:cs="Arial" w:eastAsia="Arial" w:hAnsi="Arial"/>
          <w:sz w:val="28"/>
          <w:szCs w:val="28"/>
          <w:b w:val="1"/>
          <w:bCs w:val="1"/>
          <w:color w:val="00AFB7"/>
          <w:vertAlign w:val="subscript"/>
        </w:rPr>
      </w:pPr>
      <w:r>
        <w:rPr>
          <w:rFonts w:ascii="Arial" w:cs="Arial" w:eastAsia="Arial" w:hAnsi="Arial"/>
          <w:sz w:val="12"/>
          <w:szCs w:val="12"/>
          <w:color w:val="auto"/>
        </w:rPr>
        <w:t>As at 31 December 2020, the Net Tangible Asset backing per share was 59 cents (30 June 2020: 24 cents).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00AFB7"/>
        </w:rPr>
        <w:t>Opthea: Company Overview</w:t>
      </w:r>
    </w:p>
    <w:p>
      <w:pPr>
        <w:spacing w:after="0" w:line="89" w:lineRule="exact"/>
        <w:rPr>
          <w:sz w:val="20"/>
          <w:szCs w:val="20"/>
          <w:color w:val="auto"/>
        </w:rPr>
      </w:pPr>
    </w:p>
    <w:p>
      <w:pPr>
        <w:ind w:right="160"/>
        <w:spacing w:after="0" w:line="235" w:lineRule="auto"/>
        <w:rPr>
          <w:sz w:val="20"/>
          <w:szCs w:val="20"/>
          <w:color w:val="auto"/>
        </w:rPr>
      </w:pPr>
      <w:r>
        <w:rPr>
          <w:rFonts w:ascii="Arial" w:cs="Arial" w:eastAsia="Arial" w:hAnsi="Arial"/>
          <w:sz w:val="15"/>
          <w:szCs w:val="15"/>
          <w:color w:val="auto"/>
        </w:rPr>
        <w:t>Opthea is committed to the development of new therapies for the treatment of serious eye diseases that affect the back-of-the-eye, or retina, and lead to vision loss.</w:t>
      </w:r>
    </w:p>
    <w:p>
      <w:pPr>
        <w:spacing w:after="0" w:line="87" w:lineRule="exact"/>
        <w:rPr>
          <w:sz w:val="20"/>
          <w:szCs w:val="20"/>
          <w:color w:val="auto"/>
        </w:rPr>
      </w:pPr>
    </w:p>
    <w:p>
      <w:pPr>
        <w:ind w:right="80"/>
        <w:spacing w:after="0" w:line="228" w:lineRule="auto"/>
        <w:rPr>
          <w:sz w:val="20"/>
          <w:szCs w:val="20"/>
          <w:color w:val="auto"/>
        </w:rPr>
      </w:pPr>
      <w:r>
        <w:rPr>
          <w:rFonts w:ascii="Arial" w:cs="Arial" w:eastAsia="Arial" w:hAnsi="Arial"/>
          <w:sz w:val="15"/>
          <w:szCs w:val="15"/>
          <w:color w:val="auto"/>
        </w:rPr>
        <w:t>Wet (neovascular) age-related macular degeneration (wet AMD) is a progressive, chronic disease of the central retina and in developed nations, is the leading cause of visual impairment in the elderly. Wet AMD is associated with blood vessel dysfunction and proliferation in the macula, a region of the retina which is needed for sharp, central vision. New blood vessels break through layers of the retinal tissue, leaking fluid, lipids and blood, leading to fibrous scarring and loss of vision. Vision loss associated with wet AMD can be rapid and is generally severe, impacting patient independence and contributing to significant healthcare and economic costs worldwide.</w:t>
      </w:r>
    </w:p>
    <w:p>
      <w:pPr>
        <w:spacing w:after="0" w:line="91" w:lineRule="exact"/>
        <w:rPr>
          <w:sz w:val="20"/>
          <w:szCs w:val="20"/>
          <w:color w:val="auto"/>
        </w:rPr>
      </w:pPr>
    </w:p>
    <w:p>
      <w:pPr>
        <w:ind w:right="40"/>
        <w:spacing w:after="0" w:line="228" w:lineRule="auto"/>
        <w:rPr>
          <w:sz w:val="20"/>
          <w:szCs w:val="20"/>
          <w:color w:val="auto"/>
        </w:rPr>
      </w:pPr>
      <w:r>
        <w:rPr>
          <w:rFonts w:ascii="Arial" w:cs="Arial" w:eastAsia="Arial" w:hAnsi="Arial"/>
          <w:sz w:val="15"/>
          <w:szCs w:val="15"/>
          <w:color w:val="auto"/>
        </w:rPr>
        <w:t>Although the underlying cause and biology of wet AMD is complex, inhibition of vascular endothelial growth factor-A, or VEGF-A, has been shown to play an important role in the growth and leakage of vessels associated with the disease, and inhibitors of VEGF-A are now standard of care treatments for wet AMD. The VEGF-A inhibitors ranibizumab (Lucentis</w:t>
      </w:r>
      <w:r>
        <w:rPr>
          <w:rFonts w:ascii="Arial" w:cs="Arial" w:eastAsia="Arial" w:hAnsi="Arial"/>
          <w:sz w:val="13"/>
          <w:szCs w:val="13"/>
          <w:color w:val="auto"/>
        </w:rPr>
        <w:t>®</w:t>
      </w:r>
      <w:r>
        <w:rPr>
          <w:rFonts w:ascii="Arial" w:cs="Arial" w:eastAsia="Arial" w:hAnsi="Arial"/>
          <w:sz w:val="15"/>
          <w:szCs w:val="15"/>
          <w:color w:val="auto"/>
        </w:rPr>
        <w:t>) and aflibercept (Eylea</w:t>
      </w:r>
      <w:r>
        <w:rPr>
          <w:rFonts w:ascii="Arial" w:cs="Arial" w:eastAsia="Arial" w:hAnsi="Arial"/>
          <w:sz w:val="13"/>
          <w:szCs w:val="13"/>
          <w:color w:val="auto"/>
        </w:rPr>
        <w:t>®</w:t>
      </w:r>
      <w:r>
        <w:rPr>
          <w:rFonts w:ascii="Arial" w:cs="Arial" w:eastAsia="Arial" w:hAnsi="Arial"/>
          <w:sz w:val="15"/>
          <w:szCs w:val="15"/>
          <w:color w:val="auto"/>
        </w:rPr>
        <w:t>), approved for the treatment of wet AMD, together generated revenues in excess of 11 billion USD in 2019. Such commercial success reflects the widespread use of the VEGF-A inhibitor class of therapies and the importance that physicians and patients alike attribute to the preservation and improvement of visual acuity for quality of life.</w:t>
      </w:r>
    </w:p>
    <w:p>
      <w:pPr>
        <w:spacing w:after="0" w:line="89"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However, despite many patients experiencing gains or stabilisation of vision, at least 45% of patients with wet AMD exhibit a suboptimal response to therapies that selectively target VEGF-A. As such, there remains a very large commercial opportunity for novel therapies that address the unmet medical need for patients who have further room for improvement in visual acuity despite regular administration of currently available therapies.</w:t>
      </w:r>
    </w:p>
    <w:p>
      <w:pPr>
        <w:sectPr>
          <w:pgSz w:w="11900" w:h="16838" w:orient="portrait"/>
          <w:cols w:equalWidth="0" w:num="2">
            <w:col w:w="5244" w:space="380"/>
            <w:col w:w="5400"/>
          </w:cols>
          <w:pgMar w:left="436" w:top="644" w:right="439" w:bottom="1440" w:gutter="0" w:footer="0" w:header="0"/>
          <w:type w:val="continuous"/>
        </w:sectPr>
      </w:pPr>
    </w:p>
    <w:bookmarkStart w:id="9" w:name="page10"/>
    <w:bookmarkEnd w:id="9"/>
    <w:p>
      <w:pPr>
        <w:ind w:left="960"/>
        <w:spacing w:after="0"/>
        <w:rPr>
          <w:sz w:val="20"/>
          <w:szCs w:val="20"/>
          <w:color w:val="auto"/>
        </w:rPr>
      </w:pPr>
      <w:r>
        <w:rPr>
          <w:rFonts w:ascii="Arial" w:cs="Arial" w:eastAsia="Arial" w:hAnsi="Arial"/>
          <w:sz w:val="13"/>
          <w:szCs w:val="13"/>
          <w:color w:val="00AFB7"/>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49720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205" cy="8572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36"/>
          <w:szCs w:val="36"/>
          <w:color w:val="00AFB7"/>
        </w:rPr>
        <w:t xml:space="preserve">DIRECTORS’ REPORT </w:t>
      </w:r>
      <w:r>
        <w:rPr>
          <w:rFonts w:ascii="Arial" w:cs="Arial" w:eastAsia="Arial" w:hAnsi="Arial"/>
          <w:sz w:val="23"/>
          <w:szCs w:val="23"/>
          <w:color w:val="00AFB7"/>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00AFB7"/>
        </w:rPr>
        <w:t>OPT-302: Opthea’s Phase 3 ready candidate for the treatment of Wet AMD</w:t>
      </w:r>
    </w:p>
    <w:p>
      <w:pPr>
        <w:spacing w:after="0" w:line="62" w:lineRule="exact"/>
        <w:rPr>
          <w:sz w:val="20"/>
          <w:szCs w:val="20"/>
          <w:color w:val="auto"/>
        </w:rPr>
      </w:pPr>
    </w:p>
    <w:p>
      <w:pPr>
        <w:ind w:right="160"/>
        <w:spacing w:after="0" w:line="233" w:lineRule="auto"/>
        <w:rPr>
          <w:sz w:val="20"/>
          <w:szCs w:val="20"/>
          <w:color w:val="auto"/>
        </w:rPr>
      </w:pPr>
      <w:r>
        <w:rPr>
          <w:rFonts w:ascii="Arial" w:cs="Arial" w:eastAsia="Arial" w:hAnsi="Arial"/>
          <w:sz w:val="15"/>
          <w:szCs w:val="15"/>
          <w:color w:val="auto"/>
        </w:rPr>
        <w:t>Approved therapies for wet AMD block VEGF-A, whereas OPT-302 targets alternative members of the VEGF family of proteins, namely VEGF-C and VEGF-D, that also stimulate blood vessel growth and vascular leakage and are implicated in the progression of retinal diseases.</w:t>
      </w:r>
    </w:p>
    <w:p>
      <w:pPr>
        <w:spacing w:after="0" w:line="86" w:lineRule="exact"/>
        <w:rPr>
          <w:sz w:val="20"/>
          <w:szCs w:val="20"/>
          <w:color w:val="auto"/>
        </w:rPr>
      </w:pPr>
    </w:p>
    <w:p>
      <w:pPr>
        <w:ind w:right="40"/>
        <w:spacing w:after="0" w:line="228" w:lineRule="auto"/>
        <w:rPr>
          <w:sz w:val="20"/>
          <w:szCs w:val="20"/>
          <w:color w:val="auto"/>
        </w:rPr>
      </w:pPr>
      <w:r>
        <w:rPr>
          <w:rFonts w:ascii="Arial" w:cs="Arial" w:eastAsia="Arial" w:hAnsi="Arial"/>
          <w:sz w:val="15"/>
          <w:szCs w:val="15"/>
          <w:color w:val="auto"/>
        </w:rPr>
        <w:t>Opthea is developing OPT-302 as a complementary treatment to be used in conjunction with VEGF-A inhibitors for the treatment of wet AMD and other retinal diseases. By combining administration of OPT-302 with a VEGF-A inhibitor, broader blockade of important signalling pathways that contribute to the pathophysiology of retinal diseases can be achieved, which may improve visual acuity and retinal swelling in patients. In addition, inhibition of VEGF-A results in compensatory upregulation of VEGF-C and VEGF-D that may limit the efficacy of selective VEGF-A inhibitors. OPT-302 blocks this mechanism of resistance to existing therapies which may then result in improved and more durable clinical responses.</w:t>
      </w:r>
    </w:p>
    <w:p>
      <w:pPr>
        <w:spacing w:after="0" w:line="89"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Opthea’s lead product candidate OPT-302 is well-differentiated with a key objective to improve clinical efficacy and the potential to also produce more sustained, durable clinical outcomes for patients. The majority of agents currently in clinical development are seeking to reduce the frequency of patient treatments, rather than provide superior vision gains for those affected by retinal diseases.</w:t>
      </w:r>
    </w:p>
    <w:p>
      <w:pPr>
        <w:spacing w:after="0" w:line="48" w:lineRule="exact"/>
        <w:rPr>
          <w:sz w:val="20"/>
          <w:szCs w:val="20"/>
          <w:color w:val="auto"/>
        </w:rPr>
      </w:pPr>
    </w:p>
    <w:p>
      <w:pPr>
        <w:ind w:right="180"/>
        <w:spacing w:after="0" w:line="231" w:lineRule="auto"/>
        <w:rPr>
          <w:sz w:val="20"/>
          <w:szCs w:val="20"/>
          <w:color w:val="auto"/>
        </w:rPr>
      </w:pPr>
      <w:r>
        <w:rPr>
          <w:rFonts w:ascii="Arial" w:cs="Arial" w:eastAsia="Arial" w:hAnsi="Arial"/>
          <w:sz w:val="15"/>
          <w:szCs w:val="15"/>
          <w:color w:val="auto"/>
        </w:rPr>
        <w:t>With a scarcity of combination therapies in development that may offer improved outcomes for retinal disease patients, and with positive Phase 2b data in wet AMD, OPT-302 is a promising drug candidate with large commercial potential as it advances into the final stage of clinical development, Phase 3 pivotal studies.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OPERATIONAL UPDATE</w:t>
      </w:r>
    </w:p>
    <w:p>
      <w:pPr>
        <w:spacing w:after="0" w:line="123" w:lineRule="exact"/>
        <w:rPr>
          <w:sz w:val="20"/>
          <w:szCs w:val="20"/>
          <w:color w:val="auto"/>
        </w:rPr>
      </w:pPr>
    </w:p>
    <w:p>
      <w:pPr>
        <w:ind w:right="140"/>
        <w:spacing w:after="0" w:line="242" w:lineRule="auto"/>
        <w:rPr>
          <w:sz w:val="20"/>
          <w:szCs w:val="20"/>
          <w:color w:val="auto"/>
        </w:rPr>
      </w:pPr>
      <w:r>
        <w:rPr>
          <w:rFonts w:ascii="Arial" w:cs="Arial" w:eastAsia="Arial" w:hAnsi="Arial"/>
          <w:sz w:val="15"/>
          <w:szCs w:val="15"/>
          <w:color w:val="auto"/>
        </w:rPr>
        <w:t>Despite the challenges posed by the events of 2020, for Opthea Limited the past 6 months has been one of scientific and financial validation.</w:t>
      </w:r>
    </w:p>
    <w:p>
      <w:pPr>
        <w:spacing w:after="0" w:line="84" w:lineRule="exact"/>
        <w:rPr>
          <w:sz w:val="20"/>
          <w:szCs w:val="20"/>
          <w:color w:val="auto"/>
        </w:rPr>
      </w:pPr>
    </w:p>
    <w:p>
      <w:pPr>
        <w:ind w:right="20"/>
        <w:spacing w:after="0"/>
        <w:rPr>
          <w:sz w:val="20"/>
          <w:szCs w:val="20"/>
          <w:color w:val="auto"/>
        </w:rPr>
      </w:pPr>
      <w:r>
        <w:rPr>
          <w:rFonts w:ascii="Arial" w:cs="Arial" w:eastAsia="Arial" w:hAnsi="Arial"/>
          <w:sz w:val="15"/>
          <w:szCs w:val="15"/>
          <w:color w:val="auto"/>
        </w:rPr>
        <w:t>In respect of our science, the company successfully completed End-of-Phase 2 meetings with the U.S. Food and Drug Administration (FDA), and a Scientific Advice meeting with the European Medicines Agency (EMA). The regulatory engagement provided Opthea with guidance on our Phase 3 clinical program for OPT-302 in wet AMD and a clear regulatory pathway to support filing for marketing approvals in the US and Europe. Following the agreement by the FDA and EMA on key aspects of the proposed Phase 3 clinical trial designs, the design of two concurrent, global, multicentre, randomised, sham-controlled trials evaluating OPT-302 in combination with either ranibizumab (the ShORe trial) or aflibercept (the COAST trial), were finalised.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ShORe and COAST will enrol treatment-naïve patients and assess the efficacy and safety of 2.0 mg of OPT-302 in combination with ranibizumab or aflibercept, compared to ranibizumab or aflibercept monotherapy in each respective trial. In addition, to understand the durability of OPT-302 treatment effect with less frequent dosing, each trial will compare the clinical efficacy of OPT-302 administered in combination with the applicable VEGF-A inhibitor on an every four-week and every eight-week dosing regimen. The ShORe and COAST Phase 3 trials build upon and maintain key features of our successful Phase 2b clinical trial of OPT-302 combination therapy for the treatment of wet AMD, while evaluating the administration of OPT-302 combination therapy over a longer treatment period and in a greater number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-2804795</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68" w:lineRule="exact"/>
        <w:rPr>
          <w:sz w:val="20"/>
          <w:szCs w:val="20"/>
          <w:color w:val="auto"/>
        </w:rPr>
      </w:pPr>
    </w:p>
    <w:p>
      <w:pPr>
        <w:ind w:right="40"/>
        <w:spacing w:after="0" w:line="231" w:lineRule="auto"/>
        <w:rPr>
          <w:sz w:val="20"/>
          <w:szCs w:val="20"/>
          <w:color w:val="auto"/>
        </w:rPr>
      </w:pPr>
      <w:r>
        <w:rPr>
          <w:rFonts w:ascii="Arial" w:cs="Arial" w:eastAsia="Arial" w:hAnsi="Arial"/>
          <w:sz w:val="15"/>
          <w:szCs w:val="15"/>
          <w:color w:val="auto"/>
        </w:rPr>
        <w:t>Patient recruitment in the Phase 3 trials is on-track to initiate in the 1Q CY 2021 and topline data is expected in CY 2023. If the topline results at the completion of the primary efficacy phase are favourable, we intend to file for marketing approval for OPT-302 for the treatment of wet AMD in the United States, European Union and other territories.</w:t>
      </w:r>
    </w:p>
    <w:p>
      <w:pPr>
        <w:spacing w:after="0" w:line="88" w:lineRule="exact"/>
        <w:rPr>
          <w:sz w:val="20"/>
          <w:szCs w:val="20"/>
          <w:color w:val="auto"/>
        </w:rPr>
      </w:pPr>
    </w:p>
    <w:p>
      <w:pPr>
        <w:ind w:right="60"/>
        <w:spacing w:after="0" w:line="230" w:lineRule="auto"/>
        <w:rPr>
          <w:sz w:val="20"/>
          <w:szCs w:val="20"/>
          <w:color w:val="auto"/>
        </w:rPr>
      </w:pPr>
      <w:r>
        <w:rPr>
          <w:rFonts w:ascii="Arial" w:cs="Arial" w:eastAsia="Arial" w:hAnsi="Arial"/>
          <w:sz w:val="15"/>
          <w:szCs w:val="15"/>
          <w:color w:val="auto"/>
        </w:rPr>
        <w:t>Further validating Opthea’s scientific approach with OPT-302, we reported data in June 2020 from the company’s Phase 2a trial of OPT-302 in a second ophthalmic disease indication, diabetic macular edema (DME). DME is a complication of diabetic retinopathy, a condition caused by chronically elevated glucose levels in diabetics that damages the retina. DME can cause blurred vision, severe vision loss and blindness.</w:t>
      </w:r>
    </w:p>
    <w:p>
      <w:pPr>
        <w:spacing w:after="0" w:line="88"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In our Phase 1b/2a clinical trial of OPT-302 in combination with aflibercept in patients with treatment-refractory DME, we observed evidence of improved clinical outcomes following OPT-302 combination therapy. This data builds on the company’s successful Phase 1/2a and Phase 2b clinical trials in wet AMD and our conviction that OPT-302 has the potential to deliver therapeutic benefit in DME patients. Of relevance to our Phase 3 COAST trial, our DME trial results informed the safety profile of OPT-302 in combination with aflibercept. Opthea now has extensive clinical dosing experience with OPT-302 in approximately 400 patients, across three international clinical studies in two disease indications and in combination with the two leading standard of care VEGF-A inhibitors ranibizumab or aflibercept.</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In the financial sphere, in October 2020 Opthea raised net proceeds of $164.9 million equity capital in a US initial public offering (IPO) and NASDAQ listing supported by Australian, US and UK based institutional investors. Opthea is now dual listed on the ASX and NASDAQ where its American Depositary Shares (ADS) are listed at a ratio of 8 ordinary shares to one ADS. The proceeds of the financing will primarily be used to progress OPT-302 into the Phase 3 clinical program and to develop a co formulation of OPT-302 with a biosimilar anti-VEGF-A therapy. We believe that a co-formulated OPT-302 and VEGF-A inhibitor product has the potential to be a market-leading treatment for wet AMD that offers the convenience of a single-injection to achieve broader inhibition of the VEGF signalling pathway, including VEGF-A, VEGF-C and VEGF-D.</w:t>
      </w:r>
    </w:p>
    <w:p>
      <w:pPr>
        <w:sectPr>
          <w:pgSz w:w="11900" w:h="16838" w:orient="portrait"/>
          <w:cols w:equalWidth="0" w:num="2">
            <w:col w:w="5240" w:space="380"/>
            <w:col w:w="5400"/>
          </w:cols>
          <w:pgMar w:left="440" w:top="282" w:right="439" w:bottom="1440" w:gutter="0" w:footer="0" w:header="0"/>
        </w:sectPr>
      </w:pPr>
    </w:p>
    <w:bookmarkStart w:id="10" w:name="page11"/>
    <w:bookmarkEnd w:id="10"/>
    <w:tbl>
      <w:tblPr>
        <w:tblLayout w:type="fixed"/>
        <w:tblInd w:w="360" w:type="dxa"/>
        <w:tblCellMar>
          <w:top w:w="0" w:type="dxa"/>
          <w:left w:w="0" w:type="dxa"/>
          <w:bottom w:w="0" w:type="dxa"/>
          <w:right w:w="0" w:type="dxa"/>
        </w:tblCellMar>
      </w:tblPr>
      <w:tr>
        <w:trPr>
          <w:trHeight w:val="168"/>
        </w:trPr>
        <w:tc>
          <w:tcPr>
            <w:tcW w:w="8600" w:type="dxa"/>
            <w:vAlign w:val="bottom"/>
          </w:tcPr>
          <w:p>
            <w:pPr>
              <w:spacing w:after="0"/>
              <w:rPr>
                <w:sz w:val="20"/>
                <w:szCs w:val="20"/>
                <w:color w:val="auto"/>
              </w:rPr>
            </w:pPr>
            <w:r>
              <w:rPr>
                <w:rFonts w:ascii="Arial" w:cs="Arial" w:eastAsia="Arial" w:hAnsi="Arial"/>
                <w:sz w:val="13"/>
                <w:szCs w:val="13"/>
                <w:b w:val="1"/>
                <w:bCs w:val="1"/>
                <w:color w:val="00AFB7"/>
              </w:rPr>
              <w:t xml:space="preserve">O p t h e a   </w:t>
            </w:r>
            <w:r>
              <w:rPr>
                <w:rFonts w:ascii="Arial" w:cs="Arial" w:eastAsia="Arial" w:hAnsi="Arial"/>
                <w:sz w:val="13"/>
                <w:szCs w:val="13"/>
                <w:color w:val="00AFB7"/>
              </w:rPr>
              <w:t>|   H A L F Y E A R R E P O R T F O R T H E H A L F - Y E A R E N D E D 3 1 D E C E M B E R 2 0 2 0</w:t>
            </w:r>
          </w:p>
        </w:tc>
        <w:tc>
          <w:tcPr>
            <w:tcW w:w="1800" w:type="dxa"/>
            <w:vAlign w:val="bottom"/>
          </w:tcPr>
          <w:p>
            <w:pPr>
              <w:jc w:val="right"/>
              <w:spacing w:after="0"/>
              <w:rPr>
                <w:sz w:val="20"/>
                <w:szCs w:val="20"/>
                <w:color w:val="auto"/>
              </w:rPr>
            </w:pPr>
            <w:r>
              <w:rPr>
                <w:rFonts w:ascii="Arial" w:cs="Arial" w:eastAsia="Arial" w:hAnsi="Arial"/>
                <w:sz w:val="13"/>
                <w:szCs w:val="13"/>
                <w:color w:val="00AFB7"/>
              </w:rPr>
              <w:t>3</w:t>
            </w:r>
          </w:p>
        </w:tc>
      </w:tr>
    </w:tbl>
    <w:p>
      <w:pPr>
        <w:jc w:val="right"/>
        <w:spacing w:after="0"/>
        <w:rPr>
          <w:sz w:val="20"/>
          <w:szCs w:val="20"/>
          <w:color w:val="auto"/>
        </w:rPr>
        <w:sectPr>
          <w:pgSz w:w="11900" w:h="16838" w:orient="portrait"/>
          <w:cols w:equalWidth="0" w:num="1">
            <w:col w:w="10980"/>
          </w:cols>
          <w:pgMar w:left="440" w:top="644" w:right="4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183515</wp:posOffset>
            </wp:positionV>
            <wp:extent cx="17145" cy="334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 cy="33401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20"/>
        <w:spacing w:after="0"/>
        <w:rPr>
          <w:sz w:val="20"/>
          <w:szCs w:val="20"/>
          <w:color w:val="auto"/>
        </w:rPr>
      </w:pPr>
      <w:r>
        <w:rPr>
          <w:rFonts w:ascii="Arial" w:cs="Arial" w:eastAsia="Arial" w:hAnsi="Arial"/>
          <w:sz w:val="15"/>
          <w:szCs w:val="15"/>
          <w:color w:val="auto"/>
        </w:rPr>
        <w:t>To facilitate the progression of Opthea’s clinical development program, Opthea has entered into research and development contracts with various third parties, including global contract manufacturing and contract research organisations to provide services for the manufacture of OPT-302 and conduct of clinical trials. These activities and forecast expenditure in note 14 (page 15) are consistent with planned use-of-proceeds from the October 2020 IPO and NASDAQ listing, as disclosed at that time. We continue to evaluate our capital requirements based on assumed activities and forecast expenditures.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INTELLECTUAL PROPERTY</w:t>
      </w:r>
    </w:p>
    <w:p>
      <w:pPr>
        <w:spacing w:after="0" w:line="123"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Opthea owns a patent family covering the OPT-302 molecule, and uses thereof, extending out to February 2034. This patent has been filed in 19 jurisdictions and has already granted in the United States, Europe (validated in 38 countries), Japan, Canada, Israel, Australia, New Zealand, Malaysia, Indonesia, Singapore, Mexico, South Africa, Colombia and Russia. The patent application has been accepted for grant in South Korea, and is currently pending in China, Brazil, India and the Philippines.</w:t>
      </w:r>
    </w:p>
    <w:p>
      <w:pPr>
        <w:spacing w:after="0" w:line="90"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The United States patent, which granted in August 2017, includes broad claims to the OPT-302 molecule, and analogues thereof, and their use to treat disorders involving neovascularisation, including eye diseases such as wet AMD and DME. In the United States, Opthea has another granted patent relating to soluble VEGFR-3 molecules which includes composition of matter claims to soluble VEGFR-3 molecules (such as OPT -302) and extends out to November 2026.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IMPACT OF COVID-19</w:t>
      </w:r>
    </w:p>
    <w:p>
      <w:pPr>
        <w:spacing w:after="0" w:line="123" w:lineRule="exact"/>
        <w:rPr>
          <w:sz w:val="20"/>
          <w:szCs w:val="20"/>
          <w:color w:val="auto"/>
        </w:rPr>
      </w:pPr>
    </w:p>
    <w:p>
      <w:pPr>
        <w:ind w:right="20"/>
        <w:spacing w:after="0" w:line="228" w:lineRule="auto"/>
        <w:rPr>
          <w:sz w:val="20"/>
          <w:szCs w:val="20"/>
          <w:color w:val="auto"/>
        </w:rPr>
      </w:pPr>
      <w:r>
        <w:rPr>
          <w:rFonts w:ascii="Arial" w:cs="Arial" w:eastAsia="Arial" w:hAnsi="Arial"/>
          <w:sz w:val="15"/>
          <w:szCs w:val="15"/>
          <w:color w:val="auto"/>
        </w:rPr>
        <w:t>We are closely monitoring how the COVID-19 situation is affecting our employees, business, preclinical studies and clinical trials. In response to the COVID-19 pandemic, all of our employees have transitioned to working remotely and travel has been restricted. Although operations to date have not been materially affected by the COVID-19 pandemic, at this time, there is significant uncertainty relating to the trajectory of the pandemic. The impact of related responses and disruptions caused by the COVID-19 pandemic may result in difficulties or delays in initiating, enrolling, conducting or completing future clinical trials and the Company incurring unforeseen costs as a result of disruptions in clinical supply or clinical trial delays.</w:t>
      </w:r>
    </w:p>
    <w:p>
      <w:pPr>
        <w:spacing w:after="0" w:line="89" w:lineRule="exact"/>
        <w:rPr>
          <w:sz w:val="20"/>
          <w:szCs w:val="20"/>
          <w:color w:val="auto"/>
        </w:rPr>
      </w:pPr>
    </w:p>
    <w:p>
      <w:pPr>
        <w:ind w:right="60"/>
        <w:spacing w:after="0" w:line="230" w:lineRule="auto"/>
        <w:rPr>
          <w:sz w:val="20"/>
          <w:szCs w:val="20"/>
          <w:color w:val="auto"/>
        </w:rPr>
      </w:pPr>
      <w:r>
        <w:rPr>
          <w:rFonts w:ascii="Arial" w:cs="Arial" w:eastAsia="Arial" w:hAnsi="Arial"/>
          <w:sz w:val="15"/>
          <w:szCs w:val="15"/>
          <w:color w:val="auto"/>
        </w:rPr>
        <w:t>The impact of COVID-19 on our future results will largely depend on future developments, which are highly uncertain and cannot be predicted with confidence, such as the ultimate geographic spread of the disease, the duration of the pandemic, travel restrictions and social distancing in Australia, the United States and other countries, business closures or business disruptions,</w:t>
      </w:r>
    </w:p>
    <w:p>
      <w:pPr>
        <w:spacing w:after="0" w:line="88" w:lineRule="exact"/>
        <w:rPr>
          <w:sz w:val="20"/>
          <w:szCs w:val="20"/>
          <w:color w:val="auto"/>
        </w:rPr>
      </w:pPr>
    </w:p>
    <w:p>
      <w:pPr>
        <w:ind w:right="60"/>
        <w:spacing w:after="0" w:line="235" w:lineRule="auto"/>
        <w:rPr>
          <w:sz w:val="20"/>
          <w:szCs w:val="20"/>
          <w:color w:val="auto"/>
        </w:rPr>
      </w:pPr>
      <w:r>
        <w:rPr>
          <w:rFonts w:ascii="Arial" w:cs="Arial" w:eastAsia="Arial" w:hAnsi="Arial"/>
          <w:sz w:val="15"/>
          <w:szCs w:val="15"/>
          <w:color w:val="auto"/>
        </w:rPr>
        <w:t>Management will continue to monitor potential impacts of the COVID-19 situation on Opthea and mitigate risks to clinical trial patients, employees and development timelines.</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20286D"/>
        </w:rPr>
        <w:t>FUTURE DEVELOPMENTS</w:t>
      </w:r>
    </w:p>
    <w:p>
      <w:pPr>
        <w:spacing w:after="0" w:line="123" w:lineRule="exact"/>
        <w:rPr>
          <w:sz w:val="20"/>
          <w:szCs w:val="20"/>
          <w:color w:val="auto"/>
        </w:rPr>
      </w:pPr>
    </w:p>
    <w:p>
      <w:pPr>
        <w:ind w:left="6" w:right="260"/>
        <w:spacing w:after="0" w:line="235" w:lineRule="auto"/>
        <w:rPr>
          <w:sz w:val="20"/>
          <w:szCs w:val="20"/>
          <w:color w:val="auto"/>
        </w:rPr>
      </w:pPr>
      <w:r>
        <w:rPr>
          <w:rFonts w:ascii="Arial" w:cs="Arial" w:eastAsia="Arial" w:hAnsi="Arial"/>
          <w:sz w:val="15"/>
          <w:szCs w:val="15"/>
          <w:color w:val="auto"/>
        </w:rPr>
        <w:t>Opthea continues to advance the clinical development of OPT-302 to key commercial milestones through the completion of manufacturing, regulatory engagement and planning for Phase 3 pivotal trials in wet AMD.</w:t>
      </w:r>
    </w:p>
    <w:p>
      <w:pPr>
        <w:spacing w:after="0" w:line="87"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key objectives of the Company over the next 12 months are to:</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00AFB7"/>
        </w:rPr>
        <w:t>wet AMD</w:t>
      </w:r>
    </w:p>
    <w:p>
      <w:pPr>
        <w:spacing w:after="0" w:line="141" w:lineRule="exact"/>
        <w:rPr>
          <w:sz w:val="20"/>
          <w:szCs w:val="20"/>
          <w:color w:val="auto"/>
        </w:rPr>
      </w:pPr>
    </w:p>
    <w:p>
      <w:pPr>
        <w:ind w:left="146" w:right="340" w:hanging="146"/>
        <w:spacing w:after="0"/>
        <w:tabs>
          <w:tab w:leader="none" w:pos="146" w:val="left"/>
        </w:tabs>
        <w:numPr>
          <w:ilvl w:val="0"/>
          <w:numId w:val="3"/>
        </w:numPr>
        <w:rPr>
          <w:rFonts w:ascii="Arial" w:cs="Arial" w:eastAsia="Arial" w:hAnsi="Arial"/>
          <w:sz w:val="28"/>
          <w:szCs w:val="28"/>
          <w:b w:val="1"/>
          <w:bCs w:val="1"/>
          <w:color w:val="00AFB7"/>
          <w:vertAlign w:val="subscript"/>
        </w:rPr>
      </w:pPr>
      <w:r>
        <w:rPr>
          <w:rFonts w:ascii="Arial" w:cs="Arial" w:eastAsia="Arial" w:hAnsi="Arial"/>
          <w:sz w:val="12"/>
          <w:szCs w:val="12"/>
          <w:color w:val="auto"/>
        </w:rPr>
        <w:t>Complete the manufacture of cGMP, clinical grade OPT-302 for Phase 3 clinical trials;</w:t>
      </w:r>
    </w:p>
    <w:p>
      <w:pPr>
        <w:spacing w:after="0" w:line="123" w:lineRule="exact"/>
        <w:rPr>
          <w:rFonts w:ascii="Arial" w:cs="Arial" w:eastAsia="Arial" w:hAnsi="Arial"/>
          <w:sz w:val="28"/>
          <w:szCs w:val="28"/>
          <w:b w:val="1"/>
          <w:bCs w:val="1"/>
          <w:color w:val="00AFB7"/>
          <w:vertAlign w:val="subscript"/>
        </w:rPr>
      </w:pPr>
    </w:p>
    <w:p>
      <w:pPr>
        <w:ind w:left="146" w:right="100" w:hanging="146"/>
        <w:spacing w:after="0"/>
        <w:tabs>
          <w:tab w:leader="none" w:pos="146" w:val="left"/>
        </w:tabs>
        <w:numPr>
          <w:ilvl w:val="0"/>
          <w:numId w:val="3"/>
        </w:numPr>
        <w:rPr>
          <w:rFonts w:ascii="Arial" w:cs="Arial" w:eastAsia="Arial" w:hAnsi="Arial"/>
          <w:sz w:val="28"/>
          <w:szCs w:val="28"/>
          <w:b w:val="1"/>
          <w:bCs w:val="1"/>
          <w:color w:val="00AFB7"/>
          <w:vertAlign w:val="subscript"/>
        </w:rPr>
      </w:pPr>
      <w:r>
        <w:rPr>
          <w:rFonts w:ascii="Arial" w:cs="Arial" w:eastAsia="Arial" w:hAnsi="Arial"/>
          <w:sz w:val="12"/>
          <w:szCs w:val="12"/>
          <w:color w:val="auto"/>
        </w:rPr>
        <w:t>Open Phase 3 ShORe and COAST clinical trial sites globally (USA, Europe, Asia Pacific);</w:t>
      </w:r>
    </w:p>
    <w:p>
      <w:pPr>
        <w:spacing w:after="0" w:line="123" w:lineRule="exact"/>
        <w:rPr>
          <w:rFonts w:ascii="Arial" w:cs="Arial" w:eastAsia="Arial" w:hAnsi="Arial"/>
          <w:sz w:val="28"/>
          <w:szCs w:val="28"/>
          <w:b w:val="1"/>
          <w:bCs w:val="1"/>
          <w:color w:val="00AFB7"/>
          <w:vertAlign w:val="subscript"/>
        </w:rPr>
      </w:pPr>
    </w:p>
    <w:p>
      <w:pPr>
        <w:ind w:left="146" w:right="120" w:hanging="146"/>
        <w:spacing w:after="0" w:line="219" w:lineRule="auto"/>
        <w:tabs>
          <w:tab w:leader="none" w:pos="146" w:val="left"/>
        </w:tabs>
        <w:numPr>
          <w:ilvl w:val="0"/>
          <w:numId w:val="3"/>
        </w:numPr>
        <w:rPr>
          <w:rFonts w:ascii="Arial" w:cs="Arial" w:eastAsia="Arial" w:hAnsi="Arial"/>
          <w:sz w:val="33"/>
          <w:szCs w:val="33"/>
          <w:b w:val="1"/>
          <w:bCs w:val="1"/>
          <w:color w:val="00AFB7"/>
          <w:vertAlign w:val="subscript"/>
        </w:rPr>
      </w:pPr>
      <w:r>
        <w:rPr>
          <w:rFonts w:ascii="Arial" w:cs="Arial" w:eastAsia="Arial" w:hAnsi="Arial"/>
          <w:sz w:val="13"/>
          <w:szCs w:val="13"/>
          <w:color w:val="auto"/>
        </w:rPr>
        <w:t>Commence patient recruitment into the company’s Phase 3 clinical trials for wet AMD;</w:t>
      </w:r>
    </w:p>
    <w:p>
      <w:pPr>
        <w:spacing w:after="0" w:line="99" w:lineRule="exact"/>
        <w:rPr>
          <w:rFonts w:ascii="Arial" w:cs="Arial" w:eastAsia="Arial" w:hAnsi="Arial"/>
          <w:sz w:val="33"/>
          <w:szCs w:val="33"/>
          <w:b w:val="1"/>
          <w:bCs w:val="1"/>
          <w:color w:val="00AFB7"/>
          <w:vertAlign w:val="subscript"/>
        </w:rPr>
      </w:pPr>
    </w:p>
    <w:p>
      <w:pPr>
        <w:ind w:left="146" w:right="420" w:hanging="146"/>
        <w:spacing w:after="0" w:line="180" w:lineRule="auto"/>
        <w:tabs>
          <w:tab w:leader="none" w:pos="146" w:val="left"/>
        </w:tabs>
        <w:numPr>
          <w:ilvl w:val="0"/>
          <w:numId w:val="3"/>
        </w:numPr>
        <w:rPr>
          <w:rFonts w:ascii="Arial" w:cs="Arial" w:eastAsia="Arial" w:hAnsi="Arial"/>
          <w:sz w:val="28"/>
          <w:szCs w:val="28"/>
          <w:b w:val="1"/>
          <w:bCs w:val="1"/>
          <w:color w:val="00AFB7"/>
          <w:vertAlign w:val="subscript"/>
        </w:rPr>
      </w:pPr>
      <w:r>
        <w:rPr>
          <w:rFonts w:ascii="Arial" w:cs="Arial" w:eastAsia="Arial" w:hAnsi="Arial"/>
          <w:sz w:val="12"/>
          <w:szCs w:val="12"/>
          <w:color w:val="auto"/>
        </w:rPr>
        <w:t>Progress development of a co-formulation of OPT-302 with a biosimilar VEGF-A inhibitor; and</w:t>
      </w:r>
    </w:p>
    <w:p>
      <w:pPr>
        <w:spacing w:after="0" w:line="1" w:lineRule="exact"/>
        <w:rPr>
          <w:rFonts w:ascii="Arial" w:cs="Arial" w:eastAsia="Arial" w:hAnsi="Arial"/>
          <w:sz w:val="28"/>
          <w:szCs w:val="28"/>
          <w:b w:val="1"/>
          <w:bCs w:val="1"/>
          <w:color w:val="00AFB7"/>
          <w:vertAlign w:val="subscript"/>
        </w:rPr>
      </w:pPr>
    </w:p>
    <w:p>
      <w:pPr>
        <w:ind w:left="146" w:hanging="146"/>
        <w:spacing w:after="0" w:line="184" w:lineRule="auto"/>
        <w:tabs>
          <w:tab w:leader="none" w:pos="146" w:val="left"/>
        </w:tabs>
        <w:numPr>
          <w:ilvl w:val="0"/>
          <w:numId w:val="3"/>
        </w:numPr>
        <w:rPr>
          <w:rFonts w:ascii="Arial" w:cs="Arial" w:eastAsia="Arial" w:hAnsi="Arial"/>
          <w:sz w:val="32"/>
          <w:szCs w:val="32"/>
          <w:b w:val="1"/>
          <w:bCs w:val="1"/>
          <w:color w:val="00AFB7"/>
          <w:vertAlign w:val="subscript"/>
        </w:rPr>
      </w:pPr>
      <w:r>
        <w:rPr>
          <w:rFonts w:ascii="Arial" w:cs="Arial" w:eastAsia="Arial" w:hAnsi="Arial"/>
          <w:sz w:val="13"/>
          <w:szCs w:val="13"/>
          <w:color w:val="auto"/>
        </w:rPr>
        <w:t>Publish outcomes of the Phase 2b wet AMD trial in a peer reviewed journal.</w:t>
      </w:r>
    </w:p>
    <w:p>
      <w:pPr>
        <w:spacing w:after="0" w:line="2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00AFB7"/>
        </w:rPr>
        <w:t>DME</w:t>
      </w:r>
    </w:p>
    <w:p>
      <w:pPr>
        <w:spacing w:after="0" w:line="141" w:lineRule="exact"/>
        <w:rPr>
          <w:sz w:val="20"/>
          <w:szCs w:val="20"/>
          <w:color w:val="auto"/>
        </w:rPr>
      </w:pPr>
    </w:p>
    <w:p>
      <w:pPr>
        <w:ind w:left="146" w:hanging="146"/>
        <w:spacing w:after="0" w:line="219" w:lineRule="auto"/>
        <w:tabs>
          <w:tab w:leader="none" w:pos="146" w:val="left"/>
        </w:tabs>
        <w:numPr>
          <w:ilvl w:val="0"/>
          <w:numId w:val="4"/>
        </w:numPr>
        <w:rPr>
          <w:rFonts w:ascii="Arial" w:cs="Arial" w:eastAsia="Arial" w:hAnsi="Arial"/>
          <w:sz w:val="33"/>
          <w:szCs w:val="33"/>
          <w:b w:val="1"/>
          <w:bCs w:val="1"/>
          <w:color w:val="00AFB7"/>
          <w:vertAlign w:val="subscript"/>
        </w:rPr>
      </w:pPr>
      <w:r>
        <w:rPr>
          <w:rFonts w:ascii="Arial" w:cs="Arial" w:eastAsia="Arial" w:hAnsi="Arial"/>
          <w:sz w:val="13"/>
          <w:szCs w:val="13"/>
          <w:color w:val="auto"/>
        </w:rPr>
        <w:t>Publish outcomes of the Phase 1b and Phase 2a DME trials in peer reviewed journals.</w:t>
      </w:r>
    </w:p>
    <w:p>
      <w:pPr>
        <w:spacing w:after="0" w:line="17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00AFB7"/>
        </w:rPr>
        <w:t>Corporate</w:t>
      </w:r>
    </w:p>
    <w:p>
      <w:pPr>
        <w:ind w:left="146" w:hanging="146"/>
        <w:spacing w:after="0" w:line="183" w:lineRule="auto"/>
        <w:tabs>
          <w:tab w:leader="none" w:pos="146" w:val="left"/>
        </w:tabs>
        <w:numPr>
          <w:ilvl w:val="0"/>
          <w:numId w:val="5"/>
        </w:numPr>
        <w:rPr>
          <w:rFonts w:ascii="Arial" w:cs="Arial" w:eastAsia="Arial" w:hAnsi="Arial"/>
          <w:sz w:val="37"/>
          <w:szCs w:val="37"/>
          <w:b w:val="1"/>
          <w:bCs w:val="1"/>
          <w:color w:val="00AFB7"/>
          <w:vertAlign w:val="subscript"/>
        </w:rPr>
      </w:pPr>
      <w:r>
        <w:rPr>
          <w:rFonts w:ascii="Arial" w:cs="Arial" w:eastAsia="Arial" w:hAnsi="Arial"/>
          <w:sz w:val="14"/>
          <w:szCs w:val="14"/>
          <w:color w:val="auto"/>
        </w:rPr>
        <w:t>Broaden Opthea’s geographical reach by establishing US-based operations;</w:t>
      </w:r>
    </w:p>
    <w:p>
      <w:pPr>
        <w:spacing w:after="0" w:line="181" w:lineRule="exact"/>
        <w:rPr>
          <w:rFonts w:ascii="Arial" w:cs="Arial" w:eastAsia="Arial" w:hAnsi="Arial"/>
          <w:sz w:val="37"/>
          <w:szCs w:val="37"/>
          <w:b w:val="1"/>
          <w:bCs w:val="1"/>
          <w:color w:val="00AFB7"/>
          <w:vertAlign w:val="subscript"/>
        </w:rPr>
      </w:pPr>
    </w:p>
    <w:p>
      <w:pPr>
        <w:ind w:left="146" w:right="100" w:hanging="146"/>
        <w:spacing w:after="0" w:line="180" w:lineRule="auto"/>
        <w:tabs>
          <w:tab w:leader="none" w:pos="146" w:val="left"/>
        </w:tabs>
        <w:numPr>
          <w:ilvl w:val="0"/>
          <w:numId w:val="5"/>
        </w:numPr>
        <w:rPr>
          <w:rFonts w:ascii="Arial" w:cs="Arial" w:eastAsia="Arial" w:hAnsi="Arial"/>
          <w:sz w:val="28"/>
          <w:szCs w:val="28"/>
          <w:b w:val="1"/>
          <w:bCs w:val="1"/>
          <w:color w:val="00AFB7"/>
          <w:vertAlign w:val="subscript"/>
        </w:rPr>
      </w:pPr>
      <w:r>
        <w:rPr>
          <w:rFonts w:ascii="Arial" w:cs="Arial" w:eastAsia="Arial" w:hAnsi="Arial"/>
          <w:sz w:val="12"/>
          <w:szCs w:val="12"/>
          <w:color w:val="auto"/>
        </w:rPr>
        <w:t>Ensure the global investment and pharmaceutical/biotechnology community is aware of the commercial potential inherent in OPT-302; and</w:t>
      </w:r>
    </w:p>
    <w:p>
      <w:pPr>
        <w:spacing w:after="0" w:line="100" w:lineRule="exact"/>
        <w:rPr>
          <w:rFonts w:ascii="Arial" w:cs="Arial" w:eastAsia="Arial" w:hAnsi="Arial"/>
          <w:sz w:val="28"/>
          <w:szCs w:val="28"/>
          <w:b w:val="1"/>
          <w:bCs w:val="1"/>
          <w:color w:val="00AFB7"/>
          <w:vertAlign w:val="subscript"/>
        </w:rPr>
      </w:pPr>
    </w:p>
    <w:p>
      <w:pPr>
        <w:ind w:left="146" w:right="140" w:hanging="146"/>
        <w:spacing w:after="0" w:line="182" w:lineRule="auto"/>
        <w:tabs>
          <w:tab w:leader="none" w:pos="146" w:val="left"/>
        </w:tabs>
        <w:numPr>
          <w:ilvl w:val="0"/>
          <w:numId w:val="5"/>
        </w:numPr>
        <w:rPr>
          <w:rFonts w:ascii="Arial" w:cs="Arial" w:eastAsia="Arial" w:hAnsi="Arial"/>
          <w:sz w:val="32"/>
          <w:szCs w:val="32"/>
          <w:b w:val="1"/>
          <w:bCs w:val="1"/>
          <w:color w:val="00AFB7"/>
          <w:vertAlign w:val="subscript"/>
        </w:rPr>
      </w:pPr>
      <w:r>
        <w:rPr>
          <w:rFonts w:ascii="Arial" w:cs="Arial" w:eastAsia="Arial" w:hAnsi="Arial"/>
          <w:sz w:val="13"/>
          <w:szCs w:val="13"/>
          <w:color w:val="auto"/>
        </w:rPr>
        <w:t>Prepare for various and all opportunities to advance further development of OPT-302 through investment out-reach and engagement with pharmaceutical/biotechnology companies in the sector.</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15"/>
          <w:szCs w:val="15"/>
          <w:color w:val="auto"/>
        </w:rPr>
        <w:t>On behalf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89535</wp:posOffset>
            </wp:positionV>
            <wp:extent cx="899795" cy="505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9979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Jeremy Levin</w:t>
      </w:r>
    </w:p>
    <w:p>
      <w:pPr>
        <w:spacing w:after="0" w:line="8" w:lineRule="exact"/>
        <w:rPr>
          <w:sz w:val="20"/>
          <w:szCs w:val="20"/>
          <w:color w:val="auto"/>
        </w:rPr>
      </w:pPr>
    </w:p>
    <w:p>
      <w:pPr>
        <w:ind w:left="6"/>
        <w:spacing w:after="0"/>
        <w:rPr>
          <w:sz w:val="20"/>
          <w:szCs w:val="20"/>
          <w:color w:val="auto"/>
        </w:rPr>
      </w:pPr>
      <w:r>
        <w:rPr>
          <w:rFonts w:ascii="Arial" w:cs="Arial" w:eastAsia="Arial" w:hAnsi="Arial"/>
          <w:sz w:val="15"/>
          <w:szCs w:val="15"/>
          <w:color w:val="auto"/>
        </w:rPr>
        <w:t>Chairman</w:t>
      </w:r>
    </w:p>
    <w:p>
      <w:pPr>
        <w:spacing w:after="0" w:line="87" w:lineRule="exact"/>
        <w:rPr>
          <w:sz w:val="20"/>
          <w:szCs w:val="20"/>
          <w:color w:val="auto"/>
        </w:rPr>
      </w:pPr>
    </w:p>
    <w:p>
      <w:pPr>
        <w:ind w:left="6"/>
        <w:spacing w:after="0"/>
        <w:rPr>
          <w:sz w:val="20"/>
          <w:szCs w:val="20"/>
          <w:color w:val="auto"/>
        </w:rPr>
      </w:pPr>
      <w:r>
        <w:rPr>
          <w:rFonts w:ascii="Arial" w:cs="Arial" w:eastAsia="Arial" w:hAnsi="Arial"/>
          <w:sz w:val="15"/>
          <w:szCs w:val="15"/>
          <w:color w:val="auto"/>
        </w:rPr>
        <w:t>Melbourne,</w:t>
      </w:r>
    </w:p>
    <w:p>
      <w:pPr>
        <w:ind w:left="6"/>
        <w:spacing w:after="0"/>
        <w:rPr>
          <w:sz w:val="20"/>
          <w:szCs w:val="20"/>
          <w:color w:val="auto"/>
        </w:rPr>
      </w:pPr>
      <w:r>
        <w:rPr>
          <w:rFonts w:ascii="Arial" w:cs="Arial" w:eastAsia="Arial" w:hAnsi="Arial"/>
          <w:sz w:val="15"/>
          <w:szCs w:val="15"/>
          <w:color w:val="auto"/>
        </w:rPr>
        <w:t>22 February 2021</w:t>
      </w:r>
    </w:p>
    <w:p>
      <w:pPr>
        <w:sectPr>
          <w:pgSz w:w="11900" w:h="16838" w:orient="portrait"/>
          <w:cols w:equalWidth="0" w:num="2">
            <w:col w:w="5280" w:space="334"/>
            <w:col w:w="5366"/>
          </w:cols>
          <w:pgMar w:left="440" w:top="644" w:right="479" w:bottom="1440" w:gutter="0" w:footer="0" w:header="0"/>
          <w:type w:val="continuous"/>
        </w:sectPr>
      </w:pPr>
    </w:p>
    <w:bookmarkStart w:id="11" w:name="page12"/>
    <w:bookmarkEnd w:id="11"/>
    <w:p>
      <w:pPr>
        <w:ind w:left="960"/>
        <w:spacing w:after="0"/>
        <w:rPr>
          <w:sz w:val="20"/>
          <w:szCs w:val="20"/>
          <w:color w:val="auto"/>
        </w:rPr>
      </w:pPr>
      <w:r>
        <w:rPr>
          <w:rFonts w:ascii="Arial" w:cs="Arial" w:eastAsia="Arial" w:hAnsi="Arial"/>
          <w:sz w:val="13"/>
          <w:szCs w:val="13"/>
          <w:color w:val="00AFB7"/>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497205"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7205" cy="85725"/>
                    </a:xfrm>
                    <a:prstGeom prst="rect">
                      <a:avLst/>
                    </a:prstGeom>
                    <a:noFill/>
                  </pic:spPr>
                </pic:pic>
              </a:graphicData>
            </a:graphic>
          </wp:anchor>
        </w:drawing>
      </w:r>
    </w:p>
    <w:p>
      <w:pPr>
        <w:spacing w:after="0" w:line="340" w:lineRule="exact"/>
        <w:rPr>
          <w:sz w:val="20"/>
          <w:szCs w:val="20"/>
          <w:color w:val="auto"/>
        </w:rPr>
      </w:pPr>
    </w:p>
    <w:p>
      <w:pPr>
        <w:ind w:right="579"/>
        <w:spacing w:after="0" w:line="251" w:lineRule="auto"/>
        <w:rPr>
          <w:sz w:val="20"/>
          <w:szCs w:val="20"/>
          <w:color w:val="auto"/>
        </w:rPr>
      </w:pPr>
      <w:r>
        <w:rPr>
          <w:rFonts w:ascii="Arial" w:cs="Arial" w:eastAsia="Arial" w:hAnsi="Arial"/>
          <w:sz w:val="49"/>
          <w:szCs w:val="49"/>
          <w:color w:val="00AFB7"/>
        </w:rPr>
        <w:t>AUDITOR’S INDEPENDENCE DECLARATION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286385</wp:posOffset>
            </wp:positionV>
            <wp:extent cx="4766310" cy="67036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6310" cy="6703695"/>
                    </a:xfrm>
                    <a:prstGeom prst="rect">
                      <a:avLst/>
                    </a:prstGeom>
                    <a:noFill/>
                  </pic:spPr>
                </pic:pic>
              </a:graphicData>
            </a:graphic>
          </wp:anchor>
        </w:drawing>
      </w:r>
    </w:p>
    <w:p>
      <w:pPr>
        <w:sectPr>
          <w:pgSz w:w="11900" w:h="16838" w:orient="portrait"/>
          <w:cols w:equalWidth="0" w:num="1">
            <w:col w:w="10019"/>
          </w:cols>
          <w:pgMar w:left="440" w:top="282" w:right="1440" w:bottom="1440" w:gutter="0" w:footer="0" w:header="0"/>
        </w:sectPr>
      </w:pPr>
    </w:p>
    <w:bookmarkStart w:id="12" w:name="page13"/>
    <w:bookmarkEnd w:id="12"/>
    <w:tbl>
      <w:tblPr>
        <w:tblLayout w:type="fixed"/>
        <w:tblInd w:w="360" w:type="dxa"/>
        <w:tblCellMar>
          <w:top w:w="0" w:type="dxa"/>
          <w:left w:w="0" w:type="dxa"/>
          <w:bottom w:w="0" w:type="dxa"/>
          <w:right w:w="0" w:type="dxa"/>
        </w:tblCellMar>
      </w:tblPr>
      <w:tr>
        <w:trPr>
          <w:trHeight w:val="168"/>
        </w:trPr>
        <w:tc>
          <w:tcPr>
            <w:tcW w:w="8600" w:type="dxa"/>
            <w:vAlign w:val="bottom"/>
          </w:tcPr>
          <w:p>
            <w:pPr>
              <w:spacing w:after="0"/>
              <w:rPr>
                <w:sz w:val="20"/>
                <w:szCs w:val="20"/>
                <w:color w:val="auto"/>
              </w:rPr>
            </w:pPr>
            <w:r>
              <w:rPr>
                <w:rFonts w:ascii="Arial" w:cs="Arial" w:eastAsia="Arial" w:hAnsi="Arial"/>
                <w:sz w:val="13"/>
                <w:szCs w:val="13"/>
                <w:b w:val="1"/>
                <w:bCs w:val="1"/>
                <w:color w:val="00AFB7"/>
              </w:rPr>
              <w:t xml:space="preserve">O p t h e a   </w:t>
            </w:r>
            <w:r>
              <w:rPr>
                <w:rFonts w:ascii="Arial" w:cs="Arial" w:eastAsia="Arial" w:hAnsi="Arial"/>
                <w:sz w:val="13"/>
                <w:szCs w:val="13"/>
                <w:color w:val="00AFB7"/>
              </w:rPr>
              <w:t>|   H A L F Y E A R R E P O R T F O R T H E H A L F - Y E A R E N D E D 3 1 D E C E M B E R 2 0 2 0</w:t>
            </w:r>
          </w:p>
        </w:tc>
        <w:tc>
          <w:tcPr>
            <w:tcW w:w="1800" w:type="dxa"/>
            <w:vAlign w:val="bottom"/>
          </w:tcPr>
          <w:p>
            <w:pPr>
              <w:jc w:val="right"/>
              <w:spacing w:after="0"/>
              <w:rPr>
                <w:sz w:val="20"/>
                <w:szCs w:val="20"/>
                <w:color w:val="auto"/>
              </w:rPr>
            </w:pPr>
            <w:r>
              <w:rPr>
                <w:rFonts w:ascii="Arial" w:cs="Arial" w:eastAsia="Arial" w:hAnsi="Arial"/>
                <w:sz w:val="13"/>
                <w:szCs w:val="13"/>
                <w:color w:val="00AFB7"/>
              </w:rPr>
              <w:t>5</w:t>
            </w:r>
          </w:p>
        </w:tc>
      </w:tr>
    </w:tbl>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183515</wp:posOffset>
            </wp:positionV>
            <wp:extent cx="17145" cy="3340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 cy="334010"/>
                    </a:xfrm>
                    <a:prstGeom prst="rect">
                      <a:avLst/>
                    </a:prstGeom>
                    <a:noFill/>
                  </pic:spPr>
                </pic:pic>
              </a:graphicData>
            </a:graphic>
          </wp:anchor>
        </w:drawing>
      </w:r>
    </w:p>
    <w:p>
      <w:pPr>
        <w:ind w:right="220"/>
        <w:spacing w:after="0" w:line="248" w:lineRule="auto"/>
        <w:rPr>
          <w:sz w:val="20"/>
          <w:szCs w:val="20"/>
          <w:color w:val="auto"/>
        </w:rPr>
      </w:pPr>
      <w:r>
        <w:rPr>
          <w:rFonts w:ascii="Arial" w:cs="Arial" w:eastAsia="Arial" w:hAnsi="Arial"/>
          <w:sz w:val="36"/>
          <w:szCs w:val="36"/>
          <w:color w:val="00AFB7"/>
        </w:rPr>
        <w:t>CONDENSED CONSOLIDATED STATEMENT OF PROFIT OR LOSS AND OTHER COMPREHENSIVE INCOME FOR THE HALF-YEAR ENDED 31 DECEMBER 2020</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60" w:type="dxa"/>
            <w:vAlign w:val="bottom"/>
            <w:gridSpan w:val="2"/>
          </w:tcPr>
          <w:p>
            <w:pPr>
              <w:jc w:val="right"/>
              <w:ind w:right="444"/>
              <w:spacing w:after="0"/>
              <w:rPr>
                <w:sz w:val="20"/>
                <w:szCs w:val="20"/>
                <w:color w:val="auto"/>
              </w:rPr>
            </w:pPr>
            <w:r>
              <w:rPr>
                <w:rFonts w:ascii="Arial" w:cs="Arial" w:eastAsia="Arial" w:hAnsi="Arial"/>
                <w:sz w:val="15"/>
                <w:szCs w:val="15"/>
                <w:b w:val="1"/>
                <w:bCs w:val="1"/>
                <w:color w:val="20286D"/>
              </w:rPr>
              <w:t>31 December</w:t>
            </w:r>
          </w:p>
        </w:tc>
      </w:tr>
      <w:tr>
        <w:trPr>
          <w:trHeight w:val="249"/>
        </w:trPr>
        <w:tc>
          <w:tcPr>
            <w:tcW w:w="70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80" w:type="dxa"/>
            <w:vAlign w:val="bottom"/>
            <w:shd w:val="clear" w:color="auto" w:fill="E5F7F7"/>
          </w:tcPr>
          <w:p>
            <w:pPr>
              <w:jc w:val="right"/>
              <w:ind w:right="24"/>
              <w:spacing w:after="0"/>
              <w:rPr>
                <w:sz w:val="20"/>
                <w:szCs w:val="20"/>
                <w:color w:val="auto"/>
              </w:rPr>
            </w:pPr>
            <w:r>
              <w:rPr>
                <w:rFonts w:ascii="Arial" w:cs="Arial" w:eastAsia="Arial" w:hAnsi="Arial"/>
                <w:sz w:val="15"/>
                <w:szCs w:val="15"/>
                <w:b w:val="1"/>
                <w:bCs w:val="1"/>
                <w:color w:val="20286D"/>
              </w:rPr>
              <w:t>2020</w:t>
            </w:r>
          </w:p>
        </w:tc>
        <w:tc>
          <w:tcPr>
            <w:tcW w:w="1180" w:type="dxa"/>
            <w:vAlign w:val="bottom"/>
          </w:tcPr>
          <w:p>
            <w:pPr>
              <w:jc w:val="right"/>
              <w:ind w:right="124"/>
              <w:spacing w:after="0"/>
              <w:rPr>
                <w:sz w:val="20"/>
                <w:szCs w:val="20"/>
                <w:color w:val="auto"/>
              </w:rPr>
            </w:pPr>
            <w:r>
              <w:rPr>
                <w:rFonts w:ascii="Arial" w:cs="Arial" w:eastAsia="Arial" w:hAnsi="Arial"/>
                <w:sz w:val="15"/>
                <w:szCs w:val="15"/>
                <w:b w:val="1"/>
                <w:bCs w:val="1"/>
                <w:color w:val="20286D"/>
              </w:rPr>
              <w:t>2019</w:t>
            </w:r>
          </w:p>
        </w:tc>
      </w:tr>
      <w:tr>
        <w:trPr>
          <w:trHeight w:val="190"/>
        </w:trPr>
        <w:tc>
          <w:tcPr>
            <w:tcW w:w="7000" w:type="dxa"/>
            <w:vAlign w:val="bottom"/>
            <w:tcBorders>
              <w:bottom w:val="single" w:sz="8" w:color="00AFB7"/>
            </w:tcBorders>
          </w:tcPr>
          <w:p>
            <w:pPr>
              <w:spacing w:after="0"/>
              <w:rPr>
                <w:sz w:val="16"/>
                <w:szCs w:val="16"/>
                <w:color w:val="auto"/>
              </w:rPr>
            </w:pPr>
          </w:p>
        </w:tc>
        <w:tc>
          <w:tcPr>
            <w:tcW w:w="1760" w:type="dxa"/>
            <w:vAlign w:val="bottom"/>
            <w:tcBorders>
              <w:bottom w:val="single" w:sz="8" w:color="00AFB7"/>
            </w:tcBorders>
          </w:tcPr>
          <w:p>
            <w:pPr>
              <w:jc w:val="right"/>
              <w:spacing w:after="0"/>
              <w:rPr>
                <w:sz w:val="20"/>
                <w:szCs w:val="20"/>
                <w:color w:val="auto"/>
              </w:rPr>
            </w:pPr>
            <w:r>
              <w:rPr>
                <w:rFonts w:ascii="Arial" w:cs="Arial" w:eastAsia="Arial" w:hAnsi="Arial"/>
                <w:sz w:val="15"/>
                <w:szCs w:val="15"/>
                <w:b w:val="1"/>
                <w:bCs w:val="1"/>
                <w:color w:val="20286D"/>
              </w:rPr>
              <w:t>Note</w:t>
            </w:r>
          </w:p>
        </w:tc>
        <w:tc>
          <w:tcPr>
            <w:tcW w:w="10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b w:val="1"/>
                <w:bCs w:val="1"/>
                <w:color w:val="20286D"/>
              </w:rPr>
              <w:t>$</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b w:val="1"/>
                <w:bCs w:val="1"/>
                <w:color w:val="20286D"/>
              </w:rPr>
              <w:t>$</w:t>
            </w:r>
          </w:p>
        </w:tc>
      </w:tr>
      <w:tr>
        <w:trPr>
          <w:trHeight w:val="198"/>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Revenue</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314,294</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273,115</w:t>
            </w: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Other income</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37,500</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w:t>
            </w: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Research and development expenses</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(18,807,475)</w:t>
            </w:r>
          </w:p>
        </w:tc>
        <w:tc>
          <w:tcPr>
            <w:tcW w:w="11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(8,340,640)</w:t>
            </w: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Administrative expenses</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(5,275,670)</w:t>
            </w:r>
          </w:p>
        </w:tc>
        <w:tc>
          <w:tcPr>
            <w:tcW w:w="11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(2,416,266)</w:t>
            </w: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Share-based payments expense</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(2,218,242)</w:t>
            </w:r>
          </w:p>
        </w:tc>
        <w:tc>
          <w:tcPr>
            <w:tcW w:w="11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(880,365)</w:t>
            </w: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Patent and intellectual property expenses</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(100,356)</w:t>
            </w:r>
          </w:p>
        </w:tc>
        <w:tc>
          <w:tcPr>
            <w:tcW w:w="11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(203,982)</w:t>
            </w: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Occupancy expenses</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(12,247)</w:t>
            </w:r>
          </w:p>
        </w:tc>
        <w:tc>
          <w:tcPr>
            <w:tcW w:w="11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(10,442)</w:t>
            </w: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Net foreign exchange (loss)/gain</w:t>
            </w:r>
          </w:p>
        </w:tc>
        <w:tc>
          <w:tcPr>
            <w:tcW w:w="17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5</w:t>
            </w:r>
          </w:p>
        </w:tc>
        <w:tc>
          <w:tcPr>
            <w:tcW w:w="10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(12,442,849)</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113,370</w:t>
            </w: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Loss before income tax</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20286D"/>
              </w:rPr>
              <w:t>(38,505,045)</w:t>
            </w:r>
          </w:p>
        </w:tc>
        <w:tc>
          <w:tcPr>
            <w:tcW w:w="11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20286D"/>
              </w:rPr>
              <w:t>(11,465,210)</w:t>
            </w: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Income tax benefit</w:t>
            </w:r>
          </w:p>
        </w:tc>
        <w:tc>
          <w:tcPr>
            <w:tcW w:w="17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6</w:t>
            </w:r>
          </w:p>
        </w:tc>
        <w:tc>
          <w:tcPr>
            <w:tcW w:w="10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3,522,832</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3,845,192</w:t>
            </w: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Loss for period</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20286D"/>
              </w:rPr>
              <w:t>(34,982,213)</w:t>
            </w:r>
          </w:p>
        </w:tc>
        <w:tc>
          <w:tcPr>
            <w:tcW w:w="11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20286D"/>
              </w:rPr>
              <w:t>(7,620,018)</w:t>
            </w:r>
          </w:p>
        </w:tc>
      </w:tr>
      <w:tr>
        <w:trPr>
          <w:trHeight w:val="200"/>
        </w:trPr>
        <w:tc>
          <w:tcPr>
            <w:tcW w:w="7000" w:type="dxa"/>
            <w:vAlign w:val="bottom"/>
            <w:tcBorders>
              <w:bottom w:val="single" w:sz="8" w:color="00AFB7"/>
            </w:tcBorders>
          </w:tcPr>
          <w:p>
            <w:pPr>
              <w:spacing w:after="0"/>
              <w:rPr>
                <w:sz w:val="17"/>
                <w:szCs w:val="17"/>
                <w:color w:val="auto"/>
              </w:rPr>
            </w:pP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spacing w:after="0"/>
              <w:rPr>
                <w:sz w:val="17"/>
                <w:szCs w:val="17"/>
                <w:color w:val="auto"/>
              </w:rPr>
            </w:pPr>
          </w:p>
        </w:tc>
        <w:tc>
          <w:tcPr>
            <w:tcW w:w="1180" w:type="dxa"/>
            <w:vAlign w:val="bottom"/>
            <w:tcBorders>
              <w:bottom w:val="single" w:sz="8" w:color="00AFB7"/>
            </w:tcBorders>
          </w:tcPr>
          <w:p>
            <w:pPr>
              <w:spacing w:after="0"/>
              <w:rPr>
                <w:sz w:val="17"/>
                <w:szCs w:val="17"/>
                <w:color w:val="auto"/>
              </w:rPr>
            </w:pPr>
          </w:p>
        </w:tc>
      </w:tr>
      <w:tr>
        <w:trPr>
          <w:trHeight w:val="192"/>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Other comprehensive income</w:t>
            </w:r>
          </w:p>
        </w:tc>
        <w:tc>
          <w:tcPr>
            <w:tcW w:w="1760" w:type="dxa"/>
            <w:vAlign w:val="bottom"/>
            <w:tcBorders>
              <w:bottom w:val="single" w:sz="8" w:color="00AFB7"/>
            </w:tcBorders>
          </w:tcPr>
          <w:p>
            <w:pPr>
              <w:spacing w:after="0"/>
              <w:rPr>
                <w:sz w:val="16"/>
                <w:szCs w:val="16"/>
                <w:color w:val="auto"/>
              </w:rPr>
            </w:pPr>
          </w:p>
        </w:tc>
        <w:tc>
          <w:tcPr>
            <w:tcW w:w="1080" w:type="dxa"/>
            <w:vAlign w:val="bottom"/>
            <w:tcBorders>
              <w:bottom w:val="single" w:sz="8" w:color="00AFB7"/>
            </w:tcBorders>
            <w:shd w:val="clear" w:color="auto" w:fill="E5F7F7"/>
          </w:tcPr>
          <w:p>
            <w:pPr>
              <w:spacing w:after="0"/>
              <w:rPr>
                <w:sz w:val="16"/>
                <w:szCs w:val="16"/>
                <w:color w:val="auto"/>
              </w:rPr>
            </w:pPr>
          </w:p>
        </w:tc>
        <w:tc>
          <w:tcPr>
            <w:tcW w:w="1180" w:type="dxa"/>
            <w:vAlign w:val="bottom"/>
            <w:tcBorders>
              <w:bottom w:val="single" w:sz="8" w:color="00AFB7"/>
            </w:tcBorders>
          </w:tcPr>
          <w:p>
            <w:pPr>
              <w:spacing w:after="0"/>
              <w:rPr>
                <w:sz w:val="16"/>
                <w:szCs w:val="16"/>
                <w:color w:val="auto"/>
              </w:rPr>
            </w:pP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Items that will not be subsequently reclassified to profit or loss:</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spacing w:after="0"/>
              <w:rPr>
                <w:sz w:val="17"/>
                <w:szCs w:val="17"/>
                <w:color w:val="auto"/>
              </w:rPr>
            </w:pPr>
          </w:p>
        </w:tc>
        <w:tc>
          <w:tcPr>
            <w:tcW w:w="1180" w:type="dxa"/>
            <w:vAlign w:val="bottom"/>
            <w:tcBorders>
              <w:bottom w:val="single" w:sz="8" w:color="00AFB7"/>
            </w:tcBorders>
          </w:tcPr>
          <w:p>
            <w:pPr>
              <w:spacing w:after="0"/>
              <w:rPr>
                <w:sz w:val="17"/>
                <w:szCs w:val="17"/>
                <w:color w:val="auto"/>
              </w:rPr>
            </w:pP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Fair value gains on investments in financial assets</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649,804</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83,696</w:t>
            </w: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Other comprehensive income for the period</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649,804</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83,696</w:t>
            </w: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Total comprehensive loss for the period</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20286D"/>
              </w:rPr>
              <w:t>(34,332,409)</w:t>
            </w:r>
          </w:p>
        </w:tc>
        <w:tc>
          <w:tcPr>
            <w:tcW w:w="11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20286D"/>
              </w:rPr>
              <w:t>(7,536,322)</w:t>
            </w: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Earnings per share for loss attributable for the ordinary equity holders of the parent:</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spacing w:after="0"/>
              <w:rPr>
                <w:sz w:val="17"/>
                <w:szCs w:val="17"/>
                <w:color w:val="auto"/>
              </w:rPr>
            </w:pPr>
          </w:p>
        </w:tc>
        <w:tc>
          <w:tcPr>
            <w:tcW w:w="1180" w:type="dxa"/>
            <w:vAlign w:val="bottom"/>
            <w:tcBorders>
              <w:bottom w:val="single" w:sz="8" w:color="00AFB7"/>
            </w:tcBorders>
          </w:tcPr>
          <w:p>
            <w:pPr>
              <w:spacing w:after="0"/>
              <w:rPr>
                <w:sz w:val="17"/>
                <w:szCs w:val="17"/>
                <w:color w:val="auto"/>
              </w:rPr>
            </w:pPr>
          </w:p>
        </w:tc>
      </w:tr>
      <w:tr>
        <w:trPr>
          <w:trHeight w:val="196"/>
        </w:trPr>
        <w:tc>
          <w:tcPr>
            <w:tcW w:w="70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Basic and diluted loss per share (cents)</w:t>
            </w:r>
          </w:p>
        </w:tc>
        <w:tc>
          <w:tcPr>
            <w:tcW w:w="176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(11.75)</w:t>
            </w:r>
          </w:p>
        </w:tc>
        <w:tc>
          <w:tcPr>
            <w:tcW w:w="11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(3.02)</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Notes to the financial statements are included on pages 9 to 15.</w:t>
      </w:r>
    </w:p>
    <w:p>
      <w:pPr>
        <w:sectPr>
          <w:pgSz w:w="11900" w:h="16838" w:orient="portrait"/>
          <w:cols w:equalWidth="0" w:num="1">
            <w:col w:w="11020"/>
          </w:cols>
          <w:pgMar w:left="440" w:top="644" w:right="439" w:bottom="1440" w:gutter="0" w:footer="0" w:header="0"/>
        </w:sectPr>
      </w:pPr>
    </w:p>
    <w:bookmarkStart w:id="13" w:name="page14"/>
    <w:bookmarkEnd w:id="13"/>
    <w:p>
      <w:pPr>
        <w:ind w:left="960"/>
        <w:spacing w:after="0"/>
        <w:rPr>
          <w:sz w:val="20"/>
          <w:szCs w:val="20"/>
          <w:color w:val="auto"/>
        </w:rPr>
      </w:pPr>
      <w:r>
        <w:rPr>
          <w:rFonts w:ascii="Arial" w:cs="Arial" w:eastAsia="Arial" w:hAnsi="Arial"/>
          <w:sz w:val="13"/>
          <w:szCs w:val="13"/>
          <w:color w:val="00AFB7"/>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497205"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7205" cy="85725"/>
                    </a:xfrm>
                    <a:prstGeom prst="rect">
                      <a:avLst/>
                    </a:prstGeom>
                    <a:noFill/>
                  </pic:spPr>
                </pic:pic>
              </a:graphicData>
            </a:graphic>
          </wp:anchor>
        </w:drawing>
      </w:r>
    </w:p>
    <w:p>
      <w:pPr>
        <w:spacing w:after="0" w:line="334" w:lineRule="exact"/>
        <w:rPr>
          <w:sz w:val="20"/>
          <w:szCs w:val="20"/>
          <w:color w:val="auto"/>
        </w:rPr>
      </w:pPr>
    </w:p>
    <w:p>
      <w:pPr>
        <w:ind w:right="1000"/>
        <w:spacing w:after="0" w:line="254" w:lineRule="auto"/>
        <w:rPr>
          <w:sz w:val="20"/>
          <w:szCs w:val="20"/>
          <w:color w:val="auto"/>
        </w:rPr>
      </w:pPr>
      <w:r>
        <w:rPr>
          <w:rFonts w:ascii="Arial" w:cs="Arial" w:eastAsia="Arial" w:hAnsi="Arial"/>
          <w:sz w:val="36"/>
          <w:szCs w:val="36"/>
          <w:color w:val="00AFB7"/>
        </w:rPr>
        <w:t>CONDENSED CONSOLIDATED STATEMENT OF FINANCIAL POSITION AS AT 31 DECEMBER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54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20286D"/>
              </w:rPr>
              <w:t>30 June</w:t>
            </w:r>
          </w:p>
        </w:tc>
        <w:tc>
          <w:tcPr>
            <w:tcW w:w="0" w:type="dxa"/>
            <w:vAlign w:val="bottom"/>
          </w:tcPr>
          <w:p>
            <w:pPr>
              <w:spacing w:after="0" w:line="20" w:lineRule="exact"/>
              <w:rPr>
                <w:sz w:val="1"/>
                <w:szCs w:val="1"/>
                <w:color w:val="auto"/>
              </w:rPr>
            </w:pPr>
          </w:p>
        </w:tc>
      </w:tr>
      <w:tr>
        <w:trPr>
          <w:trHeight w:val="141"/>
        </w:trPr>
        <w:tc>
          <w:tcPr>
            <w:tcW w:w="54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60" w:type="dxa"/>
            <w:vAlign w:val="bottom"/>
            <w:shd w:val="clear" w:color="auto" w:fill="E5F7F7"/>
          </w:tcPr>
          <w:p>
            <w:pPr>
              <w:jc w:val="right"/>
              <w:ind w:right="24"/>
              <w:spacing w:after="0" w:line="141" w:lineRule="exact"/>
              <w:rPr>
                <w:sz w:val="20"/>
                <w:szCs w:val="20"/>
                <w:color w:val="auto"/>
              </w:rPr>
            </w:pPr>
            <w:r>
              <w:rPr>
                <w:rFonts w:ascii="Arial" w:cs="Arial" w:eastAsia="Arial" w:hAnsi="Arial"/>
                <w:sz w:val="15"/>
                <w:szCs w:val="15"/>
                <w:b w:val="1"/>
                <w:bCs w:val="1"/>
                <w:color w:val="20286D"/>
              </w:rPr>
              <w:t>31 December</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60" w:type="dxa"/>
            <w:vAlign w:val="bottom"/>
            <w:shd w:val="clear" w:color="auto" w:fill="E5F7F7"/>
          </w:tcPr>
          <w:p>
            <w:pPr>
              <w:jc w:val="right"/>
              <w:ind w:right="24"/>
              <w:spacing w:after="0" w:line="162" w:lineRule="exact"/>
              <w:rPr>
                <w:sz w:val="20"/>
                <w:szCs w:val="20"/>
                <w:color w:val="auto"/>
              </w:rPr>
            </w:pPr>
            <w:r>
              <w:rPr>
                <w:rFonts w:ascii="Arial" w:cs="Arial" w:eastAsia="Arial" w:hAnsi="Arial"/>
                <w:sz w:val="15"/>
                <w:szCs w:val="15"/>
                <w:b w:val="1"/>
                <w:bCs w:val="1"/>
                <w:color w:val="20286D"/>
              </w:rPr>
              <w:t>2020</w:t>
            </w:r>
          </w:p>
        </w:tc>
        <w:tc>
          <w:tcPr>
            <w:tcW w:w="126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20286D"/>
              </w:rPr>
              <w:t>2020</w:t>
            </w:r>
          </w:p>
        </w:tc>
        <w:tc>
          <w:tcPr>
            <w:tcW w:w="0" w:type="dxa"/>
            <w:vAlign w:val="bottom"/>
          </w:tcPr>
          <w:p>
            <w:pPr>
              <w:spacing w:after="0"/>
              <w:rPr>
                <w:sz w:val="1"/>
                <w:szCs w:val="1"/>
                <w:color w:val="auto"/>
              </w:rPr>
            </w:pPr>
          </w:p>
        </w:tc>
      </w:tr>
      <w:tr>
        <w:trPr>
          <w:trHeight w:val="204"/>
        </w:trPr>
        <w:tc>
          <w:tcPr>
            <w:tcW w:w="5440" w:type="dxa"/>
            <w:vAlign w:val="bottom"/>
            <w:tcBorders>
              <w:bottom w:val="single" w:sz="8" w:color="00AFB7"/>
            </w:tcBorders>
          </w:tcPr>
          <w:p>
            <w:pPr>
              <w:spacing w:after="0"/>
              <w:rPr>
                <w:sz w:val="17"/>
                <w:szCs w:val="17"/>
                <w:color w:val="auto"/>
              </w:rPr>
            </w:pPr>
          </w:p>
        </w:tc>
        <w:tc>
          <w:tcPr>
            <w:tcW w:w="3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b w:val="1"/>
                <w:bCs w:val="1"/>
                <w:color w:val="20286D"/>
              </w:rPr>
              <w:t>Note</w:t>
            </w: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b w:val="1"/>
                <w:bCs w:val="1"/>
                <w:color w:val="20286D"/>
              </w:rPr>
              <w:t>$</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b w:val="1"/>
                <w:bCs w:val="1"/>
                <w:color w:val="20286D"/>
              </w:rPr>
              <w:t>$</w:t>
            </w:r>
          </w:p>
        </w:tc>
        <w:tc>
          <w:tcPr>
            <w:tcW w:w="0" w:type="dxa"/>
            <w:vAlign w:val="bottom"/>
          </w:tcPr>
          <w:p>
            <w:pPr>
              <w:spacing w:after="0"/>
              <w:rPr>
                <w:sz w:val="1"/>
                <w:szCs w:val="1"/>
                <w:color w:val="auto"/>
              </w:rPr>
            </w:pPr>
          </w:p>
        </w:tc>
      </w:tr>
      <w:tr>
        <w:trPr>
          <w:trHeight w:val="198"/>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Current Assets</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spacing w:after="0"/>
              <w:rPr>
                <w:sz w:val="17"/>
                <w:szCs w:val="17"/>
                <w:color w:val="auto"/>
              </w:rPr>
            </w:pPr>
          </w:p>
        </w:tc>
        <w:tc>
          <w:tcPr>
            <w:tcW w:w="1260" w:type="dxa"/>
            <w:vAlign w:val="bottom"/>
            <w:tcBorders>
              <w:bottom w:val="single" w:sz="8" w:color="00AFB7"/>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Cash and cash equivalents</w:t>
            </w:r>
          </w:p>
        </w:tc>
        <w:tc>
          <w:tcPr>
            <w:tcW w:w="3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7</w:t>
            </w: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202,544,985</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62,020,382</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Current tax receivable</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3,522,832</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8,533,123</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Receivables</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849,940</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284,391</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Prepayments</w:t>
            </w:r>
          </w:p>
        </w:tc>
        <w:tc>
          <w:tcPr>
            <w:tcW w:w="3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8</w:t>
            </w: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6,083,901</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478,632</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Total current assets</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213,001,658</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71,316,528</w:t>
            </w:r>
          </w:p>
        </w:tc>
        <w:tc>
          <w:tcPr>
            <w:tcW w:w="0" w:type="dxa"/>
            <w:vAlign w:val="bottom"/>
          </w:tcPr>
          <w:p>
            <w:pPr>
              <w:spacing w:after="0"/>
              <w:rPr>
                <w:sz w:val="1"/>
                <w:szCs w:val="1"/>
                <w:color w:val="auto"/>
              </w:rPr>
            </w:pPr>
          </w:p>
        </w:tc>
      </w:tr>
      <w:tr>
        <w:trPr>
          <w:trHeight w:val="200"/>
        </w:trPr>
        <w:tc>
          <w:tcPr>
            <w:tcW w:w="5440" w:type="dxa"/>
            <w:vAlign w:val="bottom"/>
            <w:tcBorders>
              <w:bottom w:val="single" w:sz="8" w:color="00AFB7"/>
            </w:tcBorders>
          </w:tcPr>
          <w:p>
            <w:pPr>
              <w:spacing w:after="0"/>
              <w:rPr>
                <w:sz w:val="17"/>
                <w:szCs w:val="17"/>
                <w:color w:val="auto"/>
              </w:rPr>
            </w:pP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spacing w:after="0"/>
              <w:rPr>
                <w:sz w:val="17"/>
                <w:szCs w:val="17"/>
                <w:color w:val="auto"/>
              </w:rPr>
            </w:pPr>
          </w:p>
        </w:tc>
        <w:tc>
          <w:tcPr>
            <w:tcW w:w="1260" w:type="dxa"/>
            <w:vAlign w:val="bottom"/>
            <w:tcBorders>
              <w:bottom w:val="single" w:sz="8" w:color="00AFB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Non-current assets</w:t>
            </w:r>
          </w:p>
        </w:tc>
        <w:tc>
          <w:tcPr>
            <w:tcW w:w="3160" w:type="dxa"/>
            <w:vAlign w:val="bottom"/>
            <w:tcBorders>
              <w:bottom w:val="single" w:sz="8" w:color="00AFB7"/>
            </w:tcBorders>
          </w:tcPr>
          <w:p>
            <w:pPr>
              <w:spacing w:after="0"/>
              <w:rPr>
                <w:sz w:val="16"/>
                <w:szCs w:val="16"/>
                <w:color w:val="auto"/>
              </w:rPr>
            </w:pPr>
          </w:p>
        </w:tc>
        <w:tc>
          <w:tcPr>
            <w:tcW w:w="1160" w:type="dxa"/>
            <w:vAlign w:val="bottom"/>
            <w:tcBorders>
              <w:bottom w:val="single" w:sz="8" w:color="00AFB7"/>
            </w:tcBorders>
            <w:shd w:val="clear" w:color="auto" w:fill="E5F7F7"/>
          </w:tcPr>
          <w:p>
            <w:pPr>
              <w:spacing w:after="0"/>
              <w:rPr>
                <w:sz w:val="16"/>
                <w:szCs w:val="16"/>
                <w:color w:val="auto"/>
              </w:rPr>
            </w:pPr>
          </w:p>
        </w:tc>
        <w:tc>
          <w:tcPr>
            <w:tcW w:w="1260" w:type="dxa"/>
            <w:vAlign w:val="bottom"/>
            <w:tcBorders>
              <w:bottom w:val="single" w:sz="8" w:color="00AFB7"/>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Investments in financial assets</w:t>
            </w:r>
          </w:p>
        </w:tc>
        <w:tc>
          <w:tcPr>
            <w:tcW w:w="3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9</w:t>
            </w: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289,980</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Plant and equipment</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29,730</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37,180</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Right-of-use asset</w:t>
            </w:r>
          </w:p>
        </w:tc>
        <w:tc>
          <w:tcPr>
            <w:tcW w:w="3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10</w:t>
            </w: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182,632</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243,510</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Total non-current assets</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212,362</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570,670</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Total assets</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213,214,020</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71,887,198</w:t>
            </w:r>
          </w:p>
        </w:tc>
        <w:tc>
          <w:tcPr>
            <w:tcW w:w="0" w:type="dxa"/>
            <w:vAlign w:val="bottom"/>
          </w:tcPr>
          <w:p>
            <w:pPr>
              <w:spacing w:after="0"/>
              <w:rPr>
                <w:sz w:val="1"/>
                <w:szCs w:val="1"/>
                <w:color w:val="auto"/>
              </w:rPr>
            </w:pPr>
          </w:p>
        </w:tc>
      </w:tr>
      <w:tr>
        <w:trPr>
          <w:trHeight w:val="200"/>
        </w:trPr>
        <w:tc>
          <w:tcPr>
            <w:tcW w:w="5440" w:type="dxa"/>
            <w:vAlign w:val="bottom"/>
            <w:tcBorders>
              <w:bottom w:val="single" w:sz="8" w:color="00AFB7"/>
            </w:tcBorders>
          </w:tcPr>
          <w:p>
            <w:pPr>
              <w:spacing w:after="0"/>
              <w:rPr>
                <w:sz w:val="17"/>
                <w:szCs w:val="17"/>
                <w:color w:val="auto"/>
              </w:rPr>
            </w:pP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spacing w:after="0"/>
              <w:rPr>
                <w:sz w:val="17"/>
                <w:szCs w:val="17"/>
                <w:color w:val="auto"/>
              </w:rPr>
            </w:pPr>
          </w:p>
        </w:tc>
        <w:tc>
          <w:tcPr>
            <w:tcW w:w="1260" w:type="dxa"/>
            <w:vAlign w:val="bottom"/>
            <w:tcBorders>
              <w:bottom w:val="single" w:sz="8" w:color="00AFB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Current liabilities</w:t>
            </w:r>
          </w:p>
        </w:tc>
        <w:tc>
          <w:tcPr>
            <w:tcW w:w="3160" w:type="dxa"/>
            <w:vAlign w:val="bottom"/>
            <w:tcBorders>
              <w:bottom w:val="single" w:sz="8" w:color="00AFB7"/>
            </w:tcBorders>
          </w:tcPr>
          <w:p>
            <w:pPr>
              <w:spacing w:after="0"/>
              <w:rPr>
                <w:sz w:val="16"/>
                <w:szCs w:val="16"/>
                <w:color w:val="auto"/>
              </w:rPr>
            </w:pPr>
          </w:p>
        </w:tc>
        <w:tc>
          <w:tcPr>
            <w:tcW w:w="1160" w:type="dxa"/>
            <w:vAlign w:val="bottom"/>
            <w:tcBorders>
              <w:bottom w:val="single" w:sz="8" w:color="00AFB7"/>
            </w:tcBorders>
            <w:shd w:val="clear" w:color="auto" w:fill="E5F7F7"/>
          </w:tcPr>
          <w:p>
            <w:pPr>
              <w:spacing w:after="0"/>
              <w:rPr>
                <w:sz w:val="16"/>
                <w:szCs w:val="16"/>
                <w:color w:val="auto"/>
              </w:rPr>
            </w:pPr>
          </w:p>
        </w:tc>
        <w:tc>
          <w:tcPr>
            <w:tcW w:w="1260" w:type="dxa"/>
            <w:vAlign w:val="bottom"/>
            <w:tcBorders>
              <w:bottom w:val="single" w:sz="8" w:color="00AFB7"/>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Payables</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2,523,468</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5,895,034</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Lease liabilities</w:t>
            </w:r>
          </w:p>
        </w:tc>
        <w:tc>
          <w:tcPr>
            <w:tcW w:w="3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11</w:t>
            </w: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145,043</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145,043</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Other financial liabilities</w:t>
            </w:r>
          </w:p>
        </w:tc>
        <w:tc>
          <w:tcPr>
            <w:tcW w:w="3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5</w:t>
            </w: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12,165,618</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237,820</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Provisions</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682,259</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640,934</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Total current liabilities</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15,457,279</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6,918,831</w:t>
            </w:r>
          </w:p>
        </w:tc>
        <w:tc>
          <w:tcPr>
            <w:tcW w:w="0" w:type="dxa"/>
            <w:vAlign w:val="bottom"/>
          </w:tcPr>
          <w:p>
            <w:pPr>
              <w:spacing w:after="0"/>
              <w:rPr>
                <w:sz w:val="1"/>
                <w:szCs w:val="1"/>
                <w:color w:val="auto"/>
              </w:rPr>
            </w:pPr>
          </w:p>
        </w:tc>
      </w:tr>
      <w:tr>
        <w:trPr>
          <w:trHeight w:val="200"/>
        </w:trPr>
        <w:tc>
          <w:tcPr>
            <w:tcW w:w="5440" w:type="dxa"/>
            <w:vAlign w:val="bottom"/>
            <w:tcBorders>
              <w:bottom w:val="single" w:sz="8" w:color="00AFB7"/>
            </w:tcBorders>
          </w:tcPr>
          <w:p>
            <w:pPr>
              <w:spacing w:after="0"/>
              <w:rPr>
                <w:sz w:val="17"/>
                <w:szCs w:val="17"/>
                <w:color w:val="auto"/>
              </w:rPr>
            </w:pP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spacing w:after="0"/>
              <w:rPr>
                <w:sz w:val="17"/>
                <w:szCs w:val="17"/>
                <w:color w:val="auto"/>
              </w:rPr>
            </w:pPr>
          </w:p>
        </w:tc>
        <w:tc>
          <w:tcPr>
            <w:tcW w:w="1260" w:type="dxa"/>
            <w:vAlign w:val="bottom"/>
            <w:tcBorders>
              <w:bottom w:val="single" w:sz="8" w:color="00AFB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Non-current liabilities</w:t>
            </w:r>
          </w:p>
        </w:tc>
        <w:tc>
          <w:tcPr>
            <w:tcW w:w="3160" w:type="dxa"/>
            <w:vAlign w:val="bottom"/>
            <w:tcBorders>
              <w:bottom w:val="single" w:sz="8" w:color="00AFB7"/>
            </w:tcBorders>
          </w:tcPr>
          <w:p>
            <w:pPr>
              <w:spacing w:after="0"/>
              <w:rPr>
                <w:sz w:val="16"/>
                <w:szCs w:val="16"/>
                <w:color w:val="auto"/>
              </w:rPr>
            </w:pPr>
          </w:p>
        </w:tc>
        <w:tc>
          <w:tcPr>
            <w:tcW w:w="1160" w:type="dxa"/>
            <w:vAlign w:val="bottom"/>
            <w:tcBorders>
              <w:bottom w:val="single" w:sz="8" w:color="00AFB7"/>
            </w:tcBorders>
            <w:shd w:val="clear" w:color="auto" w:fill="E5F7F7"/>
          </w:tcPr>
          <w:p>
            <w:pPr>
              <w:spacing w:after="0"/>
              <w:rPr>
                <w:sz w:val="16"/>
                <w:szCs w:val="16"/>
                <w:color w:val="auto"/>
              </w:rPr>
            </w:pPr>
          </w:p>
        </w:tc>
        <w:tc>
          <w:tcPr>
            <w:tcW w:w="1260" w:type="dxa"/>
            <w:vAlign w:val="bottom"/>
            <w:tcBorders>
              <w:bottom w:val="single" w:sz="8" w:color="00AFB7"/>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Lease liabilities</w:t>
            </w:r>
          </w:p>
        </w:tc>
        <w:tc>
          <w:tcPr>
            <w:tcW w:w="3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11</w:t>
            </w: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60,849</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120,033</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Provisions</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50,676</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40,197</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Total non-current liabilities</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170,709</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160,230</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Total liabilities</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15,627,988</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7,079,061</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Net assets</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197,586,107</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64,808,137</w:t>
            </w:r>
          </w:p>
        </w:tc>
        <w:tc>
          <w:tcPr>
            <w:tcW w:w="0" w:type="dxa"/>
            <w:vAlign w:val="bottom"/>
          </w:tcPr>
          <w:p>
            <w:pPr>
              <w:spacing w:after="0"/>
              <w:rPr>
                <w:sz w:val="1"/>
                <w:szCs w:val="1"/>
                <w:color w:val="auto"/>
              </w:rPr>
            </w:pPr>
          </w:p>
        </w:tc>
      </w:tr>
      <w:tr>
        <w:trPr>
          <w:trHeight w:val="200"/>
        </w:trPr>
        <w:tc>
          <w:tcPr>
            <w:tcW w:w="5440" w:type="dxa"/>
            <w:vAlign w:val="bottom"/>
            <w:tcBorders>
              <w:bottom w:val="single" w:sz="8" w:color="00AFB7"/>
            </w:tcBorders>
          </w:tcPr>
          <w:p>
            <w:pPr>
              <w:spacing w:after="0"/>
              <w:rPr>
                <w:sz w:val="17"/>
                <w:szCs w:val="17"/>
                <w:color w:val="auto"/>
              </w:rPr>
            </w:pP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spacing w:after="0"/>
              <w:rPr>
                <w:sz w:val="17"/>
                <w:szCs w:val="17"/>
                <w:color w:val="auto"/>
              </w:rPr>
            </w:pPr>
          </w:p>
        </w:tc>
        <w:tc>
          <w:tcPr>
            <w:tcW w:w="1260" w:type="dxa"/>
            <w:vAlign w:val="bottom"/>
            <w:tcBorders>
              <w:bottom w:val="single" w:sz="8" w:color="00AFB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Equity</w:t>
            </w:r>
          </w:p>
        </w:tc>
        <w:tc>
          <w:tcPr>
            <w:tcW w:w="3160" w:type="dxa"/>
            <w:vAlign w:val="bottom"/>
            <w:tcBorders>
              <w:bottom w:val="single" w:sz="8" w:color="00AFB7"/>
            </w:tcBorders>
          </w:tcPr>
          <w:p>
            <w:pPr>
              <w:spacing w:after="0"/>
              <w:rPr>
                <w:sz w:val="16"/>
                <w:szCs w:val="16"/>
                <w:color w:val="auto"/>
              </w:rPr>
            </w:pPr>
          </w:p>
        </w:tc>
        <w:tc>
          <w:tcPr>
            <w:tcW w:w="1160" w:type="dxa"/>
            <w:vAlign w:val="bottom"/>
            <w:tcBorders>
              <w:bottom w:val="single" w:sz="8" w:color="00AFB7"/>
            </w:tcBorders>
            <w:shd w:val="clear" w:color="auto" w:fill="E5F7F7"/>
          </w:tcPr>
          <w:p>
            <w:pPr>
              <w:spacing w:after="0"/>
              <w:rPr>
                <w:sz w:val="16"/>
                <w:szCs w:val="16"/>
                <w:color w:val="auto"/>
              </w:rPr>
            </w:pPr>
          </w:p>
        </w:tc>
        <w:tc>
          <w:tcPr>
            <w:tcW w:w="1260" w:type="dxa"/>
            <w:vAlign w:val="bottom"/>
            <w:tcBorders>
              <w:bottom w:val="single" w:sz="8" w:color="00AFB7"/>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Contributed equity: ordinary shares</w:t>
            </w:r>
          </w:p>
        </w:tc>
        <w:tc>
          <w:tcPr>
            <w:tcW w:w="3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12</w:t>
            </w: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310,725,758</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162,102,553</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Contributed equity: pre-funded warrants</w:t>
            </w:r>
          </w:p>
        </w:tc>
        <w:tc>
          <w:tcPr>
            <w:tcW w:w="3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12</w:t>
            </w: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16,268,932</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Accumulated losses</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(137,571,554)</w:t>
            </w:r>
          </w:p>
        </w:tc>
        <w:tc>
          <w:tcPr>
            <w:tcW w:w="126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(102,589,341)</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Reserves</w:t>
            </w:r>
          </w:p>
        </w:tc>
        <w:tc>
          <w:tcPr>
            <w:tcW w:w="3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13</w:t>
            </w: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8,162,971</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5,294,925</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Total equity</w:t>
            </w:r>
          </w:p>
        </w:tc>
        <w:tc>
          <w:tcPr>
            <w:tcW w:w="316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197,586,107</w:t>
            </w:r>
          </w:p>
        </w:tc>
        <w:tc>
          <w:tcPr>
            <w:tcW w:w="126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64,808,137</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Notes to the financial statements are included on pages 9 to 15.</w:t>
      </w:r>
    </w:p>
    <w:p>
      <w:pPr>
        <w:sectPr>
          <w:pgSz w:w="11900" w:h="16838" w:orient="portrait"/>
          <w:cols w:equalWidth="0" w:num="1">
            <w:col w:w="11020"/>
          </w:cols>
          <w:pgMar w:left="440" w:top="282" w:right="439" w:bottom="1440" w:gutter="0" w:footer="0" w:header="0"/>
        </w:sectPr>
      </w:pPr>
    </w:p>
    <w:bookmarkStart w:id="14" w:name="page15"/>
    <w:bookmarkEnd w:id="14"/>
    <w:tbl>
      <w:tblPr>
        <w:tblLayout w:type="fixed"/>
        <w:tblInd w:w="360" w:type="dxa"/>
        <w:tblCellMar>
          <w:top w:w="0" w:type="dxa"/>
          <w:left w:w="0" w:type="dxa"/>
          <w:bottom w:w="0" w:type="dxa"/>
          <w:right w:w="0" w:type="dxa"/>
        </w:tblCellMar>
      </w:tblPr>
      <w:tr>
        <w:trPr>
          <w:trHeight w:val="168"/>
        </w:trPr>
        <w:tc>
          <w:tcPr>
            <w:tcW w:w="8720" w:type="dxa"/>
            <w:vAlign w:val="bottom"/>
          </w:tcPr>
          <w:p>
            <w:pPr>
              <w:spacing w:after="0"/>
              <w:rPr>
                <w:sz w:val="20"/>
                <w:szCs w:val="20"/>
                <w:color w:val="auto"/>
              </w:rPr>
            </w:pPr>
            <w:r>
              <w:rPr>
                <w:rFonts w:ascii="Arial" w:cs="Arial" w:eastAsia="Arial" w:hAnsi="Arial"/>
                <w:sz w:val="13"/>
                <w:szCs w:val="13"/>
                <w:b w:val="1"/>
                <w:bCs w:val="1"/>
                <w:color w:val="00AFB7"/>
              </w:rPr>
              <w:t xml:space="preserve">O p t h e a   </w:t>
            </w:r>
            <w:r>
              <w:rPr>
                <w:rFonts w:ascii="Arial" w:cs="Arial" w:eastAsia="Arial" w:hAnsi="Arial"/>
                <w:sz w:val="13"/>
                <w:szCs w:val="13"/>
                <w:color w:val="00AFB7"/>
              </w:rPr>
              <w:t>|   H A L F Y E A R R E P O R T F O R T H E H A L F - Y E A R E N D E D 3 1 D E C E M B E R 2 0 2 0</w:t>
            </w:r>
          </w:p>
        </w:tc>
        <w:tc>
          <w:tcPr>
            <w:tcW w:w="1940" w:type="dxa"/>
            <w:vAlign w:val="bottom"/>
          </w:tcPr>
          <w:p>
            <w:pPr>
              <w:jc w:val="right"/>
              <w:spacing w:after="0"/>
              <w:rPr>
                <w:sz w:val="20"/>
                <w:szCs w:val="20"/>
                <w:color w:val="auto"/>
              </w:rPr>
            </w:pPr>
            <w:r>
              <w:rPr>
                <w:rFonts w:ascii="Arial" w:cs="Arial" w:eastAsia="Arial" w:hAnsi="Arial"/>
                <w:sz w:val="13"/>
                <w:szCs w:val="13"/>
                <w:color w:val="00AFB7"/>
              </w:rPr>
              <w:t>7</w:t>
            </w:r>
          </w:p>
        </w:tc>
      </w:tr>
    </w:tbl>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183515</wp:posOffset>
            </wp:positionV>
            <wp:extent cx="17145" cy="334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334010"/>
                    </a:xfrm>
                    <a:prstGeom prst="rect">
                      <a:avLst/>
                    </a:prstGeom>
                    <a:noFill/>
                  </pic:spPr>
                </pic:pic>
              </a:graphicData>
            </a:graphic>
          </wp:anchor>
        </w:drawing>
      </w:r>
    </w:p>
    <w:p>
      <w:pPr>
        <w:ind w:right="640"/>
        <w:spacing w:after="0" w:line="268" w:lineRule="auto"/>
        <w:rPr>
          <w:sz w:val="20"/>
          <w:szCs w:val="20"/>
          <w:color w:val="auto"/>
        </w:rPr>
      </w:pPr>
      <w:r>
        <w:rPr>
          <w:rFonts w:ascii="Arial" w:cs="Arial" w:eastAsia="Arial" w:hAnsi="Arial"/>
          <w:sz w:val="35"/>
          <w:szCs w:val="35"/>
          <w:color w:val="00AFB7"/>
        </w:rPr>
        <w:t>CONDENSED CONSOLIDATED STATEMENT OF CHANGES IN EQUITY FOR THE HALF-YEAR ENDED 31 DECEMBER 2020</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b w:val="1"/>
                <w:bCs w:val="1"/>
                <w:color w:val="20286D"/>
              </w:rPr>
              <w:t>Share-based</w:t>
            </w:r>
          </w:p>
        </w:tc>
        <w:tc>
          <w:tcPr>
            <w:tcW w:w="1100" w:type="dxa"/>
            <w:vAlign w:val="bottom"/>
          </w:tcPr>
          <w:p>
            <w:pPr>
              <w:jc w:val="right"/>
              <w:ind w:right="44"/>
              <w:spacing w:after="0"/>
              <w:rPr>
                <w:sz w:val="20"/>
                <w:szCs w:val="20"/>
                <w:color w:val="auto"/>
              </w:rPr>
            </w:pPr>
            <w:r>
              <w:rPr>
                <w:rFonts w:ascii="Arial" w:cs="Arial" w:eastAsia="Arial" w:hAnsi="Arial"/>
                <w:sz w:val="15"/>
                <w:szCs w:val="15"/>
                <w:b w:val="1"/>
                <w:bCs w:val="1"/>
                <w:color w:val="20286D"/>
              </w:rPr>
              <w:t>Fair value of</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4600" w:type="dxa"/>
            <w:vAlign w:val="bottom"/>
          </w:tcPr>
          <w:p>
            <w:pPr>
              <w:spacing w:after="0"/>
              <w:rPr>
                <w:sz w:val="14"/>
                <w:szCs w:val="14"/>
                <w:color w:val="auto"/>
              </w:rPr>
            </w:pPr>
          </w:p>
        </w:tc>
        <w:tc>
          <w:tcPr>
            <w:tcW w:w="184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20286D"/>
              </w:rPr>
              <w:t>Contributed</w:t>
            </w:r>
          </w:p>
        </w:tc>
        <w:tc>
          <w:tcPr>
            <w:tcW w:w="108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20286D"/>
              </w:rPr>
              <w:t>payments</w:t>
            </w:r>
          </w:p>
        </w:tc>
        <w:tc>
          <w:tcPr>
            <w:tcW w:w="110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20286D"/>
              </w:rPr>
              <w:t>investments</w:t>
            </w:r>
          </w:p>
        </w:tc>
        <w:tc>
          <w:tcPr>
            <w:tcW w:w="124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20286D"/>
              </w:rPr>
              <w:t>Accumulated</w:t>
            </w:r>
          </w:p>
        </w:tc>
        <w:tc>
          <w:tcPr>
            <w:tcW w:w="1160" w:type="dxa"/>
            <w:vAlign w:val="bottom"/>
          </w:tcPr>
          <w:p>
            <w:pPr>
              <w:spacing w:after="0"/>
              <w:rPr>
                <w:sz w:val="14"/>
                <w:szCs w:val="14"/>
                <w:color w:val="auto"/>
              </w:rPr>
            </w:pPr>
          </w:p>
        </w:tc>
      </w:tr>
      <w:tr>
        <w:trPr>
          <w:trHeight w:val="170"/>
        </w:trPr>
        <w:tc>
          <w:tcPr>
            <w:tcW w:w="4600" w:type="dxa"/>
            <w:vAlign w:val="bottom"/>
          </w:tcPr>
          <w:p>
            <w:pPr>
              <w:spacing w:after="0"/>
              <w:rPr>
                <w:sz w:val="14"/>
                <w:szCs w:val="14"/>
                <w:color w:val="auto"/>
              </w:rPr>
            </w:pPr>
          </w:p>
        </w:tc>
        <w:tc>
          <w:tcPr>
            <w:tcW w:w="1840" w:type="dxa"/>
            <w:vAlign w:val="bottom"/>
          </w:tcPr>
          <w:p>
            <w:pPr>
              <w:jc w:val="right"/>
              <w:ind w:right="4"/>
              <w:spacing w:after="0" w:line="170" w:lineRule="exact"/>
              <w:rPr>
                <w:sz w:val="20"/>
                <w:szCs w:val="20"/>
                <w:color w:val="auto"/>
              </w:rPr>
            </w:pPr>
            <w:r>
              <w:rPr>
                <w:rFonts w:ascii="Arial" w:cs="Arial" w:eastAsia="Arial" w:hAnsi="Arial"/>
                <w:sz w:val="15"/>
                <w:szCs w:val="15"/>
                <w:b w:val="1"/>
                <w:bCs w:val="1"/>
                <w:color w:val="20286D"/>
              </w:rPr>
              <w:t>equity</w:t>
            </w:r>
          </w:p>
        </w:tc>
        <w:tc>
          <w:tcPr>
            <w:tcW w:w="1080" w:type="dxa"/>
            <w:vAlign w:val="bottom"/>
          </w:tcPr>
          <w:p>
            <w:pPr>
              <w:jc w:val="right"/>
              <w:ind w:right="4"/>
              <w:spacing w:after="0" w:line="170" w:lineRule="exact"/>
              <w:rPr>
                <w:sz w:val="20"/>
                <w:szCs w:val="20"/>
                <w:color w:val="auto"/>
              </w:rPr>
            </w:pPr>
            <w:r>
              <w:rPr>
                <w:rFonts w:ascii="Arial" w:cs="Arial" w:eastAsia="Arial" w:hAnsi="Arial"/>
                <w:sz w:val="15"/>
                <w:szCs w:val="15"/>
                <w:b w:val="1"/>
                <w:bCs w:val="1"/>
                <w:color w:val="20286D"/>
              </w:rPr>
              <w:t>reserve</w:t>
            </w:r>
          </w:p>
        </w:tc>
        <w:tc>
          <w:tcPr>
            <w:tcW w:w="1100" w:type="dxa"/>
            <w:vAlign w:val="bottom"/>
          </w:tcPr>
          <w:p>
            <w:pPr>
              <w:jc w:val="right"/>
              <w:ind w:right="44"/>
              <w:spacing w:after="0" w:line="170" w:lineRule="exact"/>
              <w:rPr>
                <w:sz w:val="20"/>
                <w:szCs w:val="20"/>
                <w:color w:val="auto"/>
              </w:rPr>
            </w:pPr>
            <w:r>
              <w:rPr>
                <w:rFonts w:ascii="Arial" w:cs="Arial" w:eastAsia="Arial" w:hAnsi="Arial"/>
                <w:sz w:val="15"/>
                <w:szCs w:val="15"/>
                <w:b w:val="1"/>
                <w:bCs w:val="1"/>
                <w:color w:val="20286D"/>
              </w:rPr>
              <w:t>reserve</w:t>
            </w:r>
          </w:p>
        </w:tc>
        <w:tc>
          <w:tcPr>
            <w:tcW w:w="1240" w:type="dxa"/>
            <w:vAlign w:val="bottom"/>
          </w:tcPr>
          <w:p>
            <w:pPr>
              <w:jc w:val="right"/>
              <w:ind w:right="24"/>
              <w:spacing w:after="0" w:line="170" w:lineRule="exact"/>
              <w:rPr>
                <w:sz w:val="20"/>
                <w:szCs w:val="20"/>
                <w:color w:val="auto"/>
              </w:rPr>
            </w:pPr>
            <w:r>
              <w:rPr>
                <w:rFonts w:ascii="Arial" w:cs="Arial" w:eastAsia="Arial" w:hAnsi="Arial"/>
                <w:sz w:val="15"/>
                <w:szCs w:val="15"/>
                <w:b w:val="1"/>
                <w:bCs w:val="1"/>
                <w:color w:val="20286D"/>
              </w:rPr>
              <w:t>losses</w:t>
            </w:r>
          </w:p>
        </w:tc>
        <w:tc>
          <w:tcPr>
            <w:tcW w:w="1160" w:type="dxa"/>
            <w:vAlign w:val="bottom"/>
          </w:tcPr>
          <w:p>
            <w:pPr>
              <w:jc w:val="right"/>
              <w:spacing w:after="0" w:line="170" w:lineRule="exact"/>
              <w:rPr>
                <w:sz w:val="20"/>
                <w:szCs w:val="20"/>
                <w:color w:val="auto"/>
              </w:rPr>
            </w:pPr>
            <w:r>
              <w:rPr>
                <w:rFonts w:ascii="Arial" w:cs="Arial" w:eastAsia="Arial" w:hAnsi="Arial"/>
                <w:sz w:val="15"/>
                <w:szCs w:val="15"/>
                <w:b w:val="1"/>
                <w:bCs w:val="1"/>
                <w:color w:val="20286D"/>
              </w:rPr>
              <w:t>Total equity</w:t>
            </w:r>
          </w:p>
        </w:tc>
      </w:tr>
      <w:tr>
        <w:trPr>
          <w:trHeight w:val="196"/>
        </w:trPr>
        <w:tc>
          <w:tcPr>
            <w:tcW w:w="4600" w:type="dxa"/>
            <w:vAlign w:val="bottom"/>
            <w:tcBorders>
              <w:bottom w:val="single" w:sz="8" w:color="00AFB7"/>
            </w:tcBorders>
          </w:tcPr>
          <w:p>
            <w:pPr>
              <w:spacing w:after="0"/>
              <w:rPr>
                <w:sz w:val="17"/>
                <w:szCs w:val="17"/>
                <w:color w:val="auto"/>
              </w:rPr>
            </w:pPr>
          </w:p>
        </w:tc>
        <w:tc>
          <w:tcPr>
            <w:tcW w:w="1840" w:type="dxa"/>
            <w:vAlign w:val="bottom"/>
            <w:tcBorders>
              <w:bottom w:val="single" w:sz="8" w:color="00AFB7"/>
            </w:tcBorders>
          </w:tcPr>
          <w:p>
            <w:pPr>
              <w:jc w:val="right"/>
              <w:ind w:right="4"/>
              <w:spacing w:after="0"/>
              <w:rPr>
                <w:sz w:val="20"/>
                <w:szCs w:val="20"/>
                <w:color w:val="auto"/>
              </w:rPr>
            </w:pPr>
            <w:r>
              <w:rPr>
                <w:rFonts w:ascii="Arial" w:cs="Arial" w:eastAsia="Arial" w:hAnsi="Arial"/>
                <w:sz w:val="15"/>
                <w:szCs w:val="15"/>
                <w:b w:val="1"/>
                <w:bCs w:val="1"/>
                <w:color w:val="20286D"/>
              </w:rPr>
              <w:t>$</w:t>
            </w:r>
          </w:p>
        </w:tc>
        <w:tc>
          <w:tcPr>
            <w:tcW w:w="1080" w:type="dxa"/>
            <w:vAlign w:val="bottom"/>
            <w:tcBorders>
              <w:bottom w:val="single" w:sz="8" w:color="00AFB7"/>
            </w:tcBorders>
          </w:tcPr>
          <w:p>
            <w:pPr>
              <w:jc w:val="right"/>
              <w:ind w:right="4"/>
              <w:spacing w:after="0"/>
              <w:rPr>
                <w:sz w:val="20"/>
                <w:szCs w:val="20"/>
                <w:color w:val="auto"/>
              </w:rPr>
            </w:pPr>
            <w:r>
              <w:rPr>
                <w:rFonts w:ascii="Arial" w:cs="Arial" w:eastAsia="Arial" w:hAnsi="Arial"/>
                <w:sz w:val="15"/>
                <w:szCs w:val="15"/>
                <w:b w:val="1"/>
                <w:bCs w:val="1"/>
                <w:color w:val="20286D"/>
              </w:rPr>
              <w:t>$</w:t>
            </w:r>
          </w:p>
        </w:tc>
        <w:tc>
          <w:tcPr>
            <w:tcW w:w="1100" w:type="dxa"/>
            <w:vAlign w:val="bottom"/>
            <w:tcBorders>
              <w:bottom w:val="single" w:sz="8" w:color="00AFB7"/>
            </w:tcBorders>
          </w:tcPr>
          <w:p>
            <w:pPr>
              <w:jc w:val="right"/>
              <w:ind w:right="44"/>
              <w:spacing w:after="0"/>
              <w:rPr>
                <w:sz w:val="20"/>
                <w:szCs w:val="20"/>
                <w:color w:val="auto"/>
              </w:rPr>
            </w:pPr>
            <w:r>
              <w:rPr>
                <w:rFonts w:ascii="Arial" w:cs="Arial" w:eastAsia="Arial" w:hAnsi="Arial"/>
                <w:sz w:val="15"/>
                <w:szCs w:val="15"/>
                <w:b w:val="1"/>
                <w:bCs w:val="1"/>
                <w:color w:val="20286D"/>
              </w:rPr>
              <w:t>$</w:t>
            </w:r>
          </w:p>
        </w:tc>
        <w:tc>
          <w:tcPr>
            <w:tcW w:w="124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b w:val="1"/>
                <w:bCs w:val="1"/>
                <w:color w:val="20286D"/>
              </w:rPr>
              <w:t>$</w:t>
            </w:r>
          </w:p>
        </w:tc>
        <w:tc>
          <w:tcPr>
            <w:tcW w:w="1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b w:val="1"/>
                <w:bCs w:val="1"/>
                <w:color w:val="20286D"/>
              </w:rPr>
              <w:t>$</w:t>
            </w:r>
          </w:p>
        </w:tc>
      </w:tr>
      <w:tr>
        <w:trPr>
          <w:trHeight w:val="198"/>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As at 1 July 2020</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162,102,553</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4,498,830</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796,095</w:t>
            </w:r>
          </w:p>
        </w:tc>
        <w:tc>
          <w:tcPr>
            <w:tcW w:w="12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(102,589,341)</w:t>
            </w:r>
          </w:p>
        </w:tc>
        <w:tc>
          <w:tcPr>
            <w:tcW w:w="11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64,808,137</w:t>
            </w:r>
          </w:p>
        </w:tc>
      </w:tr>
      <w:tr>
        <w:trPr>
          <w:trHeight w:val="196"/>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Fair value gains on investments in financial assets</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649,804</w:t>
            </w:r>
          </w:p>
        </w:tc>
        <w:tc>
          <w:tcPr>
            <w:tcW w:w="1240" w:type="dxa"/>
            <w:vAlign w:val="bottom"/>
            <w:tcBorders>
              <w:bottom w:val="single" w:sz="8" w:color="00AFB7"/>
            </w:tcBorders>
          </w:tcPr>
          <w:p>
            <w:pPr>
              <w:jc w:val="right"/>
              <w:ind w:right="16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649,804</w:t>
            </w:r>
          </w:p>
        </w:tc>
      </w:tr>
      <w:tr>
        <w:trPr>
          <w:trHeight w:val="196"/>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Loss for the period</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(34,982,213)</w:t>
            </w:r>
          </w:p>
        </w:tc>
        <w:tc>
          <w:tcPr>
            <w:tcW w:w="116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(34,982,213)</w:t>
            </w:r>
          </w:p>
        </w:tc>
      </w:tr>
      <w:tr>
        <w:trPr>
          <w:trHeight w:val="196"/>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Total comprehensive income and expense for the period</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649,804</w:t>
            </w:r>
          </w:p>
        </w:tc>
        <w:tc>
          <w:tcPr>
            <w:tcW w:w="12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(34,982,213)</w:t>
            </w:r>
          </w:p>
        </w:tc>
        <w:tc>
          <w:tcPr>
            <w:tcW w:w="116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(34,332,409)</w:t>
            </w:r>
          </w:p>
        </w:tc>
      </w:tr>
      <w:tr>
        <w:trPr>
          <w:trHeight w:val="196"/>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Recognition of share based payment</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2,218,242</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00AFB7"/>
            </w:tcBorders>
          </w:tcPr>
          <w:p>
            <w:pPr>
              <w:jc w:val="right"/>
              <w:ind w:right="16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2,218,242</w:t>
            </w:r>
          </w:p>
        </w:tc>
      </w:tr>
      <w:tr>
        <w:trPr>
          <w:trHeight w:val="196"/>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Issue of ordinary shares</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148,623,205</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00AFB7"/>
            </w:tcBorders>
          </w:tcPr>
          <w:p>
            <w:pPr>
              <w:jc w:val="right"/>
              <w:ind w:right="16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148,623,205</w:t>
            </w:r>
          </w:p>
        </w:tc>
      </w:tr>
      <w:tr>
        <w:trPr>
          <w:trHeight w:val="196"/>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Issue of pre-funded warrants</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16,268,932</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00AFB7"/>
            </w:tcBorders>
          </w:tcPr>
          <w:p>
            <w:pPr>
              <w:jc w:val="right"/>
              <w:ind w:right="16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16,268,932</w:t>
            </w:r>
          </w:p>
        </w:tc>
      </w:tr>
      <w:tr>
        <w:trPr>
          <w:trHeight w:val="196"/>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Balance as at 31 December 2020</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326,994,690</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6,717,072</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1,445,899</w:t>
            </w:r>
          </w:p>
        </w:tc>
        <w:tc>
          <w:tcPr>
            <w:tcW w:w="12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(137,571,554)</w:t>
            </w:r>
          </w:p>
        </w:tc>
        <w:tc>
          <w:tcPr>
            <w:tcW w:w="11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197,586,107</w:t>
            </w:r>
          </w:p>
        </w:tc>
      </w:tr>
      <w:tr>
        <w:trPr>
          <w:trHeight w:val="200"/>
        </w:trPr>
        <w:tc>
          <w:tcPr>
            <w:tcW w:w="4600" w:type="dxa"/>
            <w:vAlign w:val="bottom"/>
            <w:tcBorders>
              <w:bottom w:val="single" w:sz="8" w:color="00AFB7"/>
            </w:tcBorders>
          </w:tcPr>
          <w:p>
            <w:pPr>
              <w:spacing w:after="0"/>
              <w:rPr>
                <w:sz w:val="17"/>
                <w:szCs w:val="17"/>
                <w:color w:val="auto"/>
              </w:rPr>
            </w:pPr>
          </w:p>
        </w:tc>
        <w:tc>
          <w:tcPr>
            <w:tcW w:w="184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tcPr>
          <w:p>
            <w:pPr>
              <w:spacing w:after="0"/>
              <w:rPr>
                <w:sz w:val="17"/>
                <w:szCs w:val="17"/>
                <w:color w:val="auto"/>
              </w:rPr>
            </w:pPr>
          </w:p>
        </w:tc>
        <w:tc>
          <w:tcPr>
            <w:tcW w:w="1100" w:type="dxa"/>
            <w:vAlign w:val="bottom"/>
            <w:tcBorders>
              <w:bottom w:val="single" w:sz="8" w:color="00AFB7"/>
            </w:tcBorders>
          </w:tcPr>
          <w:p>
            <w:pPr>
              <w:spacing w:after="0"/>
              <w:rPr>
                <w:sz w:val="17"/>
                <w:szCs w:val="17"/>
                <w:color w:val="auto"/>
              </w:rPr>
            </w:pPr>
          </w:p>
        </w:tc>
        <w:tc>
          <w:tcPr>
            <w:tcW w:w="1240" w:type="dxa"/>
            <w:vAlign w:val="bottom"/>
            <w:tcBorders>
              <w:bottom w:val="single" w:sz="8" w:color="00AFB7"/>
            </w:tcBorders>
          </w:tcPr>
          <w:p>
            <w:pPr>
              <w:spacing w:after="0"/>
              <w:rPr>
                <w:sz w:val="17"/>
                <w:szCs w:val="17"/>
                <w:color w:val="auto"/>
              </w:rPr>
            </w:pPr>
          </w:p>
        </w:tc>
        <w:tc>
          <w:tcPr>
            <w:tcW w:w="1160" w:type="dxa"/>
            <w:vAlign w:val="bottom"/>
            <w:tcBorders>
              <w:bottom w:val="single" w:sz="8" w:color="00AFB7"/>
            </w:tcBorders>
          </w:tcPr>
          <w:p>
            <w:pPr>
              <w:spacing w:after="0"/>
              <w:rPr>
                <w:sz w:val="17"/>
                <w:szCs w:val="17"/>
                <w:color w:val="auto"/>
              </w:rPr>
            </w:pPr>
          </w:p>
        </w:tc>
      </w:tr>
      <w:tr>
        <w:trPr>
          <w:trHeight w:val="192"/>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As at 1 July 2019</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113,021,993</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3,420,348</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737,255</w:t>
            </w:r>
          </w:p>
        </w:tc>
        <w:tc>
          <w:tcPr>
            <w:tcW w:w="12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(86,060,059)</w:t>
            </w:r>
          </w:p>
        </w:tc>
        <w:tc>
          <w:tcPr>
            <w:tcW w:w="11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31,119,537</w:t>
            </w:r>
          </w:p>
        </w:tc>
      </w:tr>
      <w:tr>
        <w:trPr>
          <w:trHeight w:val="196"/>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Fair value gains on investments in financial assets</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83,696</w:t>
            </w:r>
          </w:p>
        </w:tc>
        <w:tc>
          <w:tcPr>
            <w:tcW w:w="1240" w:type="dxa"/>
            <w:vAlign w:val="bottom"/>
            <w:tcBorders>
              <w:bottom w:val="single" w:sz="8" w:color="00AFB7"/>
            </w:tcBorders>
          </w:tcPr>
          <w:p>
            <w:pPr>
              <w:jc w:val="right"/>
              <w:ind w:right="16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83,696</w:t>
            </w:r>
          </w:p>
        </w:tc>
      </w:tr>
      <w:tr>
        <w:trPr>
          <w:trHeight w:val="196"/>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Loss for the period</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(7,620,018)</w:t>
            </w:r>
          </w:p>
        </w:tc>
        <w:tc>
          <w:tcPr>
            <w:tcW w:w="116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(7,620,018)</w:t>
            </w:r>
          </w:p>
        </w:tc>
      </w:tr>
      <w:tr>
        <w:trPr>
          <w:trHeight w:val="196"/>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Total comprehensive income and expense for the period</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83,696</w:t>
            </w:r>
          </w:p>
        </w:tc>
        <w:tc>
          <w:tcPr>
            <w:tcW w:w="12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(7,620,018)</w:t>
            </w:r>
          </w:p>
        </w:tc>
        <w:tc>
          <w:tcPr>
            <w:tcW w:w="116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(7,536,322)</w:t>
            </w:r>
          </w:p>
        </w:tc>
      </w:tr>
      <w:tr>
        <w:trPr>
          <w:trHeight w:val="196"/>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Recognition of share based payment</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880,365</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00AFB7"/>
            </w:tcBorders>
          </w:tcPr>
          <w:p>
            <w:pPr>
              <w:jc w:val="right"/>
              <w:ind w:right="16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880,365</w:t>
            </w:r>
          </w:p>
        </w:tc>
      </w:tr>
      <w:tr>
        <w:trPr>
          <w:trHeight w:val="196"/>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Issue of ordinary shares and exercise of LTIP options</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49,142,444</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00AFB7"/>
            </w:tcBorders>
          </w:tcPr>
          <w:p>
            <w:pPr>
              <w:jc w:val="right"/>
              <w:ind w:right="16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49,142,444</w:t>
            </w:r>
          </w:p>
        </w:tc>
      </w:tr>
      <w:tr>
        <w:trPr>
          <w:trHeight w:val="196"/>
        </w:trPr>
        <w:tc>
          <w:tcPr>
            <w:tcW w:w="460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Balance as at 31 December 2019</w:t>
            </w:r>
          </w:p>
        </w:tc>
        <w:tc>
          <w:tcPr>
            <w:tcW w:w="18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162,164,437</w:t>
            </w:r>
          </w:p>
        </w:tc>
        <w:tc>
          <w:tcPr>
            <w:tcW w:w="108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4,300,713</w:t>
            </w:r>
          </w:p>
        </w:tc>
        <w:tc>
          <w:tcPr>
            <w:tcW w:w="110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820,951</w:t>
            </w:r>
          </w:p>
        </w:tc>
        <w:tc>
          <w:tcPr>
            <w:tcW w:w="124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(93,680,077)</w:t>
            </w:r>
          </w:p>
        </w:tc>
        <w:tc>
          <w:tcPr>
            <w:tcW w:w="11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73,606,024</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Notes to the financial statements are included on pages 9 to 15.</w:t>
      </w:r>
    </w:p>
    <w:p>
      <w:pPr>
        <w:sectPr>
          <w:pgSz w:w="11900" w:h="16838" w:orient="portrait"/>
          <w:cols w:equalWidth="0" w:num="1">
            <w:col w:w="11020"/>
          </w:cols>
          <w:pgMar w:left="440" w:top="644" w:right="439" w:bottom="1440" w:gutter="0" w:footer="0" w:header="0"/>
        </w:sectPr>
      </w:pPr>
    </w:p>
    <w:bookmarkStart w:id="15" w:name="page16"/>
    <w:bookmarkEnd w:id="15"/>
    <w:p>
      <w:pPr>
        <w:ind w:left="960"/>
        <w:spacing w:after="0"/>
        <w:rPr>
          <w:sz w:val="20"/>
          <w:szCs w:val="20"/>
          <w:color w:val="auto"/>
        </w:rPr>
      </w:pPr>
      <w:r>
        <w:rPr>
          <w:rFonts w:ascii="Arial" w:cs="Arial" w:eastAsia="Arial" w:hAnsi="Arial"/>
          <w:sz w:val="13"/>
          <w:szCs w:val="13"/>
          <w:color w:val="00AFB7"/>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497205"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7205" cy="85725"/>
                    </a:xfrm>
                    <a:prstGeom prst="rect">
                      <a:avLst/>
                    </a:prstGeom>
                    <a:noFill/>
                  </pic:spPr>
                </pic:pic>
              </a:graphicData>
            </a:graphic>
          </wp:anchor>
        </w:drawing>
      </w:r>
    </w:p>
    <w:p>
      <w:pPr>
        <w:spacing w:after="0" w:line="334" w:lineRule="exact"/>
        <w:rPr>
          <w:sz w:val="20"/>
          <w:szCs w:val="20"/>
          <w:color w:val="auto"/>
        </w:rPr>
      </w:pPr>
    </w:p>
    <w:p>
      <w:pPr>
        <w:ind w:right="500"/>
        <w:spacing w:after="0" w:line="254" w:lineRule="auto"/>
        <w:rPr>
          <w:sz w:val="20"/>
          <w:szCs w:val="20"/>
          <w:color w:val="auto"/>
        </w:rPr>
      </w:pPr>
      <w:r>
        <w:rPr>
          <w:rFonts w:ascii="Arial" w:cs="Arial" w:eastAsia="Arial" w:hAnsi="Arial"/>
          <w:sz w:val="36"/>
          <w:szCs w:val="36"/>
          <w:color w:val="00AFB7"/>
        </w:rPr>
        <w:t>CONDENSED CONSOLIDATED STATEMENT OF CASH FLOWS FOR THE HALF-YEAR ENDED 31 DECEMBER 2020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740" w:type="dxa"/>
            <w:vAlign w:val="bottom"/>
          </w:tcPr>
          <w:p>
            <w:pPr>
              <w:spacing w:after="0"/>
              <w:rPr>
                <w:sz w:val="15"/>
                <w:szCs w:val="15"/>
                <w:color w:val="auto"/>
              </w:rPr>
            </w:pPr>
          </w:p>
        </w:tc>
        <w:tc>
          <w:tcPr>
            <w:tcW w:w="2280" w:type="dxa"/>
            <w:vAlign w:val="bottom"/>
            <w:gridSpan w:val="2"/>
          </w:tcPr>
          <w:p>
            <w:pPr>
              <w:jc w:val="right"/>
              <w:ind w:right="644"/>
              <w:spacing w:after="0"/>
              <w:rPr>
                <w:sz w:val="20"/>
                <w:szCs w:val="20"/>
                <w:color w:val="auto"/>
              </w:rPr>
            </w:pPr>
            <w:r>
              <w:rPr>
                <w:rFonts w:ascii="Arial" w:cs="Arial" w:eastAsia="Arial" w:hAnsi="Arial"/>
                <w:sz w:val="15"/>
                <w:szCs w:val="15"/>
                <w:b w:val="1"/>
                <w:bCs w:val="1"/>
                <w:color w:val="20286D"/>
              </w:rPr>
              <w:t>31 December</w:t>
            </w:r>
          </w:p>
        </w:tc>
      </w:tr>
      <w:tr>
        <w:trPr>
          <w:trHeight w:val="249"/>
        </w:trPr>
        <w:tc>
          <w:tcPr>
            <w:tcW w:w="8740" w:type="dxa"/>
            <w:vAlign w:val="bottom"/>
          </w:tcPr>
          <w:p>
            <w:pPr>
              <w:spacing w:after="0"/>
              <w:rPr>
                <w:sz w:val="21"/>
                <w:szCs w:val="21"/>
                <w:color w:val="auto"/>
              </w:rPr>
            </w:pPr>
          </w:p>
        </w:tc>
        <w:tc>
          <w:tcPr>
            <w:tcW w:w="1100" w:type="dxa"/>
            <w:vAlign w:val="bottom"/>
            <w:shd w:val="clear" w:color="auto" w:fill="E5F7F7"/>
          </w:tcPr>
          <w:p>
            <w:pPr>
              <w:jc w:val="right"/>
              <w:ind w:right="24"/>
              <w:spacing w:after="0"/>
              <w:rPr>
                <w:sz w:val="20"/>
                <w:szCs w:val="20"/>
                <w:color w:val="auto"/>
              </w:rPr>
            </w:pPr>
            <w:r>
              <w:rPr>
                <w:rFonts w:ascii="Arial" w:cs="Arial" w:eastAsia="Arial" w:hAnsi="Arial"/>
                <w:sz w:val="15"/>
                <w:szCs w:val="15"/>
                <w:b w:val="1"/>
                <w:bCs w:val="1"/>
                <w:color w:val="20286D"/>
              </w:rPr>
              <w:t>2020</w:t>
            </w:r>
          </w:p>
        </w:tc>
        <w:tc>
          <w:tcPr>
            <w:tcW w:w="1180" w:type="dxa"/>
            <w:vAlign w:val="bottom"/>
          </w:tcPr>
          <w:p>
            <w:pPr>
              <w:jc w:val="right"/>
              <w:ind w:right="124"/>
              <w:spacing w:after="0"/>
              <w:rPr>
                <w:sz w:val="20"/>
                <w:szCs w:val="20"/>
                <w:color w:val="auto"/>
              </w:rPr>
            </w:pPr>
            <w:r>
              <w:rPr>
                <w:rFonts w:ascii="Arial" w:cs="Arial" w:eastAsia="Arial" w:hAnsi="Arial"/>
                <w:sz w:val="15"/>
                <w:szCs w:val="15"/>
                <w:b w:val="1"/>
                <w:bCs w:val="1"/>
                <w:color w:val="20286D"/>
              </w:rPr>
              <w:t>2019</w:t>
            </w:r>
          </w:p>
        </w:tc>
      </w:tr>
      <w:tr>
        <w:trPr>
          <w:trHeight w:val="204"/>
        </w:trPr>
        <w:tc>
          <w:tcPr>
            <w:tcW w:w="8740" w:type="dxa"/>
            <w:vAlign w:val="bottom"/>
            <w:tcBorders>
              <w:bottom w:val="single" w:sz="8" w:color="00AFB7"/>
            </w:tcBorders>
          </w:tcPr>
          <w:p>
            <w:pPr>
              <w:spacing w:after="0"/>
              <w:rPr>
                <w:sz w:val="17"/>
                <w:szCs w:val="17"/>
                <w:color w:val="auto"/>
              </w:rPr>
            </w:pPr>
          </w:p>
        </w:tc>
        <w:tc>
          <w:tcPr>
            <w:tcW w:w="110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b w:val="1"/>
                <w:bCs w:val="1"/>
                <w:color w:val="20286D"/>
              </w:rPr>
              <w:t>$</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b w:val="1"/>
                <w:bCs w:val="1"/>
                <w:color w:val="20286D"/>
              </w:rPr>
              <w:t>$</w:t>
            </w:r>
          </w:p>
        </w:tc>
      </w:tr>
      <w:tr>
        <w:trPr>
          <w:trHeight w:val="198"/>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Cash flows from operating activities</w:t>
            </w:r>
          </w:p>
        </w:tc>
        <w:tc>
          <w:tcPr>
            <w:tcW w:w="1100" w:type="dxa"/>
            <w:vAlign w:val="bottom"/>
            <w:tcBorders>
              <w:bottom w:val="single" w:sz="8" w:color="00AFB7"/>
            </w:tcBorders>
            <w:shd w:val="clear" w:color="auto" w:fill="E5F7F7"/>
          </w:tcPr>
          <w:p>
            <w:pPr>
              <w:spacing w:after="0"/>
              <w:rPr>
                <w:sz w:val="17"/>
                <w:szCs w:val="17"/>
                <w:color w:val="auto"/>
              </w:rPr>
            </w:pPr>
          </w:p>
        </w:tc>
        <w:tc>
          <w:tcPr>
            <w:tcW w:w="1180" w:type="dxa"/>
            <w:vAlign w:val="bottom"/>
            <w:tcBorders>
              <w:bottom w:val="single" w:sz="8" w:color="00AFB7"/>
            </w:tcBorders>
          </w:tcPr>
          <w:p>
            <w:pPr>
              <w:spacing w:after="0"/>
              <w:rPr>
                <w:sz w:val="17"/>
                <w:szCs w:val="17"/>
                <w:color w:val="auto"/>
              </w:rPr>
            </w:pP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Interest received</w:t>
            </w:r>
          </w:p>
        </w:tc>
        <w:tc>
          <w:tcPr>
            <w:tcW w:w="110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237,547</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223,521</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Royalty and licence income received</w:t>
            </w:r>
          </w:p>
        </w:tc>
        <w:tc>
          <w:tcPr>
            <w:tcW w:w="110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49,320</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25,412</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Grant income received</w:t>
            </w:r>
          </w:p>
        </w:tc>
        <w:tc>
          <w:tcPr>
            <w:tcW w:w="110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37,500</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Payment of lease interest</w:t>
            </w:r>
          </w:p>
        </w:tc>
        <w:tc>
          <w:tcPr>
            <w:tcW w:w="110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(3,840)</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Payments to suppliers, employees and for research and development and intellectual property costs (inclusive of GST)</w:t>
            </w:r>
          </w:p>
        </w:tc>
        <w:tc>
          <w:tcPr>
            <w:tcW w:w="110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(33,584,098)</w:t>
            </w:r>
          </w:p>
        </w:tc>
        <w:tc>
          <w:tcPr>
            <w:tcW w:w="11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(10,975,551)</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Research and development tax incentive scheme credit received</w:t>
            </w:r>
          </w:p>
        </w:tc>
        <w:tc>
          <w:tcPr>
            <w:tcW w:w="110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8,533,123</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14,636,973</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Net cash flows (used in)/provided by operating activities</w:t>
            </w:r>
          </w:p>
        </w:tc>
        <w:tc>
          <w:tcPr>
            <w:tcW w:w="110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20286D"/>
              </w:rPr>
              <w:t>(24,730,448)</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3,910,355</w:t>
            </w:r>
          </w:p>
        </w:tc>
      </w:tr>
      <w:tr>
        <w:trPr>
          <w:trHeight w:val="200"/>
        </w:trPr>
        <w:tc>
          <w:tcPr>
            <w:tcW w:w="8740" w:type="dxa"/>
            <w:vAlign w:val="bottom"/>
            <w:tcBorders>
              <w:bottom w:val="single" w:sz="8" w:color="00AFB7"/>
            </w:tcBorders>
          </w:tcPr>
          <w:p>
            <w:pPr>
              <w:spacing w:after="0"/>
              <w:rPr>
                <w:sz w:val="17"/>
                <w:szCs w:val="17"/>
                <w:color w:val="auto"/>
              </w:rPr>
            </w:pPr>
          </w:p>
        </w:tc>
        <w:tc>
          <w:tcPr>
            <w:tcW w:w="1100" w:type="dxa"/>
            <w:vAlign w:val="bottom"/>
            <w:tcBorders>
              <w:bottom w:val="single" w:sz="8" w:color="00AFB7"/>
            </w:tcBorders>
            <w:shd w:val="clear" w:color="auto" w:fill="E5F7F7"/>
          </w:tcPr>
          <w:p>
            <w:pPr>
              <w:spacing w:after="0"/>
              <w:rPr>
                <w:sz w:val="17"/>
                <w:szCs w:val="17"/>
                <w:color w:val="auto"/>
              </w:rPr>
            </w:pPr>
          </w:p>
        </w:tc>
        <w:tc>
          <w:tcPr>
            <w:tcW w:w="1180" w:type="dxa"/>
            <w:vAlign w:val="bottom"/>
            <w:tcBorders>
              <w:bottom w:val="single" w:sz="8" w:color="00AFB7"/>
            </w:tcBorders>
          </w:tcPr>
          <w:p>
            <w:pPr>
              <w:spacing w:after="0"/>
              <w:rPr>
                <w:sz w:val="17"/>
                <w:szCs w:val="17"/>
                <w:color w:val="auto"/>
              </w:rPr>
            </w:pPr>
          </w:p>
        </w:tc>
      </w:tr>
      <w:tr>
        <w:trPr>
          <w:trHeight w:val="192"/>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Cash flows from investing activities</w:t>
            </w:r>
          </w:p>
        </w:tc>
        <w:tc>
          <w:tcPr>
            <w:tcW w:w="1100" w:type="dxa"/>
            <w:vAlign w:val="bottom"/>
            <w:tcBorders>
              <w:bottom w:val="single" w:sz="8" w:color="00AFB7"/>
            </w:tcBorders>
            <w:shd w:val="clear" w:color="auto" w:fill="E5F7F7"/>
          </w:tcPr>
          <w:p>
            <w:pPr>
              <w:spacing w:after="0"/>
              <w:rPr>
                <w:sz w:val="16"/>
                <w:szCs w:val="16"/>
                <w:color w:val="auto"/>
              </w:rPr>
            </w:pPr>
          </w:p>
        </w:tc>
        <w:tc>
          <w:tcPr>
            <w:tcW w:w="1180" w:type="dxa"/>
            <w:vAlign w:val="bottom"/>
            <w:tcBorders>
              <w:bottom w:val="single" w:sz="8" w:color="00AFB7"/>
            </w:tcBorders>
          </w:tcPr>
          <w:p>
            <w:pPr>
              <w:spacing w:after="0"/>
              <w:rPr>
                <w:sz w:val="16"/>
                <w:szCs w:val="16"/>
                <w:color w:val="auto"/>
              </w:rPr>
            </w:pP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Cash received on disposal of financial asset</w:t>
            </w:r>
          </w:p>
        </w:tc>
        <w:tc>
          <w:tcPr>
            <w:tcW w:w="110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939,784</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482,978</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Purchase of plant and equipment</w:t>
            </w:r>
          </w:p>
        </w:tc>
        <w:tc>
          <w:tcPr>
            <w:tcW w:w="110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(2,635)</w:t>
            </w:r>
          </w:p>
        </w:tc>
        <w:tc>
          <w:tcPr>
            <w:tcW w:w="11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(4,159)</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Net cash flows provided by investing activities</w:t>
            </w:r>
          </w:p>
        </w:tc>
        <w:tc>
          <w:tcPr>
            <w:tcW w:w="110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937,149</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478,819</w:t>
            </w:r>
          </w:p>
        </w:tc>
      </w:tr>
      <w:tr>
        <w:trPr>
          <w:trHeight w:val="200"/>
        </w:trPr>
        <w:tc>
          <w:tcPr>
            <w:tcW w:w="8740" w:type="dxa"/>
            <w:vAlign w:val="bottom"/>
            <w:tcBorders>
              <w:bottom w:val="single" w:sz="8" w:color="00AFB7"/>
            </w:tcBorders>
          </w:tcPr>
          <w:p>
            <w:pPr>
              <w:spacing w:after="0"/>
              <w:rPr>
                <w:sz w:val="17"/>
                <w:szCs w:val="17"/>
                <w:color w:val="auto"/>
              </w:rPr>
            </w:pPr>
          </w:p>
        </w:tc>
        <w:tc>
          <w:tcPr>
            <w:tcW w:w="1100" w:type="dxa"/>
            <w:vAlign w:val="bottom"/>
            <w:tcBorders>
              <w:bottom w:val="single" w:sz="8" w:color="00AFB7"/>
            </w:tcBorders>
            <w:shd w:val="clear" w:color="auto" w:fill="E5F7F7"/>
          </w:tcPr>
          <w:p>
            <w:pPr>
              <w:spacing w:after="0"/>
              <w:rPr>
                <w:sz w:val="17"/>
                <w:szCs w:val="17"/>
                <w:color w:val="auto"/>
              </w:rPr>
            </w:pPr>
          </w:p>
        </w:tc>
        <w:tc>
          <w:tcPr>
            <w:tcW w:w="1180" w:type="dxa"/>
            <w:vAlign w:val="bottom"/>
            <w:tcBorders>
              <w:bottom w:val="single" w:sz="8" w:color="00AFB7"/>
            </w:tcBorders>
          </w:tcPr>
          <w:p>
            <w:pPr>
              <w:spacing w:after="0"/>
              <w:rPr>
                <w:sz w:val="17"/>
                <w:szCs w:val="17"/>
                <w:color w:val="auto"/>
              </w:rPr>
            </w:pPr>
          </w:p>
        </w:tc>
      </w:tr>
      <w:tr>
        <w:trPr>
          <w:trHeight w:val="192"/>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Cash flows from financing activities</w:t>
            </w:r>
          </w:p>
        </w:tc>
        <w:tc>
          <w:tcPr>
            <w:tcW w:w="1100" w:type="dxa"/>
            <w:vAlign w:val="bottom"/>
            <w:tcBorders>
              <w:bottom w:val="single" w:sz="8" w:color="00AFB7"/>
            </w:tcBorders>
            <w:shd w:val="clear" w:color="auto" w:fill="E5F7F7"/>
          </w:tcPr>
          <w:p>
            <w:pPr>
              <w:spacing w:after="0"/>
              <w:rPr>
                <w:sz w:val="16"/>
                <w:szCs w:val="16"/>
                <w:color w:val="auto"/>
              </w:rPr>
            </w:pPr>
          </w:p>
        </w:tc>
        <w:tc>
          <w:tcPr>
            <w:tcW w:w="1180" w:type="dxa"/>
            <w:vAlign w:val="bottom"/>
            <w:tcBorders>
              <w:bottom w:val="single" w:sz="8" w:color="00AFB7"/>
            </w:tcBorders>
          </w:tcPr>
          <w:p>
            <w:pPr>
              <w:spacing w:after="0"/>
              <w:rPr>
                <w:sz w:val="16"/>
                <w:szCs w:val="16"/>
                <w:color w:val="auto"/>
              </w:rPr>
            </w:pP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Payment of lease liabilities</w:t>
            </w:r>
          </w:p>
        </w:tc>
        <w:tc>
          <w:tcPr>
            <w:tcW w:w="110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(59,184)</w:t>
            </w:r>
          </w:p>
        </w:tc>
        <w:tc>
          <w:tcPr>
            <w:tcW w:w="11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(66,664)</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Net proceeds on issue of ordinary shares</w:t>
            </w:r>
          </w:p>
        </w:tc>
        <w:tc>
          <w:tcPr>
            <w:tcW w:w="110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148,623,205</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49,142,444</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Net proceeds on issue of pre-funded warrants</w:t>
            </w:r>
          </w:p>
        </w:tc>
        <w:tc>
          <w:tcPr>
            <w:tcW w:w="110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16,268,932</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Net cash flows provided by financing activities</w:t>
            </w:r>
          </w:p>
        </w:tc>
        <w:tc>
          <w:tcPr>
            <w:tcW w:w="110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164,832,953</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49,075,780</w:t>
            </w:r>
          </w:p>
        </w:tc>
      </w:tr>
      <w:tr>
        <w:trPr>
          <w:trHeight w:val="200"/>
        </w:trPr>
        <w:tc>
          <w:tcPr>
            <w:tcW w:w="8740" w:type="dxa"/>
            <w:vAlign w:val="bottom"/>
            <w:tcBorders>
              <w:bottom w:val="single" w:sz="8" w:color="00AFB7"/>
            </w:tcBorders>
          </w:tcPr>
          <w:p>
            <w:pPr>
              <w:spacing w:after="0"/>
              <w:rPr>
                <w:sz w:val="17"/>
                <w:szCs w:val="17"/>
                <w:color w:val="auto"/>
              </w:rPr>
            </w:pPr>
          </w:p>
        </w:tc>
        <w:tc>
          <w:tcPr>
            <w:tcW w:w="1100" w:type="dxa"/>
            <w:vAlign w:val="bottom"/>
            <w:tcBorders>
              <w:bottom w:val="single" w:sz="8" w:color="00AFB7"/>
            </w:tcBorders>
            <w:shd w:val="clear" w:color="auto" w:fill="E5F7F7"/>
          </w:tcPr>
          <w:p>
            <w:pPr>
              <w:spacing w:after="0"/>
              <w:rPr>
                <w:sz w:val="17"/>
                <w:szCs w:val="17"/>
                <w:color w:val="auto"/>
              </w:rPr>
            </w:pPr>
          </w:p>
        </w:tc>
        <w:tc>
          <w:tcPr>
            <w:tcW w:w="1180" w:type="dxa"/>
            <w:vAlign w:val="bottom"/>
            <w:tcBorders>
              <w:bottom w:val="single" w:sz="8" w:color="00AFB7"/>
            </w:tcBorders>
          </w:tcPr>
          <w:p>
            <w:pPr>
              <w:spacing w:after="0"/>
              <w:rPr>
                <w:sz w:val="17"/>
                <w:szCs w:val="17"/>
                <w:color w:val="auto"/>
              </w:rPr>
            </w:pPr>
          </w:p>
        </w:tc>
      </w:tr>
      <w:tr>
        <w:trPr>
          <w:trHeight w:val="192"/>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Net increase in cash and cash equivalents</w:t>
            </w:r>
          </w:p>
        </w:tc>
        <w:tc>
          <w:tcPr>
            <w:tcW w:w="110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141,039,654</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53,464,954</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Effect of foreign exchange rate changes</w:t>
            </w:r>
          </w:p>
        </w:tc>
        <w:tc>
          <w:tcPr>
            <w:tcW w:w="110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(515,051)</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87,778</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Cash and cash equivalents at beginning of the period</w:t>
            </w:r>
          </w:p>
        </w:tc>
        <w:tc>
          <w:tcPr>
            <w:tcW w:w="110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62,020,382</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auto"/>
              </w:rPr>
              <w:t>21,534,919</w:t>
            </w:r>
          </w:p>
        </w:tc>
      </w:tr>
      <w:tr>
        <w:trPr>
          <w:trHeight w:val="196"/>
        </w:trPr>
        <w:tc>
          <w:tcPr>
            <w:tcW w:w="874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Cash and cash equivalents at end of the period</w:t>
            </w:r>
          </w:p>
        </w:tc>
        <w:tc>
          <w:tcPr>
            <w:tcW w:w="110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202,544,985</w:t>
            </w:r>
          </w:p>
        </w:tc>
        <w:tc>
          <w:tcPr>
            <w:tcW w:w="1180" w:type="dxa"/>
            <w:vAlign w:val="bottom"/>
            <w:tcBorders>
              <w:bottom w:val="single" w:sz="8" w:color="00AFB7"/>
            </w:tcBorders>
          </w:tcPr>
          <w:p>
            <w:pPr>
              <w:jc w:val="right"/>
              <w:ind w:right="124"/>
              <w:spacing w:after="0"/>
              <w:rPr>
                <w:sz w:val="20"/>
                <w:szCs w:val="20"/>
                <w:color w:val="auto"/>
              </w:rPr>
            </w:pPr>
            <w:r>
              <w:rPr>
                <w:rFonts w:ascii="Arial" w:cs="Arial" w:eastAsia="Arial" w:hAnsi="Arial"/>
                <w:sz w:val="15"/>
                <w:szCs w:val="15"/>
                <w:color w:val="20286D"/>
              </w:rPr>
              <w:t>75,087,651</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Notes to the financial statements are included on pages 9 to 15.</w:t>
      </w:r>
    </w:p>
    <w:p>
      <w:pPr>
        <w:sectPr>
          <w:pgSz w:w="11900" w:h="16838" w:orient="portrait"/>
          <w:cols w:equalWidth="0" w:num="1">
            <w:col w:w="11020"/>
          </w:cols>
          <w:pgMar w:left="440" w:top="282" w:right="439" w:bottom="1440" w:gutter="0" w:footer="0" w:header="0"/>
        </w:sectPr>
      </w:pPr>
    </w:p>
    <w:bookmarkStart w:id="16" w:name="page17"/>
    <w:bookmarkEnd w:id="16"/>
    <w:p>
      <w:pPr>
        <w:ind w:left="364"/>
        <w:spacing w:after="0"/>
        <w:tabs>
          <w:tab w:leader="none" w:pos="1124" w:val="left"/>
          <w:tab w:leader="none" w:pos="1344" w:val="left"/>
          <w:tab w:leader="none" w:pos="10924" w:val="left"/>
        </w:tabs>
        <w:rPr>
          <w:sz w:val="20"/>
          <w:szCs w:val="20"/>
          <w:color w:val="auto"/>
        </w:rPr>
      </w:pPr>
      <w:r>
        <w:rPr>
          <w:rFonts w:ascii="Arial" w:cs="Arial" w:eastAsia="Arial" w:hAnsi="Arial"/>
          <w:sz w:val="13"/>
          <w:szCs w:val="13"/>
          <w:b w:val="1"/>
          <w:bCs w:val="1"/>
          <w:color w:val="00AFB7"/>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183515</wp:posOffset>
            </wp:positionV>
            <wp:extent cx="17145" cy="334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 cy="334645"/>
                    </a:xfrm>
                    <a:prstGeom prst="rect">
                      <a:avLst/>
                    </a:prstGeom>
                    <a:noFill/>
                  </pic:spPr>
                </pic:pic>
              </a:graphicData>
            </a:graphic>
          </wp:anchor>
        </w:drawing>
        <w:t>O p t h e a</w:t>
      </w:r>
      <w:r>
        <w:rPr>
          <w:sz w:val="20"/>
          <w:szCs w:val="20"/>
          <w:color w:val="auto"/>
        </w:rPr>
        <w:tab/>
      </w:r>
      <w:r>
        <w:rPr>
          <w:rFonts w:ascii="Arial" w:cs="Arial" w:eastAsia="Arial" w:hAnsi="Arial"/>
          <w:sz w:val="13"/>
          <w:szCs w:val="13"/>
          <w:color w:val="00AFB7"/>
        </w:rPr>
        <w:t>|</w:t>
        <w:tab/>
        <w:t>H A L F Y E A R R E P O R T F O R T H E H A L F - Y E A R E N D E D 3 1 D E C E M B E R 2 0 2 0</w:t>
      </w:r>
      <w:r>
        <w:rPr>
          <w:sz w:val="20"/>
          <w:szCs w:val="20"/>
          <w:color w:val="auto"/>
        </w:rPr>
        <w:tab/>
      </w:r>
      <w:r>
        <w:rPr>
          <w:rFonts w:ascii="Arial" w:cs="Arial" w:eastAsia="Arial" w:hAnsi="Arial"/>
          <w:sz w:val="13"/>
          <w:szCs w:val="13"/>
          <w:color w:val="00AFB7"/>
        </w:rPr>
        <w:t>9</w:t>
      </w:r>
    </w:p>
    <w:p>
      <w:pPr>
        <w:sectPr>
          <w:pgSz w:w="11900" w:h="16838" w:orient="portrait"/>
          <w:cols w:equalWidth="0" w:num="1">
            <w:col w:w="11024"/>
          </w:cols>
          <w:pgMar w:left="436" w:top="644" w:right="439" w:bottom="1440" w:gutter="0" w:footer="0" w:header="0"/>
        </w:sectPr>
      </w:pPr>
    </w:p>
    <w:p>
      <w:pPr>
        <w:spacing w:after="0" w:line="384" w:lineRule="exact"/>
        <w:rPr>
          <w:sz w:val="20"/>
          <w:szCs w:val="20"/>
          <w:color w:val="auto"/>
        </w:rPr>
      </w:pPr>
    </w:p>
    <w:p>
      <w:pPr>
        <w:ind w:left="4" w:right="3060"/>
        <w:spacing w:after="0" w:line="258" w:lineRule="auto"/>
        <w:rPr>
          <w:sz w:val="20"/>
          <w:szCs w:val="20"/>
          <w:color w:val="auto"/>
        </w:rPr>
      </w:pPr>
      <w:r>
        <w:rPr>
          <w:rFonts w:ascii="Arial" w:cs="Arial" w:eastAsia="Arial" w:hAnsi="Arial"/>
          <w:sz w:val="35"/>
          <w:szCs w:val="35"/>
          <w:color w:val="00AFB7"/>
        </w:rPr>
        <w:t>NOTES TO THE CONDENSED CONSOLIDATED FINANCIAL STATEMENTS FOR THE HALF-YEAR ENDED 31 DECEMBER 2020</w:t>
      </w:r>
    </w:p>
    <w:p>
      <w:pPr>
        <w:sectPr>
          <w:pgSz w:w="11900" w:h="16838" w:orient="portrait"/>
          <w:cols w:equalWidth="0" w:num="1">
            <w:col w:w="11024"/>
          </w:cols>
          <w:pgMar w:left="436" w:top="644" w:right="43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20286D"/>
        </w:rPr>
        <w:t>1.  CORPORATE INFORMATION</w:t>
      </w:r>
    </w:p>
    <w:p>
      <w:pPr>
        <w:spacing w:after="0" w:line="123" w:lineRule="exact"/>
        <w:rPr>
          <w:sz w:val="20"/>
          <w:szCs w:val="20"/>
          <w:color w:val="auto"/>
        </w:rPr>
      </w:pPr>
    </w:p>
    <w:p>
      <w:pPr>
        <w:ind w:left="4" w:right="20"/>
        <w:spacing w:after="0" w:line="235" w:lineRule="auto"/>
        <w:rPr>
          <w:sz w:val="20"/>
          <w:szCs w:val="20"/>
          <w:color w:val="auto"/>
        </w:rPr>
      </w:pPr>
      <w:r>
        <w:rPr>
          <w:rFonts w:ascii="Arial" w:cs="Arial" w:eastAsia="Arial" w:hAnsi="Arial"/>
          <w:sz w:val="15"/>
          <w:szCs w:val="15"/>
          <w:color w:val="auto"/>
        </w:rPr>
        <w:t>The consolidated financial report of Opthea Limited (the Group) for the half-year ended 31 December 2020 was authorised for issue in accordance with a resolution of the directors on 22 February 2021.</w:t>
      </w:r>
    </w:p>
    <w:p>
      <w:pPr>
        <w:spacing w:after="0" w:line="87" w:lineRule="exact"/>
        <w:rPr>
          <w:sz w:val="20"/>
          <w:szCs w:val="20"/>
          <w:color w:val="auto"/>
        </w:rPr>
      </w:pPr>
    </w:p>
    <w:p>
      <w:pPr>
        <w:ind w:left="4" w:right="200"/>
        <w:spacing w:after="0" w:line="235" w:lineRule="auto"/>
        <w:rPr>
          <w:sz w:val="20"/>
          <w:szCs w:val="20"/>
          <w:color w:val="auto"/>
        </w:rPr>
      </w:pPr>
      <w:r>
        <w:rPr>
          <w:rFonts w:ascii="Arial" w:cs="Arial" w:eastAsia="Arial" w:hAnsi="Arial"/>
          <w:sz w:val="15"/>
          <w:szCs w:val="15"/>
          <w:color w:val="auto"/>
        </w:rPr>
        <w:t>Opthea Limited (the parent) is a company limited by shares incorporated in Australia whose ordinary shares are publicly traded on the Australian Securities Exchange (ASX) and whose ADSs are listed on the NASDAQ.</w:t>
      </w:r>
    </w:p>
    <w:p>
      <w:pPr>
        <w:spacing w:after="0" w:line="243" w:lineRule="exact"/>
        <w:rPr>
          <w:sz w:val="20"/>
          <w:szCs w:val="20"/>
          <w:color w:val="auto"/>
        </w:rPr>
      </w:pPr>
    </w:p>
    <w:p>
      <w:pPr>
        <w:ind w:left="4" w:right="760" w:hanging="4"/>
        <w:spacing w:after="0" w:line="271" w:lineRule="auto"/>
        <w:tabs>
          <w:tab w:leader="none" w:pos="297" w:val="left"/>
        </w:tabs>
        <w:numPr>
          <w:ilvl w:val="0"/>
          <w:numId w:val="6"/>
        </w:numPr>
        <w:rPr>
          <w:rFonts w:ascii="Arial" w:cs="Arial" w:eastAsia="Arial" w:hAnsi="Arial"/>
          <w:sz w:val="18"/>
          <w:szCs w:val="18"/>
          <w:b w:val="1"/>
          <w:bCs w:val="1"/>
          <w:color w:val="20286D"/>
        </w:rPr>
      </w:pPr>
      <w:r>
        <w:rPr>
          <w:rFonts w:ascii="Arial" w:cs="Arial" w:eastAsia="Arial" w:hAnsi="Arial"/>
          <w:sz w:val="18"/>
          <w:szCs w:val="18"/>
          <w:b w:val="1"/>
          <w:bCs w:val="1"/>
          <w:color w:val="20286D"/>
        </w:rPr>
        <w:t>ADOPTION OF NEW AND REVISED AUSTRALIAN ACCOUNTING STANDARDS</w:t>
      </w:r>
    </w:p>
    <w:p>
      <w:pPr>
        <w:spacing w:after="0" w:line="91" w:lineRule="exact"/>
        <w:rPr>
          <w:sz w:val="20"/>
          <w:szCs w:val="20"/>
          <w:color w:val="auto"/>
        </w:rPr>
      </w:pPr>
    </w:p>
    <w:p>
      <w:pPr>
        <w:ind w:left="4" w:right="180"/>
        <w:spacing w:after="0" w:line="286" w:lineRule="auto"/>
        <w:rPr>
          <w:sz w:val="20"/>
          <w:szCs w:val="20"/>
          <w:color w:val="auto"/>
        </w:rPr>
      </w:pPr>
      <w:r>
        <w:rPr>
          <w:rFonts w:ascii="Arial" w:cs="Arial" w:eastAsia="Arial" w:hAnsi="Arial"/>
          <w:sz w:val="16"/>
          <w:szCs w:val="16"/>
          <w:b w:val="1"/>
          <w:bCs w:val="1"/>
          <w:color w:val="00AFB7"/>
        </w:rPr>
        <w:t>New and amended Accounting Standards that are effective for the current period</w:t>
      </w:r>
    </w:p>
    <w:p>
      <w:pPr>
        <w:spacing w:after="0" w:line="62" w:lineRule="exact"/>
        <w:rPr>
          <w:sz w:val="20"/>
          <w:szCs w:val="20"/>
          <w:color w:val="auto"/>
        </w:rPr>
      </w:pPr>
    </w:p>
    <w:p>
      <w:pPr>
        <w:ind w:left="4" w:right="140"/>
        <w:spacing w:after="0" w:line="233" w:lineRule="auto"/>
        <w:rPr>
          <w:sz w:val="20"/>
          <w:szCs w:val="20"/>
          <w:color w:val="auto"/>
        </w:rPr>
      </w:pPr>
      <w:r>
        <w:rPr>
          <w:rFonts w:ascii="Arial" w:cs="Arial" w:eastAsia="Arial" w:hAnsi="Arial"/>
          <w:sz w:val="15"/>
          <w:szCs w:val="15"/>
          <w:color w:val="auto"/>
        </w:rPr>
        <w:t>The Group has adopted all of the new and revised Standards and Interpretations issued by the Australian Accounting Standards Board (the AASB) that are relevant to their operations and effective for the current half-year.</w:t>
      </w:r>
    </w:p>
    <w:p>
      <w:pPr>
        <w:spacing w:after="0" w:line="86" w:lineRule="exact"/>
        <w:rPr>
          <w:sz w:val="20"/>
          <w:szCs w:val="20"/>
          <w:color w:val="auto"/>
        </w:rPr>
      </w:pPr>
    </w:p>
    <w:p>
      <w:pPr>
        <w:ind w:left="4" w:right="320"/>
        <w:spacing w:after="0" w:line="242" w:lineRule="auto"/>
        <w:rPr>
          <w:sz w:val="20"/>
          <w:szCs w:val="20"/>
          <w:color w:val="auto"/>
        </w:rPr>
      </w:pPr>
      <w:r>
        <w:rPr>
          <w:rFonts w:ascii="Arial" w:cs="Arial" w:eastAsia="Arial" w:hAnsi="Arial"/>
          <w:sz w:val="15"/>
          <w:szCs w:val="15"/>
          <w:color w:val="auto"/>
        </w:rPr>
        <w:t>New and revised Standards and amendments thereof and Interpretations effective for the current half-year that are relevant to the Group include:</w:t>
      </w:r>
    </w:p>
    <w:p>
      <w:pPr>
        <w:spacing w:after="0" w:line="82" w:lineRule="exact"/>
        <w:rPr>
          <w:sz w:val="20"/>
          <w:szCs w:val="20"/>
          <w:color w:val="auto"/>
        </w:rPr>
      </w:pPr>
    </w:p>
    <w:p>
      <w:pPr>
        <w:ind w:left="304" w:right="520" w:hanging="304"/>
        <w:spacing w:after="0" w:line="264" w:lineRule="auto"/>
        <w:tabs>
          <w:tab w:leader="none" w:pos="304" w:val="left"/>
        </w:tabs>
        <w:numPr>
          <w:ilvl w:val="0"/>
          <w:numId w:val="7"/>
        </w:numPr>
        <w:rPr>
          <w:rFonts w:ascii="Arial" w:cs="Arial" w:eastAsia="Arial" w:hAnsi="Arial"/>
          <w:sz w:val="15"/>
          <w:szCs w:val="15"/>
          <w:i w:val="1"/>
          <w:iCs w:val="1"/>
          <w:color w:val="00AFB7"/>
        </w:rPr>
      </w:pPr>
      <w:r>
        <w:rPr>
          <w:rFonts w:ascii="Arial" w:cs="Arial" w:eastAsia="Arial" w:hAnsi="Arial"/>
          <w:sz w:val="15"/>
          <w:szCs w:val="15"/>
          <w:i w:val="1"/>
          <w:iCs w:val="1"/>
          <w:color w:val="auto"/>
        </w:rPr>
        <w:t>AASB 2018-6 Amendments to Australian Accounting Standards – Definition of a Business</w:t>
      </w:r>
    </w:p>
    <w:p>
      <w:pPr>
        <w:spacing w:after="0" w:line="66" w:lineRule="exact"/>
        <w:rPr>
          <w:rFonts w:ascii="Arial" w:cs="Arial" w:eastAsia="Arial" w:hAnsi="Arial"/>
          <w:sz w:val="15"/>
          <w:szCs w:val="15"/>
          <w:i w:val="1"/>
          <w:iCs w:val="1"/>
          <w:color w:val="00AFB7"/>
        </w:rPr>
      </w:pPr>
    </w:p>
    <w:p>
      <w:pPr>
        <w:ind w:left="304" w:right="520" w:hanging="304"/>
        <w:spacing w:after="0" w:line="264" w:lineRule="auto"/>
        <w:tabs>
          <w:tab w:leader="none" w:pos="304" w:val="left"/>
        </w:tabs>
        <w:numPr>
          <w:ilvl w:val="0"/>
          <w:numId w:val="7"/>
        </w:numPr>
        <w:rPr>
          <w:rFonts w:ascii="Arial" w:cs="Arial" w:eastAsia="Arial" w:hAnsi="Arial"/>
          <w:sz w:val="15"/>
          <w:szCs w:val="15"/>
          <w:i w:val="1"/>
          <w:iCs w:val="1"/>
          <w:color w:val="00AFB7"/>
        </w:rPr>
      </w:pPr>
      <w:r>
        <w:rPr>
          <w:rFonts w:ascii="Arial" w:cs="Arial" w:eastAsia="Arial" w:hAnsi="Arial"/>
          <w:sz w:val="15"/>
          <w:szCs w:val="15"/>
          <w:i w:val="1"/>
          <w:iCs w:val="1"/>
          <w:color w:val="auto"/>
        </w:rPr>
        <w:t>AASB 2018-7 Amendments to Australian Accounting Standards – Definition of Material</w:t>
      </w:r>
    </w:p>
    <w:p>
      <w:pPr>
        <w:spacing w:after="0" w:line="66" w:lineRule="exact"/>
        <w:rPr>
          <w:rFonts w:ascii="Arial" w:cs="Arial" w:eastAsia="Arial" w:hAnsi="Arial"/>
          <w:sz w:val="15"/>
          <w:szCs w:val="15"/>
          <w:i w:val="1"/>
          <w:iCs w:val="1"/>
          <w:color w:val="00AFB7"/>
        </w:rPr>
      </w:pPr>
    </w:p>
    <w:p>
      <w:pPr>
        <w:ind w:left="304" w:right="520" w:hanging="304"/>
        <w:spacing w:after="0" w:line="264" w:lineRule="auto"/>
        <w:tabs>
          <w:tab w:leader="none" w:pos="304" w:val="left"/>
        </w:tabs>
        <w:numPr>
          <w:ilvl w:val="0"/>
          <w:numId w:val="7"/>
        </w:numPr>
        <w:rPr>
          <w:rFonts w:ascii="Arial" w:cs="Arial" w:eastAsia="Arial" w:hAnsi="Arial"/>
          <w:sz w:val="15"/>
          <w:szCs w:val="15"/>
          <w:i w:val="1"/>
          <w:iCs w:val="1"/>
          <w:color w:val="00AFB7"/>
        </w:rPr>
      </w:pPr>
      <w:r>
        <w:rPr>
          <w:rFonts w:ascii="Arial" w:cs="Arial" w:eastAsia="Arial" w:hAnsi="Arial"/>
          <w:sz w:val="15"/>
          <w:szCs w:val="15"/>
          <w:i w:val="1"/>
          <w:iCs w:val="1"/>
          <w:color w:val="auto"/>
        </w:rPr>
        <w:t>AASB 2019-1 Amendments to Australian Accounting Standards – References to the Conceptual Framework</w:t>
      </w:r>
    </w:p>
    <w:p>
      <w:pPr>
        <w:spacing w:after="0" w:line="66" w:lineRule="exact"/>
        <w:rPr>
          <w:rFonts w:ascii="Arial" w:cs="Arial" w:eastAsia="Arial" w:hAnsi="Arial"/>
          <w:sz w:val="15"/>
          <w:szCs w:val="15"/>
          <w:i w:val="1"/>
          <w:iCs w:val="1"/>
          <w:color w:val="00AFB7"/>
        </w:rPr>
      </w:pPr>
    </w:p>
    <w:p>
      <w:pPr>
        <w:jc w:val="both"/>
        <w:ind w:left="304" w:right="520" w:hanging="304"/>
        <w:spacing w:after="0" w:line="244" w:lineRule="auto"/>
        <w:tabs>
          <w:tab w:leader="none" w:pos="304" w:val="left"/>
        </w:tabs>
        <w:numPr>
          <w:ilvl w:val="0"/>
          <w:numId w:val="7"/>
        </w:numPr>
        <w:rPr>
          <w:rFonts w:ascii="Arial" w:cs="Arial" w:eastAsia="Arial" w:hAnsi="Arial"/>
          <w:sz w:val="15"/>
          <w:szCs w:val="15"/>
          <w:i w:val="1"/>
          <w:iCs w:val="1"/>
          <w:color w:val="00AFB7"/>
        </w:rPr>
      </w:pPr>
      <w:r>
        <w:rPr>
          <w:rFonts w:ascii="Arial" w:cs="Arial" w:eastAsia="Arial" w:hAnsi="Arial"/>
          <w:sz w:val="15"/>
          <w:szCs w:val="15"/>
          <w:i w:val="1"/>
          <w:iCs w:val="1"/>
          <w:color w:val="auto"/>
        </w:rPr>
        <w:t>AASB 2019-5 Amendments to Australian Accounting Standards – Disclosure of the Effect of New IFRS Standards Not Yet Issued in Australia</w:t>
      </w:r>
    </w:p>
    <w:p>
      <w:pPr>
        <w:spacing w:after="0" w:line="84" w:lineRule="exact"/>
        <w:rPr>
          <w:sz w:val="20"/>
          <w:szCs w:val="20"/>
          <w:color w:val="auto"/>
        </w:rPr>
      </w:pPr>
    </w:p>
    <w:p>
      <w:pPr>
        <w:ind w:left="4"/>
        <w:spacing w:after="0" w:line="231" w:lineRule="auto"/>
        <w:rPr>
          <w:sz w:val="20"/>
          <w:szCs w:val="20"/>
          <w:color w:val="auto"/>
        </w:rPr>
      </w:pPr>
      <w:r>
        <w:rPr>
          <w:rFonts w:ascii="Arial" w:cs="Arial" w:eastAsia="Arial" w:hAnsi="Arial"/>
          <w:sz w:val="15"/>
          <w:szCs w:val="15"/>
          <w:color w:val="auto"/>
        </w:rPr>
        <w:t>In the current half-year, the Group has applied the above amendments to Australian Accounting Standards issued by the AASB that are effective for the Group’s annual reporting period that began on 1 July 2020. Their adoption has had no material impact on the disclosures and/or amounts reported in these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3.  SIGNIFICANT ACCOUNTING POLICIES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AFB7"/>
        </w:rPr>
        <w:t>Basis of preparation</w:t>
      </w:r>
    </w:p>
    <w:p>
      <w:pPr>
        <w:spacing w:after="0" w:line="128" w:lineRule="exact"/>
        <w:rPr>
          <w:sz w:val="20"/>
          <w:szCs w:val="20"/>
          <w:color w:val="auto"/>
        </w:rPr>
      </w:pPr>
    </w:p>
    <w:p>
      <w:pPr>
        <w:ind w:right="20"/>
        <w:spacing w:after="0" w:line="231" w:lineRule="auto"/>
        <w:rPr>
          <w:sz w:val="20"/>
          <w:szCs w:val="20"/>
          <w:color w:val="auto"/>
        </w:rPr>
      </w:pPr>
      <w:r>
        <w:rPr>
          <w:rFonts w:ascii="Arial" w:cs="Arial" w:eastAsia="Arial" w:hAnsi="Arial"/>
          <w:sz w:val="15"/>
          <w:szCs w:val="15"/>
          <w:color w:val="auto"/>
        </w:rPr>
        <w:t>These condensed consolidated financial statements have been prepared on the basis of historical cost, except for the revaluation of certain non-current assets and financial instruments. Cost is based on the fair values of the consideration given in exchange for assets. All amounts are presented in Australian dollars, unless otherwise noted.</w:t>
      </w:r>
    </w:p>
    <w:p>
      <w:pPr>
        <w:spacing w:after="0" w:line="88" w:lineRule="exact"/>
        <w:rPr>
          <w:sz w:val="20"/>
          <w:szCs w:val="20"/>
          <w:color w:val="auto"/>
        </w:rPr>
      </w:pPr>
    </w:p>
    <w:p>
      <w:pPr>
        <w:ind w:right="200"/>
        <w:spacing w:after="0" w:line="230" w:lineRule="auto"/>
        <w:rPr>
          <w:sz w:val="20"/>
          <w:szCs w:val="20"/>
          <w:color w:val="auto"/>
        </w:rPr>
      </w:pPr>
      <w:r>
        <w:rPr>
          <w:rFonts w:ascii="Arial" w:cs="Arial" w:eastAsia="Arial" w:hAnsi="Arial"/>
          <w:sz w:val="15"/>
          <w:szCs w:val="15"/>
          <w:color w:val="auto"/>
        </w:rPr>
        <w:t>The accounting policies and methods of computation adopted in the preparation of the half-year financial report are consistent with those adopted and disclosed in the company’s 2020 annual financial report for the financial year ended 30 June 2020. The accounting policies are consistent with Australian Accounting Standards and with International Financial Reporting Standards.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AFB7"/>
        </w:rPr>
        <w:t>Research and development costs</w:t>
      </w:r>
    </w:p>
    <w:p>
      <w:pPr>
        <w:spacing w:after="0" w:line="128" w:lineRule="exact"/>
        <w:rPr>
          <w:sz w:val="20"/>
          <w:szCs w:val="20"/>
          <w:color w:val="auto"/>
        </w:rPr>
      </w:pPr>
    </w:p>
    <w:p>
      <w:pPr>
        <w:ind w:right="60"/>
        <w:spacing w:after="0" w:line="229" w:lineRule="auto"/>
        <w:rPr>
          <w:sz w:val="20"/>
          <w:szCs w:val="20"/>
          <w:color w:val="auto"/>
        </w:rPr>
      </w:pPr>
      <w:r>
        <w:rPr>
          <w:rFonts w:ascii="Arial" w:cs="Arial" w:eastAsia="Arial" w:hAnsi="Arial"/>
          <w:sz w:val="15"/>
          <w:szCs w:val="15"/>
          <w:color w:val="auto"/>
        </w:rPr>
        <w:t>Research costs are expensed as incurred. An intangible asset arising from the development expenditure on an internal project will only be recognised when the Group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 development and the ability to measure reliably the expenditure attributable to the intangible asset during its development.</w:t>
      </w:r>
    </w:p>
    <w:p>
      <w:pPr>
        <w:spacing w:after="0" w:line="87" w:lineRule="exact"/>
        <w:rPr>
          <w:sz w:val="20"/>
          <w:szCs w:val="20"/>
          <w:color w:val="auto"/>
        </w:rPr>
      </w:pPr>
    </w:p>
    <w:p>
      <w:pPr>
        <w:ind w:right="440"/>
        <w:spacing w:after="0" w:line="242" w:lineRule="auto"/>
        <w:rPr>
          <w:sz w:val="20"/>
          <w:szCs w:val="20"/>
          <w:color w:val="auto"/>
        </w:rPr>
      </w:pPr>
      <w:r>
        <w:rPr>
          <w:rFonts w:ascii="Arial" w:cs="Arial" w:eastAsia="Arial" w:hAnsi="Arial"/>
          <w:sz w:val="15"/>
          <w:szCs w:val="15"/>
          <w:color w:val="auto"/>
        </w:rPr>
        <w:t>As of 31 December 2020, the Group is in the research phase and has not capitalised any development costs to date.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00AFB7"/>
        </w:rPr>
        <w:t>Income tax</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00AFB7"/>
        </w:rPr>
        <w:t>Current tax</w:t>
      </w:r>
    </w:p>
    <w:p>
      <w:pPr>
        <w:spacing w:after="0" w:line="54" w:lineRule="exact"/>
        <w:rPr>
          <w:sz w:val="20"/>
          <w:szCs w:val="20"/>
          <w:color w:val="auto"/>
        </w:rPr>
      </w:pPr>
    </w:p>
    <w:p>
      <w:pPr>
        <w:jc w:val="both"/>
        <w:ind w:right="80"/>
        <w:spacing w:after="0" w:line="231" w:lineRule="auto"/>
        <w:rPr>
          <w:sz w:val="20"/>
          <w:szCs w:val="20"/>
          <w:color w:val="auto"/>
        </w:rPr>
      </w:pPr>
      <w:r>
        <w:rPr>
          <w:rFonts w:ascii="Arial" w:cs="Arial" w:eastAsia="Arial" w:hAnsi="Arial"/>
          <w:sz w:val="15"/>
          <w:szCs w:val="15"/>
          <w:color w:val="auto"/>
        </w:rPr>
        <w:t>Current tax assets and liabilities for the current and prior periods are measured at the amount expected to be recovered from or paid to the taxation authorities based on the current period’s taxable income. The tax rates and tax laws used to compute the amount are those that are enacted or substantively enacted by the reporting date.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00AFB7"/>
        </w:rPr>
        <w:t>Research and development tax incentive</w:t>
      </w:r>
    </w:p>
    <w:p>
      <w:pPr>
        <w:spacing w:after="0" w:line="54" w:lineRule="exact"/>
        <w:rPr>
          <w:sz w:val="20"/>
          <w:szCs w:val="20"/>
          <w:color w:val="auto"/>
        </w:rPr>
      </w:pPr>
    </w:p>
    <w:p>
      <w:pPr>
        <w:ind w:right="40"/>
        <w:spacing w:after="0" w:line="228" w:lineRule="auto"/>
        <w:rPr>
          <w:sz w:val="20"/>
          <w:szCs w:val="20"/>
          <w:color w:val="auto"/>
        </w:rPr>
      </w:pPr>
      <w:r>
        <w:rPr>
          <w:rFonts w:ascii="Arial" w:cs="Arial" w:eastAsia="Arial" w:hAnsi="Arial"/>
          <w:sz w:val="15"/>
          <w:szCs w:val="15"/>
          <w:color w:val="auto"/>
        </w:rPr>
        <w:t>The Research and Development (R&amp;D) Tax Incentive Scheme is an Australian Federal Government program under which eligible companies with annual aggregated revenue of less than $20 million can receive cash amounts equal to 43.5% of eligible research and development expenditures from the Australian Taxation Office (ATO). The R&amp;D Tax Incentive Scheme incentive relates to eligible expenditure incurred in Australia and, under certain circumstances, overseas on the development of the Group’s lead candidate, OPT -302. The R&amp;D tax incentive is applied annually to eligible expenditure incurred during the Group’s financial year following annual application to AusIndustry, an Australian governmental agency, and subsequent filing of its Income Tax Return with the ATO after the financial year end.</w:t>
      </w:r>
    </w:p>
    <w:p>
      <w:pPr>
        <w:sectPr>
          <w:pgSz w:w="11900" w:h="16838" w:orient="portrait"/>
          <w:cols w:equalWidth="0" w:num="2">
            <w:col w:w="5264" w:space="360"/>
            <w:col w:w="5400"/>
          </w:cols>
          <w:pgMar w:left="436" w:top="644" w:right="439" w:bottom="1440" w:gutter="0" w:footer="0" w:header="0"/>
          <w:type w:val="continuous"/>
        </w:sectPr>
      </w:pPr>
    </w:p>
    <w:bookmarkStart w:id="17" w:name="page18"/>
    <w:bookmarkEnd w:id="17"/>
    <w:p>
      <w:pPr>
        <w:ind w:left="960"/>
        <w:spacing w:after="0"/>
        <w:rPr>
          <w:sz w:val="20"/>
          <w:szCs w:val="20"/>
          <w:color w:val="auto"/>
        </w:rPr>
      </w:pPr>
      <w:r>
        <w:rPr>
          <w:rFonts w:ascii="Arial" w:cs="Arial" w:eastAsia="Arial" w:hAnsi="Arial"/>
          <w:sz w:val="13"/>
          <w:szCs w:val="13"/>
          <w:color w:val="00AFB7"/>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497205"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7205" cy="85725"/>
                    </a:xfrm>
                    <a:prstGeom prst="rect">
                      <a:avLst/>
                    </a:prstGeom>
                    <a:noFill/>
                  </pic:spPr>
                </pic:pic>
              </a:graphicData>
            </a:graphic>
          </wp:anchor>
        </w:drawing>
      </w:r>
    </w:p>
    <w:p>
      <w:pPr>
        <w:spacing w:after="0" w:line="334" w:lineRule="exact"/>
        <w:rPr>
          <w:sz w:val="20"/>
          <w:szCs w:val="20"/>
          <w:color w:val="auto"/>
        </w:rPr>
      </w:pPr>
    </w:p>
    <w:p>
      <w:pPr>
        <w:jc w:val="both"/>
        <w:ind w:right="3440"/>
        <w:spacing w:after="0" w:line="248" w:lineRule="auto"/>
        <w:rPr>
          <w:sz w:val="20"/>
          <w:szCs w:val="20"/>
          <w:color w:val="auto"/>
        </w:rPr>
      </w:pPr>
      <w:r>
        <w:rPr>
          <w:rFonts w:ascii="Arial" w:cs="Arial" w:eastAsia="Arial" w:hAnsi="Arial"/>
          <w:sz w:val="36"/>
          <w:szCs w:val="36"/>
          <w:color w:val="00AFB7"/>
        </w:rPr>
        <w:t xml:space="preserve">NOTES TO THE CONSOLIDATED FINANCIAL STATEMENTS FOR THE HALF-YEAR ENDED 31 DECEMBER 2020 </w:t>
      </w:r>
      <w:r>
        <w:rPr>
          <w:rFonts w:ascii="Arial" w:cs="Arial" w:eastAsia="Arial" w:hAnsi="Arial"/>
          <w:sz w:val="23"/>
          <w:szCs w:val="23"/>
          <w:color w:val="00AFB7"/>
        </w:rPr>
        <w:t>(CONT.)</w:t>
      </w:r>
    </w:p>
    <w:p>
      <w:pPr>
        <w:sectPr>
          <w:pgSz w:w="11900" w:h="16838" w:orient="portrait"/>
          <w:cols w:equalWidth="0" w:num="1">
            <w:col w:w="10980"/>
          </w:cols>
          <w:pgMar w:left="440" w:top="28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60"/>
        <w:spacing w:after="0" w:line="230" w:lineRule="auto"/>
        <w:rPr>
          <w:sz w:val="20"/>
          <w:szCs w:val="20"/>
          <w:color w:val="auto"/>
        </w:rPr>
      </w:pPr>
      <w:r>
        <w:rPr>
          <w:rFonts w:ascii="Arial" w:cs="Arial" w:eastAsia="Arial" w:hAnsi="Arial"/>
          <w:sz w:val="15"/>
          <w:szCs w:val="15"/>
          <w:color w:val="auto"/>
        </w:rPr>
        <w:t>The Group estimates the amount of R&amp;D tax incentive after the completion of the financial year based on eligible Australia and overseas expenditures incurred during that year. The Group has presented incentives in respect of the R&amp;D Tax Incentive Scheme within income tax benefit in the Statement of Profit or Loss and Other Comprehensive Income by analogising with AASB 112 “Income Taxes”.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AFB7"/>
        </w:rPr>
        <w:t>Leases</w:t>
      </w:r>
    </w:p>
    <w:p>
      <w:pPr>
        <w:spacing w:after="0" w:line="128"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The Group assesses at contract inception whether a contract is, or contains, a lease. A contract is, or contains, a lease if the contract conveys the right to control the use of an identified asset for a period of time in exchange for consideration.</w:t>
      </w:r>
    </w:p>
    <w:p>
      <w:pPr>
        <w:spacing w:after="0" w:line="86" w:lineRule="exact"/>
        <w:rPr>
          <w:sz w:val="20"/>
          <w:szCs w:val="20"/>
          <w:color w:val="auto"/>
        </w:rPr>
      </w:pPr>
    </w:p>
    <w:p>
      <w:pPr>
        <w:ind w:right="240"/>
        <w:spacing w:after="0" w:line="233" w:lineRule="auto"/>
        <w:rPr>
          <w:sz w:val="20"/>
          <w:szCs w:val="20"/>
          <w:color w:val="auto"/>
        </w:rPr>
      </w:pPr>
      <w:r>
        <w:rPr>
          <w:rFonts w:ascii="Arial" w:cs="Arial" w:eastAsia="Arial" w:hAnsi="Arial"/>
          <w:sz w:val="15"/>
          <w:szCs w:val="15"/>
          <w:color w:val="auto"/>
        </w:rPr>
        <w:t>The Group applies a single recognition and measurement approach for all leases, except for short-term leases and leases of low-value assets. The Group recognises lease liabilities to make lease payments and right-of-use assets representing the right to use the underlying assets.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00AFB7"/>
        </w:rPr>
        <w:t>Right-of-use assets</w:t>
      </w:r>
    </w:p>
    <w:p>
      <w:pPr>
        <w:spacing w:after="0" w:line="54" w:lineRule="exact"/>
        <w:rPr>
          <w:sz w:val="20"/>
          <w:szCs w:val="20"/>
          <w:color w:val="auto"/>
        </w:rPr>
      </w:pPr>
    </w:p>
    <w:p>
      <w:pPr>
        <w:ind w:right="40"/>
        <w:spacing w:after="0" w:line="228" w:lineRule="auto"/>
        <w:rPr>
          <w:sz w:val="20"/>
          <w:szCs w:val="20"/>
          <w:color w:val="auto"/>
        </w:rPr>
      </w:pPr>
      <w:r>
        <w:rPr>
          <w:rFonts w:ascii="Arial" w:cs="Arial" w:eastAsia="Arial" w:hAnsi="Arial"/>
          <w:sz w:val="15"/>
          <w:szCs w:val="15"/>
          <w:color w:val="auto"/>
        </w:rPr>
        <w:t>Right-of-use assets are recognised at the commencement date of the lease (that is the date the underlying asset is available for use). Right-of-use assets are measured at cost, less any accumulated depreciation and any impairment losses, and adjusted for any remeasurement of lease liabilities. The cost of right-of-use assets includes the amount of lease liabilities recognised, initial direct costs incurred, and lease payments made at or before the commencement date less any lease incentives received. Right-of-use assets are depreciated on a straight-line basis over the shorter of the lease terms and the estimated useful lives of the assets.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00AFB7"/>
        </w:rPr>
        <w:t>Lease liabilities</w:t>
      </w:r>
    </w:p>
    <w:p>
      <w:pPr>
        <w:spacing w:after="0" w:line="54" w:lineRule="exact"/>
        <w:rPr>
          <w:sz w:val="20"/>
          <w:szCs w:val="20"/>
          <w:color w:val="auto"/>
        </w:rPr>
      </w:pPr>
    </w:p>
    <w:p>
      <w:pPr>
        <w:ind w:right="40"/>
        <w:spacing w:after="0" w:line="233" w:lineRule="auto"/>
        <w:rPr>
          <w:sz w:val="20"/>
          <w:szCs w:val="20"/>
          <w:color w:val="auto"/>
        </w:rPr>
      </w:pPr>
      <w:r>
        <w:rPr>
          <w:rFonts w:ascii="Arial" w:cs="Arial" w:eastAsia="Arial" w:hAnsi="Arial"/>
          <w:sz w:val="15"/>
          <w:szCs w:val="15"/>
          <w:color w:val="auto"/>
        </w:rPr>
        <w:t>Lease liabilities are recognised at the commencement date of the lease at the present value of lease payments to be made over the lease term. The lease payments include fixed payments (including in-substance fixed payments) less any lease incentives receivable.</w:t>
      </w:r>
    </w:p>
    <w:p>
      <w:pPr>
        <w:spacing w:after="0" w:line="86" w:lineRule="exact"/>
        <w:rPr>
          <w:sz w:val="20"/>
          <w:szCs w:val="20"/>
          <w:color w:val="auto"/>
        </w:rPr>
      </w:pPr>
    </w:p>
    <w:p>
      <w:pPr>
        <w:ind w:right="60"/>
        <w:spacing w:after="0" w:line="228" w:lineRule="auto"/>
        <w:rPr>
          <w:sz w:val="20"/>
          <w:szCs w:val="20"/>
          <w:color w:val="auto"/>
        </w:rPr>
      </w:pPr>
      <w:r>
        <w:rPr>
          <w:rFonts w:ascii="Arial" w:cs="Arial" w:eastAsia="Arial" w:hAnsi="Arial"/>
          <w:sz w:val="15"/>
          <w:szCs w:val="15"/>
          <w:color w:val="auto"/>
        </w:rPr>
        <w:t>In calculating the present value of lease payments, the Group uses its incremental borrowing rate at the lease commencement date because the interest rate implicit in the lease is not readily determinable. The incremental borrowing rate is determined using market yields on bonds with similar terms to maturity.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lease payments (e.g. a change to future lease payments resulting from a change in an index or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00AFB7"/>
        </w:rPr>
        <w:t>Leases of low-value assets</w:t>
      </w:r>
    </w:p>
    <w:p>
      <w:pPr>
        <w:spacing w:after="0" w:line="54"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For short-term leases (lease term of 12 months or less) and leases of low-value assets (such as photo copiers and telephones), the Group has opted to recognise a lease expense on a straight-line basis as permitted by AASB 16. This expense is presented within “administrative expenses” in the Consolidated Statement of Profit or Loss and Other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AFB7"/>
        </w:rPr>
        <w:t>Contributed equity – pre-funded warrants</w:t>
      </w:r>
    </w:p>
    <w:p>
      <w:pPr>
        <w:spacing w:after="0" w:line="128" w:lineRule="exact"/>
        <w:rPr>
          <w:sz w:val="20"/>
          <w:szCs w:val="20"/>
          <w:color w:val="auto"/>
        </w:rPr>
      </w:pPr>
    </w:p>
    <w:p>
      <w:pPr>
        <w:ind w:right="220"/>
        <w:spacing w:after="0" w:line="235" w:lineRule="auto"/>
        <w:rPr>
          <w:sz w:val="20"/>
          <w:szCs w:val="20"/>
          <w:color w:val="auto"/>
        </w:rPr>
      </w:pPr>
      <w:r>
        <w:rPr>
          <w:rFonts w:ascii="Arial" w:cs="Arial" w:eastAsia="Arial" w:hAnsi="Arial"/>
          <w:sz w:val="15"/>
          <w:szCs w:val="15"/>
          <w:color w:val="auto"/>
        </w:rPr>
        <w:t>Pre-funded warrants are classified as equity. Incremental costs directly attributable to the issue of new warrants are shown in equity as a deduction, net of tax, from the proceeds.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4.  OPERATING SEGMENTS</w:t>
      </w:r>
    </w:p>
    <w:p>
      <w:pPr>
        <w:spacing w:after="0" w:line="123" w:lineRule="exact"/>
        <w:rPr>
          <w:sz w:val="20"/>
          <w:szCs w:val="20"/>
          <w:color w:val="auto"/>
        </w:rPr>
      </w:pPr>
    </w:p>
    <w:p>
      <w:pPr>
        <w:ind w:right="220"/>
        <w:spacing w:after="0" w:line="242" w:lineRule="auto"/>
        <w:rPr>
          <w:sz w:val="20"/>
          <w:szCs w:val="20"/>
          <w:color w:val="auto"/>
        </w:rPr>
      </w:pPr>
      <w:r>
        <w:rPr>
          <w:rFonts w:ascii="Arial" w:cs="Arial" w:eastAsia="Arial" w:hAnsi="Arial"/>
          <w:sz w:val="15"/>
          <w:szCs w:val="15"/>
          <w:color w:val="auto"/>
        </w:rPr>
        <w:t>The Group operates in one industry and one geographical area, those being the biotechnology and healthcare industry and Australia, respectively.</w:t>
      </w:r>
    </w:p>
    <w:p>
      <w:pPr>
        <w:spacing w:after="0" w:line="84"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The Group is focused primarily on developing a novel therapy for the treatment of highly prevalent and progressive retinal diseases.</w:t>
      </w:r>
    </w:p>
    <w:p>
      <w:pPr>
        <w:spacing w:after="0" w:line="84"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The chief executive officer regularly reviews entity wide information that is compliant with Australian Accounting Standards. There is only one segment for segment reporting purposes, and the information reviewed by the chief executive officer for the purpose of resources allocation and performance assessment is the same as the information presented in the consolidated financial statements.</w:t>
      </w:r>
    </w:p>
    <w:p>
      <w:pPr>
        <w:spacing w:after="0" w:line="88" w:lineRule="exact"/>
        <w:rPr>
          <w:sz w:val="20"/>
          <w:szCs w:val="20"/>
          <w:color w:val="auto"/>
        </w:rPr>
      </w:pPr>
    </w:p>
    <w:p>
      <w:pPr>
        <w:ind w:right="100"/>
        <w:spacing w:after="0" w:line="228" w:lineRule="auto"/>
        <w:rPr>
          <w:sz w:val="20"/>
          <w:szCs w:val="20"/>
          <w:color w:val="auto"/>
        </w:rPr>
      </w:pPr>
      <w:r>
        <w:rPr>
          <w:rFonts w:ascii="Arial" w:cs="Arial" w:eastAsia="Arial" w:hAnsi="Arial"/>
          <w:sz w:val="15"/>
          <w:szCs w:val="15"/>
          <w:color w:val="auto"/>
        </w:rPr>
        <w:t>The Group’s only revenue stream in the current half-year is royalty income generated from licenses granted in respect of the Group’s intellectual property that are unrelated to the Group’s core business and the development of OPT-302 and that are not under development. These licenses are primarily used by third-party licensees for research purposes. All of the royalty income for the half-year ended 31 December 2020 of $41,465 (31 December 2019: $4,390) was generated from customers based outside Australia. The Group does not have any major customers. All property, plant and equipment is located in Australia.</w:t>
      </w:r>
    </w:p>
    <w:p>
      <w:pPr>
        <w:sectPr>
          <w:pgSz w:w="11900" w:h="16838" w:orient="portrait"/>
          <w:cols w:equalWidth="0" w:num="2">
            <w:col w:w="5280" w:space="340"/>
            <w:col w:w="5360"/>
          </w:cols>
          <w:pgMar w:left="440" w:top="282" w:right="479" w:bottom="1440" w:gutter="0" w:footer="0" w:header="0"/>
          <w:type w:val="continuous"/>
        </w:sectPr>
      </w:pPr>
    </w:p>
    <w:bookmarkStart w:id="18" w:name="page19"/>
    <w:bookmarkEnd w:id="18"/>
    <w:tbl>
      <w:tblPr>
        <w:tblLayout w:type="fixed"/>
        <w:tblInd w:w="360" w:type="dxa"/>
        <w:tblCellMar>
          <w:top w:w="0" w:type="dxa"/>
          <w:left w:w="0" w:type="dxa"/>
          <w:bottom w:w="0" w:type="dxa"/>
          <w:right w:w="0" w:type="dxa"/>
        </w:tblCellMar>
      </w:tblPr>
      <w:tr>
        <w:trPr>
          <w:trHeight w:val="168"/>
        </w:trPr>
        <w:tc>
          <w:tcPr>
            <w:tcW w:w="8680" w:type="dxa"/>
            <w:vAlign w:val="bottom"/>
          </w:tcPr>
          <w:p>
            <w:pPr>
              <w:spacing w:after="0"/>
              <w:rPr>
                <w:sz w:val="20"/>
                <w:szCs w:val="20"/>
                <w:color w:val="auto"/>
              </w:rPr>
            </w:pPr>
            <w:r>
              <w:rPr>
                <w:rFonts w:ascii="Arial" w:cs="Arial" w:eastAsia="Arial" w:hAnsi="Arial"/>
                <w:sz w:val="13"/>
                <w:szCs w:val="13"/>
                <w:b w:val="1"/>
                <w:bCs w:val="1"/>
                <w:color w:val="00AFB7"/>
              </w:rPr>
              <w:t xml:space="preserve">O p t h e a   </w:t>
            </w:r>
            <w:r>
              <w:rPr>
                <w:rFonts w:ascii="Arial" w:cs="Arial" w:eastAsia="Arial" w:hAnsi="Arial"/>
                <w:sz w:val="13"/>
                <w:szCs w:val="13"/>
                <w:color w:val="00AFB7"/>
              </w:rPr>
              <w:t>|   H A L F Y E A R R E P O R T F O R T H E H A L F - Y E A R E N D E D 3 1 D E C E M B E R 2 0 2 0</w:t>
            </w:r>
          </w:p>
        </w:tc>
        <w:tc>
          <w:tcPr>
            <w:tcW w:w="1980" w:type="dxa"/>
            <w:vAlign w:val="bottom"/>
          </w:tcPr>
          <w:p>
            <w:pPr>
              <w:jc w:val="right"/>
              <w:spacing w:after="0"/>
              <w:rPr>
                <w:sz w:val="20"/>
                <w:szCs w:val="20"/>
                <w:color w:val="auto"/>
              </w:rPr>
            </w:pPr>
            <w:r>
              <w:rPr>
                <w:rFonts w:ascii="Arial" w:cs="Arial" w:eastAsia="Arial" w:hAnsi="Arial"/>
                <w:sz w:val="13"/>
                <w:szCs w:val="13"/>
                <w:color w:val="00AFB7"/>
              </w:rPr>
              <w:t>11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183515</wp:posOffset>
            </wp:positionV>
            <wp:extent cx="17145" cy="334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5 .  NET FOREIGN EXCHANGE (LOSS)/GAIN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8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20286D"/>
              </w:rPr>
              <w:t>31 December</w:t>
            </w:r>
          </w:p>
        </w:tc>
        <w:tc>
          <w:tcPr>
            <w:tcW w:w="0" w:type="dxa"/>
            <w:vAlign w:val="bottom"/>
          </w:tcPr>
          <w:p>
            <w:pPr>
              <w:spacing w:after="0" w:line="20" w:lineRule="exact"/>
              <w:rPr>
                <w:sz w:val="1"/>
                <w:szCs w:val="1"/>
                <w:color w:val="auto"/>
              </w:rPr>
            </w:pPr>
          </w:p>
        </w:tc>
      </w:tr>
      <w:tr>
        <w:trPr>
          <w:trHeight w:val="141"/>
        </w:trPr>
        <w:tc>
          <w:tcPr>
            <w:tcW w:w="8280" w:type="dxa"/>
            <w:vAlign w:val="bottom"/>
          </w:tcPr>
          <w:p>
            <w:pPr>
              <w:spacing w:after="0"/>
              <w:rPr>
                <w:sz w:val="12"/>
                <w:szCs w:val="12"/>
                <w:color w:val="auto"/>
              </w:rPr>
            </w:pPr>
          </w:p>
        </w:tc>
        <w:tc>
          <w:tcPr>
            <w:tcW w:w="1360" w:type="dxa"/>
            <w:vAlign w:val="bottom"/>
            <w:shd w:val="clear" w:color="auto" w:fill="E5F7F7"/>
          </w:tcPr>
          <w:p>
            <w:pPr>
              <w:jc w:val="right"/>
              <w:ind w:right="4"/>
              <w:spacing w:after="0" w:line="141" w:lineRule="exact"/>
              <w:rPr>
                <w:sz w:val="20"/>
                <w:szCs w:val="20"/>
                <w:color w:val="auto"/>
              </w:rPr>
            </w:pPr>
            <w:r>
              <w:rPr>
                <w:rFonts w:ascii="Arial" w:cs="Arial" w:eastAsia="Arial" w:hAnsi="Arial"/>
                <w:sz w:val="15"/>
                <w:szCs w:val="15"/>
                <w:b w:val="1"/>
                <w:bCs w:val="1"/>
                <w:color w:val="20286D"/>
              </w:rPr>
              <w:t>31 December</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80" w:type="dxa"/>
            <w:vAlign w:val="bottom"/>
          </w:tcPr>
          <w:p>
            <w:pPr>
              <w:spacing w:after="0"/>
              <w:rPr>
                <w:sz w:val="14"/>
                <w:szCs w:val="14"/>
                <w:color w:val="auto"/>
              </w:rPr>
            </w:pPr>
          </w:p>
        </w:tc>
        <w:tc>
          <w:tcPr>
            <w:tcW w:w="1360" w:type="dxa"/>
            <w:vAlign w:val="bottom"/>
            <w:shd w:val="clear" w:color="auto" w:fill="E5F7F7"/>
          </w:tcPr>
          <w:p>
            <w:pPr>
              <w:jc w:val="right"/>
              <w:ind w:right="4"/>
              <w:spacing w:after="0" w:line="162" w:lineRule="exact"/>
              <w:rPr>
                <w:sz w:val="20"/>
                <w:szCs w:val="20"/>
                <w:color w:val="auto"/>
              </w:rPr>
            </w:pPr>
            <w:r>
              <w:rPr>
                <w:rFonts w:ascii="Arial" w:cs="Arial" w:eastAsia="Arial" w:hAnsi="Arial"/>
                <w:sz w:val="15"/>
                <w:szCs w:val="15"/>
                <w:b w:val="1"/>
                <w:bCs w:val="1"/>
                <w:color w:val="20286D"/>
              </w:rPr>
              <w:t>2020</w:t>
            </w:r>
          </w:p>
        </w:tc>
        <w:tc>
          <w:tcPr>
            <w:tcW w:w="138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20286D"/>
              </w:rPr>
              <w:t>2019</w:t>
            </w:r>
          </w:p>
        </w:tc>
        <w:tc>
          <w:tcPr>
            <w:tcW w:w="0" w:type="dxa"/>
            <w:vAlign w:val="bottom"/>
          </w:tcPr>
          <w:p>
            <w:pPr>
              <w:spacing w:after="0"/>
              <w:rPr>
                <w:sz w:val="1"/>
                <w:szCs w:val="1"/>
                <w:color w:val="auto"/>
              </w:rPr>
            </w:pPr>
          </w:p>
        </w:tc>
      </w:tr>
      <w:tr>
        <w:trPr>
          <w:trHeight w:val="204"/>
        </w:trPr>
        <w:tc>
          <w:tcPr>
            <w:tcW w:w="8280" w:type="dxa"/>
            <w:vAlign w:val="bottom"/>
            <w:tcBorders>
              <w:bottom w:val="single" w:sz="8" w:color="00AFB7"/>
            </w:tcBorders>
          </w:tcPr>
          <w:p>
            <w:pPr>
              <w:spacing w:after="0"/>
              <w:rPr>
                <w:sz w:val="17"/>
                <w:szCs w:val="17"/>
                <w:color w:val="auto"/>
              </w:rPr>
            </w:pPr>
          </w:p>
        </w:tc>
        <w:tc>
          <w:tcPr>
            <w:tcW w:w="13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b w:val="1"/>
                <w:bCs w:val="1"/>
                <w:color w:val="20286D"/>
              </w:rPr>
              <w:t>$</w:t>
            </w:r>
          </w:p>
        </w:tc>
        <w:tc>
          <w:tcPr>
            <w:tcW w:w="138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b w:val="1"/>
                <w:bCs w:val="1"/>
                <w:color w:val="20286D"/>
              </w:rPr>
              <w:t>$</w:t>
            </w:r>
          </w:p>
        </w:tc>
        <w:tc>
          <w:tcPr>
            <w:tcW w:w="0" w:type="dxa"/>
            <w:vAlign w:val="bottom"/>
          </w:tcPr>
          <w:p>
            <w:pPr>
              <w:spacing w:after="0"/>
              <w:rPr>
                <w:sz w:val="1"/>
                <w:szCs w:val="1"/>
                <w:color w:val="auto"/>
              </w:rPr>
            </w:pPr>
          </w:p>
        </w:tc>
      </w:tr>
      <w:tr>
        <w:trPr>
          <w:trHeight w:val="198"/>
        </w:trPr>
        <w:tc>
          <w:tcPr>
            <w:tcW w:w="82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Net foreign exchange (losses)/gains</w:t>
            </w:r>
          </w:p>
        </w:tc>
        <w:tc>
          <w:tcPr>
            <w:tcW w:w="136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(277,231)</w:t>
            </w:r>
          </w:p>
        </w:tc>
        <w:tc>
          <w:tcPr>
            <w:tcW w:w="138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auto"/>
              </w:rPr>
              <w:t>87,778</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Financial (liabilities)/assets at fair value through profit or loss</w:t>
            </w:r>
          </w:p>
        </w:tc>
        <w:tc>
          <w:tcPr>
            <w:tcW w:w="136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(12,165,618)</w:t>
            </w:r>
          </w:p>
        </w:tc>
        <w:tc>
          <w:tcPr>
            <w:tcW w:w="138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auto"/>
              </w:rPr>
              <w:t>25,592</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00AFB7"/>
            </w:tcBorders>
          </w:tcPr>
          <w:p>
            <w:pPr>
              <w:spacing w:after="0"/>
              <w:rPr>
                <w:sz w:val="17"/>
                <w:szCs w:val="17"/>
                <w:color w:val="auto"/>
              </w:rPr>
            </w:pPr>
          </w:p>
        </w:tc>
        <w:tc>
          <w:tcPr>
            <w:tcW w:w="136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20286D"/>
              </w:rPr>
              <w:t>(12,442,849)</w:t>
            </w:r>
          </w:p>
        </w:tc>
        <w:tc>
          <w:tcPr>
            <w:tcW w:w="138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20286D"/>
              </w:rPr>
              <w:t>113,370</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Shortly after the Company’s US IPO where the Company raised USD 128 million, the Company entered into an Australian dollar denominated term deposit worth USD 100 million (AUD 141.9 million), maturing on 3 February 2021. The Company simultaneously entered into a foreign currency exchange contract under which the term deposit will be converted back to US dollars at effectively the same foreign exchange rate as when the term deposit was entered into. The financial liability represents the marked to market value of this foreign currency exchange contract held at 31 December 2020. Subsequent to 31 December 2020, upon maturity and settlement of the term deposit and foreign exchange contract on 3 February 2021, the Australian dollar denominated term deposit was converted back to US dollars for a value of USD 100 million plus interest earned of AUD 116 thousand.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6.  INCOME TAX</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between tax benefit and the product of accounting loss before income tax multiplied by the Group’s applicable income tax rate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8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20286D"/>
              </w:rPr>
              <w:t>31 December</w:t>
            </w:r>
          </w:p>
        </w:tc>
        <w:tc>
          <w:tcPr>
            <w:tcW w:w="0" w:type="dxa"/>
            <w:vAlign w:val="bottom"/>
          </w:tcPr>
          <w:p>
            <w:pPr>
              <w:spacing w:after="0" w:line="20" w:lineRule="exact"/>
              <w:rPr>
                <w:sz w:val="1"/>
                <w:szCs w:val="1"/>
                <w:color w:val="auto"/>
              </w:rPr>
            </w:pPr>
          </w:p>
        </w:tc>
      </w:tr>
      <w:tr>
        <w:trPr>
          <w:trHeight w:val="141"/>
        </w:trPr>
        <w:tc>
          <w:tcPr>
            <w:tcW w:w="8680" w:type="dxa"/>
            <w:vAlign w:val="bottom"/>
          </w:tcPr>
          <w:p>
            <w:pPr>
              <w:spacing w:after="0"/>
              <w:rPr>
                <w:sz w:val="12"/>
                <w:szCs w:val="12"/>
                <w:color w:val="auto"/>
              </w:rPr>
            </w:pPr>
          </w:p>
        </w:tc>
        <w:tc>
          <w:tcPr>
            <w:tcW w:w="1180" w:type="dxa"/>
            <w:vAlign w:val="bottom"/>
            <w:shd w:val="clear" w:color="auto" w:fill="E5F7F7"/>
          </w:tcPr>
          <w:p>
            <w:pPr>
              <w:jc w:val="right"/>
              <w:ind w:right="24"/>
              <w:spacing w:after="0" w:line="141" w:lineRule="exact"/>
              <w:rPr>
                <w:sz w:val="20"/>
                <w:szCs w:val="20"/>
                <w:color w:val="auto"/>
              </w:rPr>
            </w:pPr>
            <w:r>
              <w:rPr>
                <w:rFonts w:ascii="Arial" w:cs="Arial" w:eastAsia="Arial" w:hAnsi="Arial"/>
                <w:sz w:val="15"/>
                <w:szCs w:val="15"/>
                <w:b w:val="1"/>
                <w:bCs w:val="1"/>
                <w:color w:val="20286D"/>
              </w:rPr>
              <w:t>31 December</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680" w:type="dxa"/>
            <w:vAlign w:val="bottom"/>
          </w:tcPr>
          <w:p>
            <w:pPr>
              <w:spacing w:after="0"/>
              <w:rPr>
                <w:sz w:val="14"/>
                <w:szCs w:val="14"/>
                <w:color w:val="auto"/>
              </w:rPr>
            </w:pPr>
          </w:p>
        </w:tc>
        <w:tc>
          <w:tcPr>
            <w:tcW w:w="1180" w:type="dxa"/>
            <w:vAlign w:val="bottom"/>
            <w:shd w:val="clear" w:color="auto" w:fill="E5F7F7"/>
          </w:tcPr>
          <w:p>
            <w:pPr>
              <w:jc w:val="right"/>
              <w:ind w:right="24"/>
              <w:spacing w:after="0" w:line="162" w:lineRule="exact"/>
              <w:rPr>
                <w:sz w:val="20"/>
                <w:szCs w:val="20"/>
                <w:color w:val="auto"/>
              </w:rPr>
            </w:pPr>
            <w:r>
              <w:rPr>
                <w:rFonts w:ascii="Arial" w:cs="Arial" w:eastAsia="Arial" w:hAnsi="Arial"/>
                <w:sz w:val="15"/>
                <w:szCs w:val="15"/>
                <w:b w:val="1"/>
                <w:bCs w:val="1"/>
                <w:color w:val="20286D"/>
              </w:rPr>
              <w:t>2020</w:t>
            </w:r>
          </w:p>
        </w:tc>
        <w:tc>
          <w:tcPr>
            <w:tcW w:w="116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20286D"/>
              </w:rPr>
              <w:t>2019</w:t>
            </w:r>
          </w:p>
        </w:tc>
        <w:tc>
          <w:tcPr>
            <w:tcW w:w="0" w:type="dxa"/>
            <w:vAlign w:val="bottom"/>
          </w:tcPr>
          <w:p>
            <w:pPr>
              <w:spacing w:after="0"/>
              <w:rPr>
                <w:sz w:val="1"/>
                <w:szCs w:val="1"/>
                <w:color w:val="auto"/>
              </w:rPr>
            </w:pPr>
          </w:p>
        </w:tc>
      </w:tr>
      <w:tr>
        <w:trPr>
          <w:trHeight w:val="204"/>
        </w:trPr>
        <w:tc>
          <w:tcPr>
            <w:tcW w:w="8680" w:type="dxa"/>
            <w:vAlign w:val="bottom"/>
            <w:tcBorders>
              <w:bottom w:val="single" w:sz="8" w:color="00AFB7"/>
            </w:tcBorders>
          </w:tcPr>
          <w:p>
            <w:pPr>
              <w:spacing w:after="0"/>
              <w:rPr>
                <w:sz w:val="17"/>
                <w:szCs w:val="17"/>
                <w:color w:val="auto"/>
              </w:rPr>
            </w:pPr>
          </w:p>
        </w:tc>
        <w:tc>
          <w:tcPr>
            <w:tcW w:w="11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b w:val="1"/>
                <w:bCs w:val="1"/>
                <w:color w:val="20286D"/>
              </w:rPr>
              <w:t>$</w:t>
            </w:r>
          </w:p>
        </w:tc>
        <w:tc>
          <w:tcPr>
            <w:tcW w:w="116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b w:val="1"/>
                <w:bCs w:val="1"/>
                <w:color w:val="20286D"/>
              </w:rPr>
              <w:t>$</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Accounting loss before tax</w:t>
            </w:r>
          </w:p>
        </w:tc>
        <w:tc>
          <w:tcPr>
            <w:tcW w:w="11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(38,505,045)</w:t>
            </w:r>
          </w:p>
        </w:tc>
        <w:tc>
          <w:tcPr>
            <w:tcW w:w="1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(11,465,210)</w:t>
            </w:r>
          </w:p>
        </w:tc>
        <w:tc>
          <w:tcPr>
            <w:tcW w:w="0" w:type="dxa"/>
            <w:vAlign w:val="bottom"/>
          </w:tcPr>
          <w:p>
            <w:pPr>
              <w:spacing w:after="0"/>
              <w:rPr>
                <w:sz w:val="1"/>
                <w:szCs w:val="1"/>
                <w:color w:val="auto"/>
              </w:rPr>
            </w:pPr>
          </w:p>
        </w:tc>
      </w:tr>
      <w:tr>
        <w:trPr>
          <w:trHeight w:val="196"/>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At the parent entity’s statutory income tax rate of 27.5%</w:t>
            </w:r>
          </w:p>
        </w:tc>
        <w:tc>
          <w:tcPr>
            <w:tcW w:w="11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10,588,887</w:t>
            </w:r>
          </w:p>
        </w:tc>
        <w:tc>
          <w:tcPr>
            <w:tcW w:w="116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auto"/>
              </w:rPr>
              <w:t>3,152,933</w:t>
            </w:r>
          </w:p>
        </w:tc>
        <w:tc>
          <w:tcPr>
            <w:tcW w:w="0" w:type="dxa"/>
            <w:vAlign w:val="bottom"/>
          </w:tcPr>
          <w:p>
            <w:pPr>
              <w:spacing w:after="0"/>
              <w:rPr>
                <w:sz w:val="1"/>
                <w:szCs w:val="1"/>
                <w:color w:val="auto"/>
              </w:rPr>
            </w:pPr>
          </w:p>
        </w:tc>
      </w:tr>
      <w:tr>
        <w:trPr>
          <w:trHeight w:val="196"/>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Research and development tax incentive on eligible expenses</w:t>
            </w:r>
          </w:p>
        </w:tc>
        <w:tc>
          <w:tcPr>
            <w:tcW w:w="11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3,522,832</w:t>
            </w:r>
          </w:p>
        </w:tc>
        <w:tc>
          <w:tcPr>
            <w:tcW w:w="116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auto"/>
              </w:rPr>
              <w:t>3,845,192</w:t>
            </w:r>
          </w:p>
        </w:tc>
        <w:tc>
          <w:tcPr>
            <w:tcW w:w="0" w:type="dxa"/>
            <w:vAlign w:val="bottom"/>
          </w:tcPr>
          <w:p>
            <w:pPr>
              <w:spacing w:after="0"/>
              <w:rPr>
                <w:sz w:val="1"/>
                <w:szCs w:val="1"/>
                <w:color w:val="auto"/>
              </w:rPr>
            </w:pPr>
          </w:p>
        </w:tc>
      </w:tr>
      <w:tr>
        <w:trPr>
          <w:trHeight w:val="196"/>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Non-deductible R&amp;D expenditure</w:t>
            </w:r>
          </w:p>
        </w:tc>
        <w:tc>
          <w:tcPr>
            <w:tcW w:w="11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(2,227,078)</w:t>
            </w:r>
          </w:p>
        </w:tc>
        <w:tc>
          <w:tcPr>
            <w:tcW w:w="1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(2,579,092)</w:t>
            </w:r>
          </w:p>
        </w:tc>
        <w:tc>
          <w:tcPr>
            <w:tcW w:w="0" w:type="dxa"/>
            <w:vAlign w:val="bottom"/>
          </w:tcPr>
          <w:p>
            <w:pPr>
              <w:spacing w:after="0"/>
              <w:rPr>
                <w:sz w:val="1"/>
                <w:szCs w:val="1"/>
                <w:color w:val="auto"/>
              </w:rPr>
            </w:pPr>
          </w:p>
        </w:tc>
      </w:tr>
      <w:tr>
        <w:trPr>
          <w:trHeight w:val="196"/>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Other non-deductible expenses – share based payment expense</w:t>
            </w:r>
          </w:p>
        </w:tc>
        <w:tc>
          <w:tcPr>
            <w:tcW w:w="11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(610,017)</w:t>
            </w:r>
          </w:p>
        </w:tc>
        <w:tc>
          <w:tcPr>
            <w:tcW w:w="1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(242,100)</w:t>
            </w:r>
          </w:p>
        </w:tc>
        <w:tc>
          <w:tcPr>
            <w:tcW w:w="0" w:type="dxa"/>
            <w:vAlign w:val="bottom"/>
          </w:tcPr>
          <w:p>
            <w:pPr>
              <w:spacing w:after="0"/>
              <w:rPr>
                <w:sz w:val="1"/>
                <w:szCs w:val="1"/>
                <w:color w:val="auto"/>
              </w:rPr>
            </w:pPr>
          </w:p>
        </w:tc>
      </w:tr>
      <w:tr>
        <w:trPr>
          <w:trHeight w:val="196"/>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Amount of temporary differences and carried forward tax losses not recognised</w:t>
            </w:r>
          </w:p>
        </w:tc>
        <w:tc>
          <w:tcPr>
            <w:tcW w:w="118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(7,751,792)</w:t>
            </w:r>
          </w:p>
        </w:tc>
        <w:tc>
          <w:tcPr>
            <w:tcW w:w="11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(331,741)</w:t>
            </w:r>
          </w:p>
        </w:tc>
        <w:tc>
          <w:tcPr>
            <w:tcW w:w="0" w:type="dxa"/>
            <w:vAlign w:val="bottom"/>
          </w:tcPr>
          <w:p>
            <w:pPr>
              <w:spacing w:after="0"/>
              <w:rPr>
                <w:sz w:val="1"/>
                <w:szCs w:val="1"/>
                <w:color w:val="auto"/>
              </w:rPr>
            </w:pPr>
          </w:p>
        </w:tc>
      </w:tr>
      <w:tr>
        <w:trPr>
          <w:trHeight w:val="196"/>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Income tax benefit reported in the Statement of Profit or Loss and Other Comprehensive Income</w:t>
            </w:r>
          </w:p>
        </w:tc>
        <w:tc>
          <w:tcPr>
            <w:tcW w:w="11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3,522,832</w:t>
            </w:r>
          </w:p>
        </w:tc>
        <w:tc>
          <w:tcPr>
            <w:tcW w:w="116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20286D"/>
              </w:rPr>
              <w:t>3,845,192</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7.  CASH AND CASH EQUIVALENTS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8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20286D"/>
              </w:rPr>
              <w:t>30 June</w:t>
            </w:r>
          </w:p>
        </w:tc>
        <w:tc>
          <w:tcPr>
            <w:tcW w:w="0" w:type="dxa"/>
            <w:vAlign w:val="bottom"/>
          </w:tcPr>
          <w:p>
            <w:pPr>
              <w:spacing w:after="0" w:line="20" w:lineRule="exact"/>
              <w:rPr>
                <w:sz w:val="1"/>
                <w:szCs w:val="1"/>
                <w:color w:val="auto"/>
              </w:rPr>
            </w:pPr>
          </w:p>
        </w:tc>
      </w:tr>
      <w:tr>
        <w:trPr>
          <w:trHeight w:val="141"/>
        </w:trPr>
        <w:tc>
          <w:tcPr>
            <w:tcW w:w="8560" w:type="dxa"/>
            <w:vAlign w:val="bottom"/>
          </w:tcPr>
          <w:p>
            <w:pPr>
              <w:spacing w:after="0"/>
              <w:rPr>
                <w:sz w:val="12"/>
                <w:szCs w:val="12"/>
                <w:color w:val="auto"/>
              </w:rPr>
            </w:pPr>
          </w:p>
        </w:tc>
        <w:tc>
          <w:tcPr>
            <w:tcW w:w="1280" w:type="dxa"/>
            <w:vAlign w:val="bottom"/>
            <w:shd w:val="clear" w:color="auto" w:fill="E5F7F7"/>
          </w:tcPr>
          <w:p>
            <w:pPr>
              <w:jc w:val="right"/>
              <w:ind w:right="24"/>
              <w:spacing w:after="0" w:line="141" w:lineRule="exact"/>
              <w:rPr>
                <w:sz w:val="20"/>
                <w:szCs w:val="20"/>
                <w:color w:val="auto"/>
              </w:rPr>
            </w:pPr>
            <w:r>
              <w:rPr>
                <w:rFonts w:ascii="Arial" w:cs="Arial" w:eastAsia="Arial" w:hAnsi="Arial"/>
                <w:sz w:val="15"/>
                <w:szCs w:val="15"/>
                <w:b w:val="1"/>
                <w:bCs w:val="1"/>
                <w:color w:val="20286D"/>
              </w:rPr>
              <w:t>31 December</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560" w:type="dxa"/>
            <w:vAlign w:val="bottom"/>
          </w:tcPr>
          <w:p>
            <w:pPr>
              <w:spacing w:after="0"/>
              <w:rPr>
                <w:sz w:val="14"/>
                <w:szCs w:val="14"/>
                <w:color w:val="auto"/>
              </w:rPr>
            </w:pPr>
          </w:p>
        </w:tc>
        <w:tc>
          <w:tcPr>
            <w:tcW w:w="1280" w:type="dxa"/>
            <w:vAlign w:val="bottom"/>
            <w:shd w:val="clear" w:color="auto" w:fill="E5F7F7"/>
          </w:tcPr>
          <w:p>
            <w:pPr>
              <w:jc w:val="right"/>
              <w:ind w:right="24"/>
              <w:spacing w:after="0" w:line="162" w:lineRule="exact"/>
              <w:rPr>
                <w:sz w:val="20"/>
                <w:szCs w:val="20"/>
                <w:color w:val="auto"/>
              </w:rPr>
            </w:pPr>
            <w:r>
              <w:rPr>
                <w:rFonts w:ascii="Arial" w:cs="Arial" w:eastAsia="Arial" w:hAnsi="Arial"/>
                <w:sz w:val="15"/>
                <w:szCs w:val="15"/>
                <w:b w:val="1"/>
                <w:bCs w:val="1"/>
                <w:color w:val="20286D"/>
              </w:rPr>
              <w:t>2020</w:t>
            </w:r>
          </w:p>
        </w:tc>
        <w:tc>
          <w:tcPr>
            <w:tcW w:w="118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20286D"/>
              </w:rPr>
              <w:t>2020</w:t>
            </w:r>
          </w:p>
        </w:tc>
        <w:tc>
          <w:tcPr>
            <w:tcW w:w="0" w:type="dxa"/>
            <w:vAlign w:val="bottom"/>
          </w:tcPr>
          <w:p>
            <w:pPr>
              <w:spacing w:after="0"/>
              <w:rPr>
                <w:sz w:val="1"/>
                <w:szCs w:val="1"/>
                <w:color w:val="auto"/>
              </w:rPr>
            </w:pPr>
          </w:p>
        </w:tc>
      </w:tr>
      <w:tr>
        <w:trPr>
          <w:trHeight w:val="204"/>
        </w:trPr>
        <w:tc>
          <w:tcPr>
            <w:tcW w:w="8560" w:type="dxa"/>
            <w:vAlign w:val="bottom"/>
            <w:tcBorders>
              <w:bottom w:val="single" w:sz="8" w:color="00AFB7"/>
            </w:tcBorders>
          </w:tcPr>
          <w:p>
            <w:pPr>
              <w:spacing w:after="0"/>
              <w:rPr>
                <w:sz w:val="17"/>
                <w:szCs w:val="17"/>
                <w:color w:val="auto"/>
              </w:rPr>
            </w:pPr>
          </w:p>
        </w:tc>
        <w:tc>
          <w:tcPr>
            <w:tcW w:w="12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b w:val="1"/>
                <w:bCs w:val="1"/>
                <w:color w:val="20286D"/>
              </w:rPr>
              <w:t>$</w:t>
            </w:r>
          </w:p>
        </w:tc>
        <w:tc>
          <w:tcPr>
            <w:tcW w:w="118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b w:val="1"/>
                <w:bCs w:val="1"/>
                <w:color w:val="20286D"/>
              </w:rPr>
              <w:t>$</w:t>
            </w:r>
          </w:p>
        </w:tc>
        <w:tc>
          <w:tcPr>
            <w:tcW w:w="0" w:type="dxa"/>
            <w:vAlign w:val="bottom"/>
          </w:tcPr>
          <w:p>
            <w:pPr>
              <w:spacing w:after="0"/>
              <w:rPr>
                <w:sz w:val="1"/>
                <w:szCs w:val="1"/>
                <w:color w:val="auto"/>
              </w:rPr>
            </w:pPr>
          </w:p>
        </w:tc>
      </w:tr>
      <w:tr>
        <w:trPr>
          <w:trHeight w:val="199"/>
        </w:trPr>
        <w:tc>
          <w:tcPr>
            <w:tcW w:w="856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For the purpose of the half-year statement of cash flows, cash and cash equivalents are comprised of the following:</w:t>
            </w:r>
          </w:p>
        </w:tc>
        <w:tc>
          <w:tcPr>
            <w:tcW w:w="1280" w:type="dxa"/>
            <w:vAlign w:val="bottom"/>
            <w:tcBorders>
              <w:bottom w:val="single" w:sz="8" w:color="00AFB7"/>
            </w:tcBorders>
            <w:shd w:val="clear" w:color="auto" w:fill="E5F7F7"/>
          </w:tcPr>
          <w:p>
            <w:pPr>
              <w:spacing w:after="0"/>
              <w:rPr>
                <w:sz w:val="17"/>
                <w:szCs w:val="17"/>
                <w:color w:val="auto"/>
              </w:rPr>
            </w:pPr>
          </w:p>
        </w:tc>
        <w:tc>
          <w:tcPr>
            <w:tcW w:w="1180" w:type="dxa"/>
            <w:vAlign w:val="bottom"/>
            <w:tcBorders>
              <w:bottom w:val="single" w:sz="8" w:color="00AFB7"/>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6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Cash at bank and in hand</w:t>
            </w:r>
          </w:p>
        </w:tc>
        <w:tc>
          <w:tcPr>
            <w:tcW w:w="12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10,603,769</w:t>
            </w:r>
          </w:p>
        </w:tc>
        <w:tc>
          <w:tcPr>
            <w:tcW w:w="118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auto"/>
              </w:rPr>
              <w:t>3,020,382</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Short term deposits</w:t>
            </w:r>
          </w:p>
        </w:tc>
        <w:tc>
          <w:tcPr>
            <w:tcW w:w="12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191,941,216</w:t>
            </w:r>
          </w:p>
        </w:tc>
        <w:tc>
          <w:tcPr>
            <w:tcW w:w="118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auto"/>
              </w:rPr>
              <w:t>59,000,000</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00AFB7"/>
            </w:tcBorders>
          </w:tcPr>
          <w:p>
            <w:pPr>
              <w:spacing w:after="0"/>
              <w:rPr>
                <w:sz w:val="17"/>
                <w:szCs w:val="17"/>
                <w:color w:val="auto"/>
              </w:rPr>
            </w:pPr>
          </w:p>
        </w:tc>
        <w:tc>
          <w:tcPr>
            <w:tcW w:w="128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202,544,985</w:t>
            </w:r>
          </w:p>
        </w:tc>
        <w:tc>
          <w:tcPr>
            <w:tcW w:w="118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20286D"/>
              </w:rPr>
              <w:t>62,020,382</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Cash at bank earns interest at floating rates based on daily bank deposit rates.</w:t>
      </w:r>
    </w:p>
    <w:p>
      <w:pPr>
        <w:spacing w:after="0" w:line="98" w:lineRule="exact"/>
        <w:rPr>
          <w:sz w:val="20"/>
          <w:szCs w:val="20"/>
          <w:color w:val="auto"/>
        </w:rPr>
      </w:pPr>
    </w:p>
    <w:p>
      <w:pPr>
        <w:ind w:right="240"/>
        <w:spacing w:after="0" w:line="235" w:lineRule="auto"/>
        <w:rPr>
          <w:sz w:val="20"/>
          <w:szCs w:val="20"/>
          <w:color w:val="auto"/>
        </w:rPr>
      </w:pPr>
      <w:r>
        <w:rPr>
          <w:rFonts w:ascii="Arial" w:cs="Arial" w:eastAsia="Arial" w:hAnsi="Arial"/>
          <w:sz w:val="15"/>
          <w:szCs w:val="15"/>
          <w:color w:val="auto"/>
        </w:rPr>
        <w:t>Short term-deposits are with major Australian banks and are made for varying periods of between 90 days and 96 days, depending on the immediate cash requirements of the Group, and earn interest at a fixed rate for the respective short-term deposit periods. At period end, the average rate was 0.36% (2019 half-year: 1.59%).</w:t>
      </w:r>
    </w:p>
    <w:p>
      <w:pPr>
        <w:sectPr>
          <w:pgSz w:w="11900" w:h="16838" w:orient="portrait"/>
          <w:cols w:equalWidth="0" w:num="1">
            <w:col w:w="11020"/>
          </w:cols>
          <w:pgMar w:left="440" w:top="644" w:right="439" w:bottom="1440" w:gutter="0" w:footer="0" w:header="0"/>
        </w:sectPr>
      </w:pPr>
    </w:p>
    <w:bookmarkStart w:id="19" w:name="page20"/>
    <w:bookmarkEnd w:id="19"/>
    <w:p>
      <w:pPr>
        <w:ind w:left="964"/>
        <w:spacing w:after="0"/>
        <w:rPr>
          <w:sz w:val="20"/>
          <w:szCs w:val="20"/>
          <w:color w:val="auto"/>
        </w:rPr>
      </w:pPr>
      <w:r>
        <w:rPr>
          <w:rFonts w:ascii="Arial" w:cs="Arial" w:eastAsia="Arial" w:hAnsi="Arial"/>
          <w:sz w:val="13"/>
          <w:szCs w:val="13"/>
          <w:color w:val="00AFB7"/>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497205" cy="85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7205" cy="85725"/>
                    </a:xfrm>
                    <a:prstGeom prst="rect">
                      <a:avLst/>
                    </a:prstGeom>
                    <a:noFill/>
                  </pic:spPr>
                </pic:pic>
              </a:graphicData>
            </a:graphic>
          </wp:anchor>
        </w:drawing>
      </w:r>
    </w:p>
    <w:p>
      <w:pPr>
        <w:spacing w:after="0" w:line="334" w:lineRule="exact"/>
        <w:rPr>
          <w:sz w:val="20"/>
          <w:szCs w:val="20"/>
          <w:color w:val="auto"/>
        </w:rPr>
      </w:pPr>
    </w:p>
    <w:p>
      <w:pPr>
        <w:jc w:val="both"/>
        <w:ind w:left="4" w:right="3480"/>
        <w:spacing w:after="0" w:line="248" w:lineRule="auto"/>
        <w:rPr>
          <w:sz w:val="20"/>
          <w:szCs w:val="20"/>
          <w:color w:val="auto"/>
        </w:rPr>
      </w:pPr>
      <w:r>
        <w:rPr>
          <w:rFonts w:ascii="Arial" w:cs="Arial" w:eastAsia="Arial" w:hAnsi="Arial"/>
          <w:sz w:val="36"/>
          <w:szCs w:val="36"/>
          <w:color w:val="00AFB7"/>
        </w:rPr>
        <w:t xml:space="preserve">NOTES TO THE CONSOLIDATED FINANCIAL STATEMENTS FOR THE HALF-YEAR ENDED 31 DECEMBER 2020 </w:t>
      </w:r>
      <w:r>
        <w:rPr>
          <w:rFonts w:ascii="Arial" w:cs="Arial" w:eastAsia="Arial" w:hAnsi="Arial"/>
          <w:sz w:val="23"/>
          <w:szCs w:val="23"/>
          <w:color w:val="00AFB7"/>
        </w:rPr>
        <w:t>(CONT.)</w:t>
      </w:r>
    </w:p>
    <w:p>
      <w:pPr>
        <w:spacing w:after="0" w:line="200" w:lineRule="exact"/>
        <w:rPr>
          <w:sz w:val="20"/>
          <w:szCs w:val="20"/>
          <w:color w:val="auto"/>
        </w:rPr>
      </w:pPr>
    </w:p>
    <w:p>
      <w:pPr>
        <w:spacing w:after="0" w:line="25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20286D"/>
        </w:rPr>
        <w:t>8.  PREPAYMENTS</w:t>
      </w:r>
    </w:p>
    <w:p>
      <w:pPr>
        <w:spacing w:after="0" w:line="324" w:lineRule="exact"/>
        <w:rPr>
          <w:sz w:val="20"/>
          <w:szCs w:val="20"/>
          <w:color w:val="auto"/>
        </w:rPr>
      </w:pPr>
    </w:p>
    <w:tbl>
      <w:tblPr>
        <w:tblLayout w:type="fixed"/>
        <w:tblInd w:w="4" w:type="dxa"/>
        <w:tblCellMar>
          <w:top w:w="0" w:type="dxa"/>
          <w:left w:w="0" w:type="dxa"/>
          <w:bottom w:w="0" w:type="dxa"/>
          <w:right w:w="0" w:type="dxa"/>
        </w:tblCellMar>
      </w:tblPr>
      <w:tr>
        <w:trPr>
          <w:trHeight w:val="32"/>
        </w:trPr>
        <w:tc>
          <w:tcPr>
            <w:tcW w:w="4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20286D"/>
              </w:rPr>
              <w:t>30 June</w:t>
            </w:r>
          </w:p>
        </w:tc>
        <w:tc>
          <w:tcPr>
            <w:tcW w:w="0" w:type="dxa"/>
            <w:vAlign w:val="bottom"/>
          </w:tcPr>
          <w:p>
            <w:pPr>
              <w:spacing w:after="0" w:line="20" w:lineRule="exact"/>
              <w:rPr>
                <w:sz w:val="1"/>
                <w:szCs w:val="1"/>
                <w:color w:val="auto"/>
              </w:rPr>
            </w:pPr>
          </w:p>
        </w:tc>
      </w:tr>
      <w:tr>
        <w:trPr>
          <w:trHeight w:val="141"/>
        </w:trPr>
        <w:tc>
          <w:tcPr>
            <w:tcW w:w="4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shd w:val="clear" w:color="auto" w:fill="E5F7F7"/>
          </w:tcPr>
          <w:p>
            <w:pPr>
              <w:jc w:val="right"/>
              <w:spacing w:after="0" w:line="141" w:lineRule="exact"/>
              <w:rPr>
                <w:sz w:val="20"/>
                <w:szCs w:val="20"/>
                <w:color w:val="auto"/>
              </w:rPr>
            </w:pPr>
            <w:r>
              <w:rPr>
                <w:rFonts w:ascii="Arial" w:cs="Arial" w:eastAsia="Arial" w:hAnsi="Arial"/>
                <w:sz w:val="15"/>
                <w:szCs w:val="15"/>
                <w:b w:val="1"/>
                <w:bCs w:val="1"/>
                <w:color w:val="20286D"/>
              </w:rPr>
              <w:t>31 December</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shd w:val="clear" w:color="auto" w:fill="E5F7F7"/>
          </w:tcPr>
          <w:p>
            <w:pPr>
              <w:jc w:val="right"/>
              <w:spacing w:after="0" w:line="162" w:lineRule="exact"/>
              <w:rPr>
                <w:sz w:val="20"/>
                <w:szCs w:val="20"/>
                <w:color w:val="auto"/>
              </w:rPr>
            </w:pPr>
            <w:r>
              <w:rPr>
                <w:rFonts w:ascii="Arial" w:cs="Arial" w:eastAsia="Arial" w:hAnsi="Arial"/>
                <w:sz w:val="15"/>
                <w:szCs w:val="15"/>
                <w:b w:val="1"/>
                <w:bCs w:val="1"/>
                <w:color w:val="20286D"/>
              </w:rPr>
              <w:t>2020</w:t>
            </w:r>
          </w:p>
        </w:tc>
        <w:tc>
          <w:tcPr>
            <w:tcW w:w="128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20286D"/>
              </w:rPr>
              <w:t>2020</w:t>
            </w:r>
          </w:p>
        </w:tc>
        <w:tc>
          <w:tcPr>
            <w:tcW w:w="0" w:type="dxa"/>
            <w:vAlign w:val="bottom"/>
          </w:tcPr>
          <w:p>
            <w:pPr>
              <w:spacing w:after="0"/>
              <w:rPr>
                <w:sz w:val="1"/>
                <w:szCs w:val="1"/>
                <w:color w:val="auto"/>
              </w:rPr>
            </w:pPr>
          </w:p>
        </w:tc>
      </w:tr>
      <w:tr>
        <w:trPr>
          <w:trHeight w:val="204"/>
        </w:trPr>
        <w:tc>
          <w:tcPr>
            <w:tcW w:w="4740" w:type="dxa"/>
            <w:vAlign w:val="bottom"/>
            <w:tcBorders>
              <w:bottom w:val="single" w:sz="8" w:color="00AFB7"/>
            </w:tcBorders>
          </w:tcPr>
          <w:p>
            <w:pPr>
              <w:spacing w:after="0"/>
              <w:rPr>
                <w:sz w:val="17"/>
                <w:szCs w:val="17"/>
                <w:color w:val="auto"/>
              </w:rPr>
            </w:pPr>
          </w:p>
        </w:tc>
        <w:tc>
          <w:tcPr>
            <w:tcW w:w="1360" w:type="dxa"/>
            <w:vAlign w:val="bottom"/>
            <w:tcBorders>
              <w:bottom w:val="single" w:sz="8" w:color="00AFB7"/>
            </w:tcBorders>
          </w:tcPr>
          <w:p>
            <w:pPr>
              <w:spacing w:after="0"/>
              <w:rPr>
                <w:sz w:val="17"/>
                <w:szCs w:val="17"/>
                <w:color w:val="auto"/>
              </w:rPr>
            </w:pPr>
          </w:p>
        </w:tc>
        <w:tc>
          <w:tcPr>
            <w:tcW w:w="1340" w:type="dxa"/>
            <w:vAlign w:val="bottom"/>
            <w:tcBorders>
              <w:bottom w:val="single" w:sz="8" w:color="00AFB7"/>
            </w:tcBorders>
          </w:tcPr>
          <w:p>
            <w:pPr>
              <w:spacing w:after="0"/>
              <w:rPr>
                <w:sz w:val="17"/>
                <w:szCs w:val="17"/>
                <w:color w:val="auto"/>
              </w:rPr>
            </w:pPr>
          </w:p>
        </w:tc>
        <w:tc>
          <w:tcPr>
            <w:tcW w:w="1080" w:type="dxa"/>
            <w:vAlign w:val="bottom"/>
            <w:tcBorders>
              <w:bottom w:val="single" w:sz="8" w:color="00AFB7"/>
            </w:tcBorders>
          </w:tcPr>
          <w:p>
            <w:pPr>
              <w:spacing w:after="0"/>
              <w:rPr>
                <w:sz w:val="17"/>
                <w:szCs w:val="17"/>
                <w:color w:val="auto"/>
              </w:rPr>
            </w:pPr>
          </w:p>
        </w:tc>
        <w:tc>
          <w:tcPr>
            <w:tcW w:w="122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b w:val="1"/>
                <w:bCs w:val="1"/>
                <w:color w:val="20286D"/>
              </w:rPr>
              <w:t>$</w:t>
            </w:r>
          </w:p>
        </w:tc>
        <w:tc>
          <w:tcPr>
            <w:tcW w:w="128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b w:val="1"/>
                <w:bCs w:val="1"/>
                <w:color w:val="20286D"/>
              </w:rPr>
              <w:t>$</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00AFB7"/>
            </w:tcBorders>
          </w:tcPr>
          <w:p>
            <w:pPr>
              <w:spacing w:after="0"/>
              <w:rPr>
                <w:sz w:val="19"/>
                <w:szCs w:val="19"/>
                <w:color w:val="auto"/>
              </w:rPr>
            </w:pPr>
          </w:p>
        </w:tc>
        <w:tc>
          <w:tcPr>
            <w:tcW w:w="1360" w:type="dxa"/>
            <w:vAlign w:val="bottom"/>
            <w:tcBorders>
              <w:bottom w:val="single" w:sz="8" w:color="00AFB7"/>
            </w:tcBorders>
          </w:tcPr>
          <w:p>
            <w:pPr>
              <w:spacing w:after="0"/>
              <w:rPr>
                <w:sz w:val="19"/>
                <w:szCs w:val="19"/>
                <w:color w:val="auto"/>
              </w:rPr>
            </w:pPr>
          </w:p>
        </w:tc>
        <w:tc>
          <w:tcPr>
            <w:tcW w:w="1340" w:type="dxa"/>
            <w:vAlign w:val="bottom"/>
            <w:tcBorders>
              <w:bottom w:val="single" w:sz="8" w:color="00AFB7"/>
            </w:tcBorders>
          </w:tcPr>
          <w:p>
            <w:pPr>
              <w:spacing w:after="0"/>
              <w:rPr>
                <w:sz w:val="19"/>
                <w:szCs w:val="19"/>
                <w:color w:val="auto"/>
              </w:rPr>
            </w:pPr>
          </w:p>
        </w:tc>
        <w:tc>
          <w:tcPr>
            <w:tcW w:w="1080" w:type="dxa"/>
            <w:vAlign w:val="bottom"/>
            <w:tcBorders>
              <w:bottom w:val="single" w:sz="8" w:color="00AFB7"/>
            </w:tcBorders>
          </w:tcPr>
          <w:p>
            <w:pPr>
              <w:spacing w:after="0"/>
              <w:rPr>
                <w:sz w:val="19"/>
                <w:szCs w:val="19"/>
                <w:color w:val="auto"/>
              </w:rPr>
            </w:pPr>
          </w:p>
        </w:tc>
        <w:tc>
          <w:tcPr>
            <w:tcW w:w="1220" w:type="dxa"/>
            <w:vAlign w:val="bottom"/>
            <w:tcBorders>
              <w:bottom w:val="single" w:sz="8" w:color="00AFB7"/>
            </w:tcBorders>
            <w:shd w:val="clear" w:color="auto" w:fill="E5F7F7"/>
          </w:tcPr>
          <w:p>
            <w:pPr>
              <w:spacing w:after="0"/>
              <w:rPr>
                <w:sz w:val="19"/>
                <w:szCs w:val="19"/>
                <w:color w:val="auto"/>
              </w:rPr>
            </w:pPr>
          </w:p>
        </w:tc>
        <w:tc>
          <w:tcPr>
            <w:tcW w:w="1280" w:type="dxa"/>
            <w:vAlign w:val="bottom"/>
            <w:tcBorders>
              <w:bottom w:val="single" w:sz="8" w:color="00AFB7"/>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Prepayments in respect of insurance premiums paid in advance</w:t>
            </w:r>
          </w:p>
        </w:tc>
        <w:tc>
          <w:tcPr>
            <w:tcW w:w="1360" w:type="dxa"/>
            <w:vAlign w:val="bottom"/>
            <w:tcBorders>
              <w:bottom w:val="single" w:sz="8" w:color="00AFB7"/>
            </w:tcBorders>
          </w:tcPr>
          <w:p>
            <w:pPr>
              <w:spacing w:after="0"/>
              <w:rPr>
                <w:sz w:val="19"/>
                <w:szCs w:val="19"/>
                <w:color w:val="auto"/>
              </w:rPr>
            </w:pPr>
          </w:p>
        </w:tc>
        <w:tc>
          <w:tcPr>
            <w:tcW w:w="1340" w:type="dxa"/>
            <w:vAlign w:val="bottom"/>
            <w:tcBorders>
              <w:bottom w:val="single" w:sz="8" w:color="00AFB7"/>
            </w:tcBorders>
          </w:tcPr>
          <w:p>
            <w:pPr>
              <w:spacing w:after="0"/>
              <w:rPr>
                <w:sz w:val="19"/>
                <w:szCs w:val="19"/>
                <w:color w:val="auto"/>
              </w:rPr>
            </w:pPr>
          </w:p>
        </w:tc>
        <w:tc>
          <w:tcPr>
            <w:tcW w:w="1080" w:type="dxa"/>
            <w:vAlign w:val="bottom"/>
            <w:tcBorders>
              <w:bottom w:val="single" w:sz="8" w:color="00AFB7"/>
            </w:tcBorders>
          </w:tcPr>
          <w:p>
            <w:pPr>
              <w:spacing w:after="0"/>
              <w:rPr>
                <w:sz w:val="19"/>
                <w:szCs w:val="19"/>
                <w:color w:val="auto"/>
              </w:rPr>
            </w:pPr>
          </w:p>
        </w:tc>
        <w:tc>
          <w:tcPr>
            <w:tcW w:w="122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6,074,496</w:t>
            </w:r>
          </w:p>
        </w:tc>
        <w:tc>
          <w:tcPr>
            <w:tcW w:w="128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auto"/>
              </w:rPr>
              <w:t>466,083</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Other administrative expense prepayments</w:t>
            </w:r>
          </w:p>
        </w:tc>
        <w:tc>
          <w:tcPr>
            <w:tcW w:w="1360" w:type="dxa"/>
            <w:vAlign w:val="bottom"/>
            <w:tcBorders>
              <w:bottom w:val="single" w:sz="8" w:color="00AFB7"/>
            </w:tcBorders>
          </w:tcPr>
          <w:p>
            <w:pPr>
              <w:spacing w:after="0"/>
              <w:rPr>
                <w:sz w:val="19"/>
                <w:szCs w:val="19"/>
                <w:color w:val="auto"/>
              </w:rPr>
            </w:pPr>
          </w:p>
        </w:tc>
        <w:tc>
          <w:tcPr>
            <w:tcW w:w="1340" w:type="dxa"/>
            <w:vAlign w:val="bottom"/>
            <w:tcBorders>
              <w:bottom w:val="single" w:sz="8" w:color="00AFB7"/>
            </w:tcBorders>
          </w:tcPr>
          <w:p>
            <w:pPr>
              <w:spacing w:after="0"/>
              <w:rPr>
                <w:sz w:val="19"/>
                <w:szCs w:val="19"/>
                <w:color w:val="auto"/>
              </w:rPr>
            </w:pPr>
          </w:p>
        </w:tc>
        <w:tc>
          <w:tcPr>
            <w:tcW w:w="1080" w:type="dxa"/>
            <w:vAlign w:val="bottom"/>
            <w:tcBorders>
              <w:bottom w:val="single" w:sz="8" w:color="00AFB7"/>
            </w:tcBorders>
          </w:tcPr>
          <w:p>
            <w:pPr>
              <w:spacing w:after="0"/>
              <w:rPr>
                <w:sz w:val="19"/>
                <w:szCs w:val="19"/>
                <w:color w:val="auto"/>
              </w:rPr>
            </w:pPr>
          </w:p>
        </w:tc>
        <w:tc>
          <w:tcPr>
            <w:tcW w:w="122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9,405</w:t>
            </w:r>
          </w:p>
        </w:tc>
        <w:tc>
          <w:tcPr>
            <w:tcW w:w="128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auto"/>
              </w:rPr>
              <w:t>12,549</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00AFB7"/>
            </w:tcBorders>
          </w:tcPr>
          <w:p>
            <w:pPr>
              <w:spacing w:after="0"/>
              <w:rPr>
                <w:sz w:val="19"/>
                <w:szCs w:val="19"/>
                <w:color w:val="auto"/>
              </w:rPr>
            </w:pPr>
          </w:p>
        </w:tc>
        <w:tc>
          <w:tcPr>
            <w:tcW w:w="1360" w:type="dxa"/>
            <w:vAlign w:val="bottom"/>
            <w:tcBorders>
              <w:bottom w:val="single" w:sz="8" w:color="00AFB7"/>
            </w:tcBorders>
          </w:tcPr>
          <w:p>
            <w:pPr>
              <w:spacing w:after="0"/>
              <w:rPr>
                <w:sz w:val="19"/>
                <w:szCs w:val="19"/>
                <w:color w:val="auto"/>
              </w:rPr>
            </w:pPr>
          </w:p>
        </w:tc>
        <w:tc>
          <w:tcPr>
            <w:tcW w:w="1340" w:type="dxa"/>
            <w:vAlign w:val="bottom"/>
            <w:tcBorders>
              <w:bottom w:val="single" w:sz="8" w:color="00AFB7"/>
            </w:tcBorders>
          </w:tcPr>
          <w:p>
            <w:pPr>
              <w:spacing w:after="0"/>
              <w:rPr>
                <w:sz w:val="19"/>
                <w:szCs w:val="19"/>
                <w:color w:val="auto"/>
              </w:rPr>
            </w:pPr>
          </w:p>
        </w:tc>
        <w:tc>
          <w:tcPr>
            <w:tcW w:w="1080" w:type="dxa"/>
            <w:vAlign w:val="bottom"/>
            <w:tcBorders>
              <w:bottom w:val="single" w:sz="8" w:color="00AFB7"/>
            </w:tcBorders>
          </w:tcPr>
          <w:p>
            <w:pPr>
              <w:spacing w:after="0"/>
              <w:rPr>
                <w:sz w:val="19"/>
                <w:szCs w:val="19"/>
                <w:color w:val="auto"/>
              </w:rPr>
            </w:pPr>
          </w:p>
        </w:tc>
        <w:tc>
          <w:tcPr>
            <w:tcW w:w="122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20286D"/>
              </w:rPr>
              <w:t>6,083,901</w:t>
            </w:r>
          </w:p>
        </w:tc>
        <w:tc>
          <w:tcPr>
            <w:tcW w:w="128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20286D"/>
              </w:rPr>
              <w:t>478,632</w:t>
            </w:r>
          </w:p>
        </w:tc>
        <w:tc>
          <w:tcPr>
            <w:tcW w:w="0" w:type="dxa"/>
            <w:vAlign w:val="bottom"/>
          </w:tcPr>
          <w:p>
            <w:pPr>
              <w:spacing w:after="0"/>
              <w:rPr>
                <w:sz w:val="1"/>
                <w:szCs w:val="1"/>
                <w:color w:val="auto"/>
              </w:rPr>
            </w:pPr>
          </w:p>
        </w:tc>
      </w:tr>
      <w:tr>
        <w:trPr>
          <w:trHeight w:val="507"/>
        </w:trPr>
        <w:tc>
          <w:tcPr>
            <w:tcW w:w="6100" w:type="dxa"/>
            <w:vAlign w:val="bottom"/>
            <w:gridSpan w:val="2"/>
          </w:tcPr>
          <w:p>
            <w:pPr>
              <w:spacing w:after="0"/>
              <w:rPr>
                <w:sz w:val="20"/>
                <w:szCs w:val="20"/>
                <w:color w:val="auto"/>
              </w:rPr>
            </w:pPr>
            <w:r>
              <w:rPr>
                <w:rFonts w:ascii="Arial" w:cs="Arial" w:eastAsia="Arial" w:hAnsi="Arial"/>
                <w:sz w:val="18"/>
                <w:szCs w:val="18"/>
                <w:b w:val="1"/>
                <w:bCs w:val="1"/>
                <w:color w:val="20286D"/>
              </w:rPr>
              <w:t>9.  NON-CURRENT ASSETS – INVESTMENTS IN FINANCIAL ASSETS</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20286D"/>
              </w:rPr>
              <w:t>Fair value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b w:val="1"/>
                <w:bCs w:val="1"/>
                <w:color w:val="20286D"/>
              </w:rPr>
              <w:t>gain/(loss)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360" w:type="dxa"/>
            <w:vAlign w:val="bottom"/>
          </w:tcPr>
          <w:p>
            <w:pPr>
              <w:jc w:val="center"/>
              <w:ind w:left="184"/>
              <w:spacing w:after="0" w:line="162" w:lineRule="exact"/>
              <w:rPr>
                <w:sz w:val="20"/>
                <w:szCs w:val="20"/>
                <w:color w:val="auto"/>
              </w:rPr>
            </w:pPr>
            <w:r>
              <w:rPr>
                <w:rFonts w:ascii="Arial" w:cs="Arial" w:eastAsia="Arial" w:hAnsi="Arial"/>
                <w:sz w:val="15"/>
                <w:szCs w:val="15"/>
                <w:b w:val="1"/>
                <w:bCs w:val="1"/>
                <w:color w:val="20286D"/>
              </w:rPr>
              <w:t>Ownership</w:t>
            </w:r>
          </w:p>
        </w:tc>
        <w:tc>
          <w:tcPr>
            <w:tcW w:w="1340" w:type="dxa"/>
            <w:vAlign w:val="bottom"/>
          </w:tcPr>
          <w:p>
            <w:pPr>
              <w:jc w:val="right"/>
              <w:ind w:right="204"/>
              <w:spacing w:after="0" w:line="162" w:lineRule="exact"/>
              <w:rPr>
                <w:sz w:val="20"/>
                <w:szCs w:val="20"/>
                <w:color w:val="auto"/>
              </w:rPr>
            </w:pPr>
            <w:r>
              <w:rPr>
                <w:rFonts w:ascii="Arial" w:cs="Arial" w:eastAsia="Arial" w:hAnsi="Arial"/>
                <w:sz w:val="15"/>
                <w:szCs w:val="15"/>
                <w:b w:val="1"/>
                <w:bCs w:val="1"/>
                <w:color w:val="20286D"/>
              </w:rPr>
              <w:t>Fair value at</w:t>
            </w:r>
          </w:p>
        </w:tc>
        <w:tc>
          <w:tcPr>
            <w:tcW w:w="108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b w:val="1"/>
                <w:bCs w:val="1"/>
                <w:color w:val="20286D"/>
              </w:rPr>
              <w:t>recognised</w:t>
            </w:r>
          </w:p>
        </w:tc>
        <w:tc>
          <w:tcPr>
            <w:tcW w:w="128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20286D"/>
              </w:rPr>
              <w:t>Opening fair</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360" w:type="dxa"/>
            <w:vAlign w:val="bottom"/>
          </w:tcPr>
          <w:p>
            <w:pPr>
              <w:jc w:val="center"/>
              <w:ind w:left="184"/>
              <w:spacing w:after="0" w:line="162" w:lineRule="exact"/>
              <w:rPr>
                <w:sz w:val="20"/>
                <w:szCs w:val="20"/>
                <w:color w:val="auto"/>
              </w:rPr>
            </w:pPr>
            <w:r>
              <w:rPr>
                <w:rFonts w:ascii="Arial" w:cs="Arial" w:eastAsia="Arial" w:hAnsi="Arial"/>
                <w:sz w:val="15"/>
                <w:szCs w:val="15"/>
                <w:b w:val="1"/>
                <w:bCs w:val="1"/>
                <w:color w:val="20286D"/>
                <w:w w:val="99"/>
              </w:rPr>
              <w:t>interest</w:t>
            </w:r>
          </w:p>
        </w:tc>
        <w:tc>
          <w:tcPr>
            <w:tcW w:w="1340" w:type="dxa"/>
            <w:vAlign w:val="bottom"/>
          </w:tcPr>
          <w:p>
            <w:pPr>
              <w:jc w:val="right"/>
              <w:ind w:right="204"/>
              <w:spacing w:after="0" w:line="162" w:lineRule="exact"/>
              <w:rPr>
                <w:sz w:val="20"/>
                <w:szCs w:val="20"/>
                <w:color w:val="auto"/>
              </w:rPr>
            </w:pPr>
            <w:r>
              <w:rPr>
                <w:rFonts w:ascii="Arial" w:cs="Arial" w:eastAsia="Arial" w:hAnsi="Arial"/>
                <w:sz w:val="15"/>
                <w:szCs w:val="15"/>
                <w:b w:val="1"/>
                <w:bCs w:val="1"/>
                <w:color w:val="20286D"/>
              </w:rPr>
              <w:t xml:space="preserve">period end </w:t>
            </w:r>
            <w:r>
              <w:rPr>
                <w:rFonts w:ascii="Arial" w:cs="Arial" w:eastAsia="Arial" w:hAnsi="Arial"/>
                <w:sz w:val="13"/>
                <w:szCs w:val="13"/>
                <w:b w:val="1"/>
                <w:bCs w:val="1"/>
                <w:color w:val="20286D"/>
              </w:rPr>
              <w:t>1</w:t>
            </w:r>
          </w:p>
        </w:tc>
        <w:tc>
          <w:tcPr>
            <w:tcW w:w="108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20286D"/>
              </w:rPr>
              <w:t>Disposals</w:t>
            </w:r>
          </w:p>
        </w:tc>
        <w:tc>
          <w:tcPr>
            <w:tcW w:w="1220" w:type="dxa"/>
            <w:vAlign w:val="bottom"/>
          </w:tcPr>
          <w:p>
            <w:pPr>
              <w:jc w:val="right"/>
              <w:spacing w:after="0" w:line="162" w:lineRule="exact"/>
              <w:rPr>
                <w:sz w:val="20"/>
                <w:szCs w:val="20"/>
                <w:color w:val="auto"/>
              </w:rPr>
            </w:pPr>
            <w:r>
              <w:rPr>
                <w:rFonts w:ascii="Arial" w:cs="Arial" w:eastAsia="Arial" w:hAnsi="Arial"/>
                <w:sz w:val="15"/>
                <w:szCs w:val="15"/>
                <w:b w:val="1"/>
                <w:bCs w:val="1"/>
                <w:color w:val="20286D"/>
              </w:rPr>
              <w:t>in OCI</w:t>
            </w:r>
          </w:p>
        </w:tc>
        <w:tc>
          <w:tcPr>
            <w:tcW w:w="128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20286D"/>
              </w:rPr>
              <w:t>value</w:t>
            </w:r>
          </w:p>
        </w:tc>
        <w:tc>
          <w:tcPr>
            <w:tcW w:w="0" w:type="dxa"/>
            <w:vAlign w:val="bottom"/>
          </w:tcPr>
          <w:p>
            <w:pPr>
              <w:spacing w:after="0"/>
              <w:rPr>
                <w:sz w:val="1"/>
                <w:szCs w:val="1"/>
                <w:color w:val="auto"/>
              </w:rPr>
            </w:pPr>
          </w:p>
        </w:tc>
      </w:tr>
      <w:tr>
        <w:trPr>
          <w:trHeight w:val="204"/>
        </w:trPr>
        <w:tc>
          <w:tcPr>
            <w:tcW w:w="4740" w:type="dxa"/>
            <w:vAlign w:val="bottom"/>
            <w:tcBorders>
              <w:bottom w:val="single" w:sz="8" w:color="00AFB7"/>
            </w:tcBorders>
          </w:tcPr>
          <w:p>
            <w:pPr>
              <w:spacing w:after="0"/>
              <w:rPr>
                <w:sz w:val="20"/>
                <w:szCs w:val="20"/>
                <w:color w:val="auto"/>
              </w:rPr>
            </w:pPr>
            <w:r>
              <w:rPr>
                <w:rFonts w:ascii="Arial" w:cs="Arial" w:eastAsia="Arial" w:hAnsi="Arial"/>
                <w:sz w:val="15"/>
                <w:szCs w:val="15"/>
                <w:b w:val="1"/>
                <w:bCs w:val="1"/>
                <w:color w:val="20286D"/>
              </w:rPr>
              <w:t>Listed investments</w:t>
            </w:r>
          </w:p>
        </w:tc>
        <w:tc>
          <w:tcPr>
            <w:tcW w:w="1360" w:type="dxa"/>
            <w:vAlign w:val="bottom"/>
            <w:tcBorders>
              <w:bottom w:val="single" w:sz="8" w:color="00AFB7"/>
            </w:tcBorders>
          </w:tcPr>
          <w:p>
            <w:pPr>
              <w:jc w:val="center"/>
              <w:ind w:left="184"/>
              <w:spacing w:after="0"/>
              <w:rPr>
                <w:sz w:val="20"/>
                <w:szCs w:val="20"/>
                <w:color w:val="auto"/>
              </w:rPr>
            </w:pPr>
            <w:r>
              <w:rPr>
                <w:rFonts w:ascii="Arial" w:cs="Arial" w:eastAsia="Arial" w:hAnsi="Arial"/>
                <w:sz w:val="15"/>
                <w:szCs w:val="15"/>
                <w:b w:val="1"/>
                <w:bCs w:val="1"/>
                <w:color w:val="20286D"/>
              </w:rPr>
              <w:t>%</w:t>
            </w:r>
          </w:p>
        </w:tc>
        <w:tc>
          <w:tcPr>
            <w:tcW w:w="1340" w:type="dxa"/>
            <w:vAlign w:val="bottom"/>
            <w:tcBorders>
              <w:bottom w:val="single" w:sz="8" w:color="00AFB7"/>
            </w:tcBorders>
          </w:tcPr>
          <w:p>
            <w:pPr>
              <w:jc w:val="right"/>
              <w:ind w:right="204"/>
              <w:spacing w:after="0"/>
              <w:rPr>
                <w:sz w:val="20"/>
                <w:szCs w:val="20"/>
                <w:color w:val="auto"/>
              </w:rPr>
            </w:pPr>
            <w:r>
              <w:rPr>
                <w:rFonts w:ascii="Arial" w:cs="Arial" w:eastAsia="Arial" w:hAnsi="Arial"/>
                <w:sz w:val="15"/>
                <w:szCs w:val="15"/>
                <w:b w:val="1"/>
                <w:bCs w:val="1"/>
                <w:color w:val="20286D"/>
              </w:rPr>
              <w:t>$</w:t>
            </w:r>
          </w:p>
        </w:tc>
        <w:tc>
          <w:tcPr>
            <w:tcW w:w="1080" w:type="dxa"/>
            <w:vAlign w:val="bottom"/>
            <w:tcBorders>
              <w:bottom w:val="single" w:sz="8" w:color="00AFB7"/>
            </w:tcBorders>
          </w:tcPr>
          <w:p>
            <w:pPr>
              <w:jc w:val="right"/>
              <w:ind w:right="4"/>
              <w:spacing w:after="0"/>
              <w:rPr>
                <w:sz w:val="20"/>
                <w:szCs w:val="20"/>
                <w:color w:val="auto"/>
              </w:rPr>
            </w:pPr>
            <w:r>
              <w:rPr>
                <w:rFonts w:ascii="Arial" w:cs="Arial" w:eastAsia="Arial" w:hAnsi="Arial"/>
                <w:sz w:val="15"/>
                <w:szCs w:val="15"/>
                <w:b w:val="1"/>
                <w:bCs w:val="1"/>
                <w:color w:val="20286D"/>
              </w:rPr>
              <w:t>$</w:t>
            </w:r>
          </w:p>
        </w:tc>
        <w:tc>
          <w:tcPr>
            <w:tcW w:w="1220" w:type="dxa"/>
            <w:vAlign w:val="bottom"/>
            <w:tcBorders>
              <w:bottom w:val="single" w:sz="8" w:color="00AFB7"/>
            </w:tcBorders>
          </w:tcPr>
          <w:p>
            <w:pPr>
              <w:jc w:val="right"/>
              <w:spacing w:after="0"/>
              <w:rPr>
                <w:sz w:val="20"/>
                <w:szCs w:val="20"/>
                <w:color w:val="auto"/>
              </w:rPr>
            </w:pPr>
            <w:r>
              <w:rPr>
                <w:rFonts w:ascii="Arial" w:cs="Arial" w:eastAsia="Arial" w:hAnsi="Arial"/>
                <w:sz w:val="15"/>
                <w:szCs w:val="15"/>
                <w:b w:val="1"/>
                <w:bCs w:val="1"/>
                <w:color w:val="20286D"/>
              </w:rPr>
              <w:t>$</w:t>
            </w:r>
          </w:p>
        </w:tc>
        <w:tc>
          <w:tcPr>
            <w:tcW w:w="128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b w:val="1"/>
                <w:bCs w:val="1"/>
                <w:color w:val="20286D"/>
              </w:rPr>
              <w:t>$</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
        <w:spacing w:after="0"/>
        <w:rPr>
          <w:sz w:val="20"/>
          <w:szCs w:val="20"/>
          <w:color w:val="auto"/>
        </w:rPr>
      </w:pPr>
      <w:r>
        <w:rPr>
          <w:rFonts w:ascii="Arial" w:cs="Arial" w:eastAsia="Arial" w:hAnsi="Arial"/>
          <w:sz w:val="15"/>
          <w:szCs w:val="15"/>
          <w:color w:val="20286D"/>
        </w:rPr>
        <w:t>31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1" w:lineRule="exact"/>
        <w:rPr>
          <w:sz w:val="20"/>
          <w:szCs w:val="20"/>
          <w:color w:val="auto"/>
        </w:rPr>
      </w:pPr>
    </w:p>
    <w:p>
      <w:pPr>
        <w:ind w:left="4"/>
        <w:spacing w:after="0"/>
        <w:rPr>
          <w:sz w:val="20"/>
          <w:szCs w:val="20"/>
          <w:color w:val="auto"/>
        </w:rPr>
      </w:pPr>
      <w:r>
        <w:rPr>
          <w:rFonts w:ascii="Arial" w:cs="Arial" w:eastAsia="Arial" w:hAnsi="Arial"/>
          <w:sz w:val="15"/>
          <w:szCs w:val="15"/>
          <w:color w:val="auto"/>
        </w:rPr>
        <w:t>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3"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Antisense Therapeutics Ltd</w:t>
            </w:r>
          </w:p>
        </w:tc>
        <w:tc>
          <w:tcPr>
            <w:tcW w:w="2560" w:type="dxa"/>
            <w:vAlign w:val="bottom"/>
            <w:tcBorders>
              <w:bottom w:val="single" w:sz="8" w:color="00AFB7"/>
            </w:tcBorders>
          </w:tcPr>
          <w:p>
            <w:pPr>
              <w:jc w:val="right"/>
              <w:ind w:right="224"/>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AFB7"/>
            </w:tcBorders>
          </w:tcPr>
          <w:p>
            <w:pPr>
              <w:jc w:val="right"/>
              <w:ind w:right="244"/>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AFB7"/>
            </w:tcBorders>
          </w:tcPr>
          <w:p>
            <w:pPr>
              <w:jc w:val="right"/>
              <w:ind w:right="284"/>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00AFB7"/>
            </w:tcBorders>
          </w:tcPr>
          <w:p>
            <w:pPr>
              <w:jc w:val="right"/>
              <w:ind w:right="304"/>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w:t>
            </w:r>
          </w:p>
        </w:tc>
      </w:tr>
      <w:tr>
        <w:trPr>
          <w:trHeight w:val="223"/>
        </w:trPr>
        <w:tc>
          <w:tcPr>
            <w:tcW w:w="3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Optiscan Imaging Ltd</w:t>
            </w:r>
          </w:p>
        </w:tc>
        <w:tc>
          <w:tcPr>
            <w:tcW w:w="2560" w:type="dxa"/>
            <w:vAlign w:val="bottom"/>
            <w:tcBorders>
              <w:bottom w:val="single" w:sz="8" w:color="00AFB7"/>
            </w:tcBorders>
          </w:tcPr>
          <w:p>
            <w:pPr>
              <w:jc w:val="right"/>
              <w:ind w:right="224"/>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AFB7"/>
            </w:tcBorders>
          </w:tcPr>
          <w:p>
            <w:pPr>
              <w:jc w:val="right"/>
              <w:ind w:right="244"/>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AFB7"/>
            </w:tcBorders>
          </w:tcPr>
          <w:p>
            <w:pPr>
              <w:jc w:val="right"/>
              <w:ind w:right="244"/>
              <w:spacing w:after="0"/>
              <w:rPr>
                <w:sz w:val="20"/>
                <w:szCs w:val="20"/>
                <w:color w:val="auto"/>
              </w:rPr>
            </w:pPr>
            <w:r>
              <w:rPr>
                <w:rFonts w:ascii="Arial" w:cs="Arial" w:eastAsia="Arial" w:hAnsi="Arial"/>
                <w:sz w:val="15"/>
                <w:szCs w:val="15"/>
                <w:color w:val="auto"/>
              </w:rPr>
              <w:t>(939,784)</w:t>
            </w:r>
          </w:p>
        </w:tc>
        <w:tc>
          <w:tcPr>
            <w:tcW w:w="1300" w:type="dxa"/>
            <w:vAlign w:val="bottom"/>
            <w:tcBorders>
              <w:bottom w:val="single" w:sz="8" w:color="00AFB7"/>
            </w:tcBorders>
          </w:tcPr>
          <w:p>
            <w:pPr>
              <w:jc w:val="right"/>
              <w:ind w:right="304"/>
              <w:spacing w:after="0"/>
              <w:rPr>
                <w:sz w:val="20"/>
                <w:szCs w:val="20"/>
                <w:color w:val="auto"/>
              </w:rPr>
            </w:pPr>
            <w:r>
              <w:rPr>
                <w:rFonts w:ascii="Arial" w:cs="Arial" w:eastAsia="Arial" w:hAnsi="Arial"/>
                <w:sz w:val="15"/>
                <w:szCs w:val="15"/>
                <w:color w:val="auto"/>
              </w:rPr>
              <w:t>649,804</w:t>
            </w:r>
          </w:p>
        </w:tc>
        <w:tc>
          <w:tcPr>
            <w:tcW w:w="10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289,980</w:t>
            </w:r>
          </w:p>
        </w:tc>
      </w:tr>
      <w:tr>
        <w:trPr>
          <w:trHeight w:val="223"/>
        </w:trPr>
        <w:tc>
          <w:tcPr>
            <w:tcW w:w="368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Total listed investments</w:t>
            </w:r>
          </w:p>
        </w:tc>
        <w:tc>
          <w:tcPr>
            <w:tcW w:w="2560" w:type="dxa"/>
            <w:vAlign w:val="bottom"/>
            <w:tcBorders>
              <w:bottom w:val="single" w:sz="8" w:color="00AFB7"/>
            </w:tcBorders>
          </w:tcPr>
          <w:p>
            <w:pPr>
              <w:spacing w:after="0"/>
              <w:rPr>
                <w:sz w:val="19"/>
                <w:szCs w:val="19"/>
                <w:color w:val="auto"/>
              </w:rPr>
            </w:pPr>
          </w:p>
        </w:tc>
        <w:tc>
          <w:tcPr>
            <w:tcW w:w="1140" w:type="dxa"/>
            <w:vAlign w:val="bottom"/>
            <w:tcBorders>
              <w:bottom w:val="single" w:sz="8" w:color="00AFB7"/>
            </w:tcBorders>
          </w:tcPr>
          <w:p>
            <w:pPr>
              <w:jc w:val="right"/>
              <w:ind w:right="244"/>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AFB7"/>
            </w:tcBorders>
          </w:tcPr>
          <w:p>
            <w:pPr>
              <w:jc w:val="right"/>
              <w:ind w:right="244"/>
              <w:spacing w:after="0"/>
              <w:rPr>
                <w:sz w:val="20"/>
                <w:szCs w:val="20"/>
                <w:color w:val="auto"/>
              </w:rPr>
            </w:pPr>
            <w:r>
              <w:rPr>
                <w:rFonts w:ascii="Arial" w:cs="Arial" w:eastAsia="Arial" w:hAnsi="Arial"/>
                <w:sz w:val="15"/>
                <w:szCs w:val="15"/>
                <w:color w:val="20286D"/>
              </w:rPr>
              <w:t>(939,784)</w:t>
            </w:r>
          </w:p>
        </w:tc>
        <w:tc>
          <w:tcPr>
            <w:tcW w:w="1300" w:type="dxa"/>
            <w:vAlign w:val="bottom"/>
            <w:tcBorders>
              <w:bottom w:val="single" w:sz="8" w:color="00AFB7"/>
            </w:tcBorders>
          </w:tcPr>
          <w:p>
            <w:pPr>
              <w:jc w:val="right"/>
              <w:ind w:right="304"/>
              <w:spacing w:after="0"/>
              <w:rPr>
                <w:sz w:val="20"/>
                <w:szCs w:val="20"/>
                <w:color w:val="auto"/>
              </w:rPr>
            </w:pPr>
            <w:r>
              <w:rPr>
                <w:rFonts w:ascii="Arial" w:cs="Arial" w:eastAsia="Arial" w:hAnsi="Arial"/>
                <w:sz w:val="15"/>
                <w:szCs w:val="15"/>
                <w:color w:val="20286D"/>
              </w:rPr>
              <w:t>649,804</w:t>
            </w:r>
          </w:p>
        </w:tc>
        <w:tc>
          <w:tcPr>
            <w:tcW w:w="10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289,980</w:t>
            </w:r>
          </w:p>
        </w:tc>
      </w:tr>
      <w:tr>
        <w:trPr>
          <w:trHeight w:val="223"/>
        </w:trPr>
        <w:tc>
          <w:tcPr>
            <w:tcW w:w="368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30 June 2020</w:t>
            </w:r>
          </w:p>
        </w:tc>
        <w:tc>
          <w:tcPr>
            <w:tcW w:w="2560" w:type="dxa"/>
            <w:vAlign w:val="bottom"/>
            <w:tcBorders>
              <w:bottom w:val="single" w:sz="8" w:color="00AFB7"/>
            </w:tcBorders>
          </w:tcPr>
          <w:p>
            <w:pPr>
              <w:spacing w:after="0"/>
              <w:rPr>
                <w:sz w:val="19"/>
                <w:szCs w:val="19"/>
                <w:color w:val="auto"/>
              </w:rPr>
            </w:pPr>
          </w:p>
        </w:tc>
        <w:tc>
          <w:tcPr>
            <w:tcW w:w="1140" w:type="dxa"/>
            <w:vAlign w:val="bottom"/>
            <w:tcBorders>
              <w:bottom w:val="single" w:sz="8" w:color="00AFB7"/>
            </w:tcBorders>
          </w:tcPr>
          <w:p>
            <w:pPr>
              <w:spacing w:after="0"/>
              <w:rPr>
                <w:sz w:val="19"/>
                <w:szCs w:val="19"/>
                <w:color w:val="auto"/>
              </w:rPr>
            </w:pPr>
          </w:p>
        </w:tc>
        <w:tc>
          <w:tcPr>
            <w:tcW w:w="1280" w:type="dxa"/>
            <w:vAlign w:val="bottom"/>
            <w:tcBorders>
              <w:bottom w:val="single" w:sz="8" w:color="00AFB7"/>
            </w:tcBorders>
          </w:tcPr>
          <w:p>
            <w:pPr>
              <w:spacing w:after="0"/>
              <w:rPr>
                <w:sz w:val="19"/>
                <w:szCs w:val="19"/>
                <w:color w:val="auto"/>
              </w:rPr>
            </w:pPr>
          </w:p>
        </w:tc>
        <w:tc>
          <w:tcPr>
            <w:tcW w:w="1300" w:type="dxa"/>
            <w:vAlign w:val="bottom"/>
            <w:tcBorders>
              <w:bottom w:val="single" w:sz="8" w:color="00AFB7"/>
            </w:tcBorders>
          </w:tcPr>
          <w:p>
            <w:pPr>
              <w:spacing w:after="0"/>
              <w:rPr>
                <w:sz w:val="19"/>
                <w:szCs w:val="19"/>
                <w:color w:val="auto"/>
              </w:rPr>
            </w:pPr>
          </w:p>
        </w:tc>
        <w:tc>
          <w:tcPr>
            <w:tcW w:w="1060" w:type="dxa"/>
            <w:vAlign w:val="bottom"/>
            <w:tcBorders>
              <w:bottom w:val="single" w:sz="8" w:color="00AFB7"/>
            </w:tcBorders>
          </w:tcPr>
          <w:p>
            <w:pPr>
              <w:spacing w:after="0"/>
              <w:rPr>
                <w:sz w:val="19"/>
                <w:szCs w:val="19"/>
                <w:color w:val="auto"/>
              </w:rPr>
            </w:pPr>
          </w:p>
        </w:tc>
      </w:tr>
      <w:tr>
        <w:trPr>
          <w:trHeight w:val="223"/>
        </w:trPr>
        <w:tc>
          <w:tcPr>
            <w:tcW w:w="3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Antisense Therapeutics Ltd</w:t>
            </w:r>
          </w:p>
        </w:tc>
        <w:tc>
          <w:tcPr>
            <w:tcW w:w="2560" w:type="dxa"/>
            <w:vAlign w:val="bottom"/>
            <w:tcBorders>
              <w:bottom w:val="single" w:sz="8" w:color="00AFB7"/>
            </w:tcBorders>
          </w:tcPr>
          <w:p>
            <w:pPr>
              <w:jc w:val="right"/>
              <w:ind w:right="224"/>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AFB7"/>
            </w:tcBorders>
          </w:tcPr>
          <w:p>
            <w:pPr>
              <w:jc w:val="right"/>
              <w:ind w:right="244"/>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AFB7"/>
            </w:tcBorders>
          </w:tcPr>
          <w:p>
            <w:pPr>
              <w:jc w:val="right"/>
              <w:ind w:right="244"/>
              <w:spacing w:after="0"/>
              <w:rPr>
                <w:sz w:val="20"/>
                <w:szCs w:val="20"/>
                <w:color w:val="auto"/>
              </w:rPr>
            </w:pPr>
            <w:r>
              <w:rPr>
                <w:rFonts w:ascii="Arial" w:cs="Arial" w:eastAsia="Arial" w:hAnsi="Arial"/>
                <w:sz w:val="15"/>
                <w:szCs w:val="15"/>
                <w:color w:val="auto"/>
              </w:rPr>
              <w:t>(482,978)</w:t>
            </w:r>
          </w:p>
        </w:tc>
        <w:tc>
          <w:tcPr>
            <w:tcW w:w="1300" w:type="dxa"/>
            <w:vAlign w:val="bottom"/>
            <w:tcBorders>
              <w:bottom w:val="single" w:sz="8" w:color="00AFB7"/>
            </w:tcBorders>
          </w:tcPr>
          <w:p>
            <w:pPr>
              <w:jc w:val="right"/>
              <w:ind w:right="304"/>
              <w:spacing w:after="0"/>
              <w:rPr>
                <w:sz w:val="20"/>
                <w:szCs w:val="20"/>
                <w:color w:val="auto"/>
              </w:rPr>
            </w:pPr>
            <w:r>
              <w:rPr>
                <w:rFonts w:ascii="Arial" w:cs="Arial" w:eastAsia="Arial" w:hAnsi="Arial"/>
                <w:sz w:val="15"/>
                <w:szCs w:val="15"/>
                <w:color w:val="auto"/>
              </w:rPr>
              <w:t>249,399</w:t>
            </w:r>
          </w:p>
        </w:tc>
        <w:tc>
          <w:tcPr>
            <w:tcW w:w="10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233,579</w:t>
            </w:r>
          </w:p>
        </w:tc>
      </w:tr>
      <w:tr>
        <w:trPr>
          <w:trHeight w:val="223"/>
        </w:trPr>
        <w:tc>
          <w:tcPr>
            <w:tcW w:w="3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Optiscan Imaging Ltd</w:t>
            </w:r>
          </w:p>
        </w:tc>
        <w:tc>
          <w:tcPr>
            <w:tcW w:w="2560" w:type="dxa"/>
            <w:vAlign w:val="bottom"/>
            <w:tcBorders>
              <w:bottom w:val="single" w:sz="8" w:color="00AFB7"/>
            </w:tcBorders>
          </w:tcPr>
          <w:p>
            <w:pPr>
              <w:jc w:val="right"/>
              <w:ind w:right="224"/>
              <w:spacing w:after="0"/>
              <w:rPr>
                <w:sz w:val="20"/>
                <w:szCs w:val="20"/>
                <w:color w:val="auto"/>
              </w:rPr>
            </w:pPr>
            <w:r>
              <w:rPr>
                <w:rFonts w:ascii="Arial" w:cs="Arial" w:eastAsia="Arial" w:hAnsi="Arial"/>
                <w:sz w:val="15"/>
                <w:szCs w:val="15"/>
                <w:color w:val="auto"/>
              </w:rPr>
              <w:t>1.73%</w:t>
            </w:r>
          </w:p>
        </w:tc>
        <w:tc>
          <w:tcPr>
            <w:tcW w:w="1140" w:type="dxa"/>
            <w:vAlign w:val="bottom"/>
            <w:tcBorders>
              <w:bottom w:val="single" w:sz="8" w:color="00AFB7"/>
            </w:tcBorders>
          </w:tcPr>
          <w:p>
            <w:pPr>
              <w:jc w:val="right"/>
              <w:ind w:right="244"/>
              <w:spacing w:after="0"/>
              <w:rPr>
                <w:sz w:val="20"/>
                <w:szCs w:val="20"/>
                <w:color w:val="auto"/>
              </w:rPr>
            </w:pPr>
            <w:r>
              <w:rPr>
                <w:rFonts w:ascii="Arial" w:cs="Arial" w:eastAsia="Arial" w:hAnsi="Arial"/>
                <w:sz w:val="15"/>
                <w:szCs w:val="15"/>
                <w:color w:val="auto"/>
              </w:rPr>
              <w:t>289,980</w:t>
            </w:r>
          </w:p>
        </w:tc>
        <w:tc>
          <w:tcPr>
            <w:tcW w:w="1280" w:type="dxa"/>
            <w:vAlign w:val="bottom"/>
            <w:tcBorders>
              <w:bottom w:val="single" w:sz="8" w:color="00AFB7"/>
            </w:tcBorders>
          </w:tcPr>
          <w:p>
            <w:pPr>
              <w:jc w:val="right"/>
              <w:ind w:right="284"/>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00AFB7"/>
            </w:tcBorders>
          </w:tcPr>
          <w:p>
            <w:pPr>
              <w:jc w:val="right"/>
              <w:ind w:right="244"/>
              <w:spacing w:after="0"/>
              <w:rPr>
                <w:sz w:val="20"/>
                <w:szCs w:val="20"/>
                <w:color w:val="auto"/>
              </w:rPr>
            </w:pPr>
            <w:r>
              <w:rPr>
                <w:rFonts w:ascii="Arial" w:cs="Arial" w:eastAsia="Arial" w:hAnsi="Arial"/>
                <w:sz w:val="15"/>
                <w:szCs w:val="15"/>
                <w:color w:val="auto"/>
              </w:rPr>
              <w:t>(190,559)</w:t>
            </w:r>
          </w:p>
        </w:tc>
        <w:tc>
          <w:tcPr>
            <w:tcW w:w="10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auto"/>
              </w:rPr>
              <w:t>480,539</w:t>
            </w:r>
          </w:p>
        </w:tc>
      </w:tr>
      <w:tr>
        <w:trPr>
          <w:trHeight w:val="223"/>
        </w:trPr>
        <w:tc>
          <w:tcPr>
            <w:tcW w:w="368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Total listed investments</w:t>
            </w:r>
          </w:p>
        </w:tc>
        <w:tc>
          <w:tcPr>
            <w:tcW w:w="2560" w:type="dxa"/>
            <w:vAlign w:val="bottom"/>
            <w:tcBorders>
              <w:bottom w:val="single" w:sz="8" w:color="00AFB7"/>
            </w:tcBorders>
          </w:tcPr>
          <w:p>
            <w:pPr>
              <w:spacing w:after="0"/>
              <w:rPr>
                <w:sz w:val="19"/>
                <w:szCs w:val="19"/>
                <w:color w:val="auto"/>
              </w:rPr>
            </w:pPr>
          </w:p>
        </w:tc>
        <w:tc>
          <w:tcPr>
            <w:tcW w:w="1140" w:type="dxa"/>
            <w:vAlign w:val="bottom"/>
            <w:tcBorders>
              <w:bottom w:val="single" w:sz="8" w:color="00AFB7"/>
            </w:tcBorders>
          </w:tcPr>
          <w:p>
            <w:pPr>
              <w:jc w:val="right"/>
              <w:ind w:right="244"/>
              <w:spacing w:after="0"/>
              <w:rPr>
                <w:sz w:val="20"/>
                <w:szCs w:val="20"/>
                <w:color w:val="auto"/>
              </w:rPr>
            </w:pPr>
            <w:r>
              <w:rPr>
                <w:rFonts w:ascii="Arial" w:cs="Arial" w:eastAsia="Arial" w:hAnsi="Arial"/>
                <w:sz w:val="15"/>
                <w:szCs w:val="15"/>
                <w:color w:val="20286D"/>
              </w:rPr>
              <w:t>289,980</w:t>
            </w:r>
          </w:p>
        </w:tc>
        <w:tc>
          <w:tcPr>
            <w:tcW w:w="1280" w:type="dxa"/>
            <w:vAlign w:val="bottom"/>
            <w:tcBorders>
              <w:bottom w:val="single" w:sz="8" w:color="00AFB7"/>
            </w:tcBorders>
          </w:tcPr>
          <w:p>
            <w:pPr>
              <w:jc w:val="right"/>
              <w:ind w:right="244"/>
              <w:spacing w:after="0"/>
              <w:rPr>
                <w:sz w:val="20"/>
                <w:szCs w:val="20"/>
                <w:color w:val="auto"/>
              </w:rPr>
            </w:pPr>
            <w:r>
              <w:rPr>
                <w:rFonts w:ascii="Arial" w:cs="Arial" w:eastAsia="Arial" w:hAnsi="Arial"/>
                <w:sz w:val="15"/>
                <w:szCs w:val="15"/>
                <w:color w:val="20286D"/>
              </w:rPr>
              <w:t>(482,978)</w:t>
            </w:r>
          </w:p>
        </w:tc>
        <w:tc>
          <w:tcPr>
            <w:tcW w:w="1300" w:type="dxa"/>
            <w:vAlign w:val="bottom"/>
            <w:tcBorders>
              <w:bottom w:val="single" w:sz="8" w:color="00AFB7"/>
            </w:tcBorders>
          </w:tcPr>
          <w:p>
            <w:pPr>
              <w:jc w:val="right"/>
              <w:ind w:right="304"/>
              <w:spacing w:after="0"/>
              <w:rPr>
                <w:sz w:val="20"/>
                <w:szCs w:val="20"/>
                <w:color w:val="auto"/>
              </w:rPr>
            </w:pPr>
            <w:r>
              <w:rPr>
                <w:rFonts w:ascii="Arial" w:cs="Arial" w:eastAsia="Arial" w:hAnsi="Arial"/>
                <w:sz w:val="15"/>
                <w:szCs w:val="15"/>
                <w:color w:val="20286D"/>
              </w:rPr>
              <w:t>58,840</w:t>
            </w:r>
          </w:p>
        </w:tc>
        <w:tc>
          <w:tcPr>
            <w:tcW w:w="1060" w:type="dxa"/>
            <w:vAlign w:val="bottom"/>
            <w:tcBorders>
              <w:bottom w:val="single" w:sz="8" w:color="00AFB7"/>
            </w:tcBorders>
          </w:tcPr>
          <w:p>
            <w:pPr>
              <w:jc w:val="right"/>
              <w:ind w:right="104"/>
              <w:spacing w:after="0"/>
              <w:rPr>
                <w:sz w:val="20"/>
                <w:szCs w:val="20"/>
                <w:color w:val="auto"/>
              </w:rPr>
            </w:pPr>
            <w:r>
              <w:rPr>
                <w:rFonts w:ascii="Arial" w:cs="Arial" w:eastAsia="Arial" w:hAnsi="Arial"/>
                <w:sz w:val="15"/>
                <w:szCs w:val="15"/>
                <w:color w:val="20286D"/>
              </w:rPr>
              <w:t>714,118</w:t>
            </w:r>
          </w:p>
        </w:tc>
      </w:tr>
    </w:tbl>
    <w:p>
      <w:pPr>
        <w:spacing w:after="0" w:line="213" w:lineRule="exact"/>
        <w:rPr>
          <w:sz w:val="20"/>
          <w:szCs w:val="20"/>
          <w:color w:val="auto"/>
        </w:rPr>
      </w:pPr>
    </w:p>
    <w:p>
      <w:pPr>
        <w:ind w:left="224" w:right="160" w:hanging="224"/>
        <w:spacing w:after="0" w:line="242" w:lineRule="auto"/>
        <w:tabs>
          <w:tab w:leader="none" w:pos="224"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fair value represents the share (bid) price at period end, and does not include any capital gains tax or selling costs that may be applicable on the disposal of these investments.</w:t>
      </w:r>
    </w:p>
    <w:p>
      <w:pPr>
        <w:spacing w:after="0" w:line="111" w:lineRule="exact"/>
        <w:rPr>
          <w:sz w:val="20"/>
          <w:szCs w:val="20"/>
          <w:color w:val="auto"/>
        </w:rPr>
      </w:pPr>
    </w:p>
    <w:p>
      <w:pPr>
        <w:ind w:left="4"/>
        <w:spacing w:after="0"/>
        <w:rPr>
          <w:sz w:val="20"/>
          <w:szCs w:val="20"/>
          <w:color w:val="auto"/>
        </w:rPr>
      </w:pPr>
      <w:r>
        <w:rPr>
          <w:rFonts w:ascii="Arial" w:cs="Arial" w:eastAsia="Arial" w:hAnsi="Arial"/>
          <w:sz w:val="15"/>
          <w:szCs w:val="15"/>
          <w:color w:val="auto"/>
        </w:rPr>
        <w:t>Non-current investments in listed shares (which are not associates) are designated and accounted for as investments in financial assets pursuant to AASB 9.</w:t>
      </w:r>
    </w:p>
    <w:p>
      <w:pPr>
        <w:sectPr>
          <w:pgSz w:w="11900" w:h="16838" w:orient="portrait"/>
          <w:cols w:equalWidth="0" w:num="1">
            <w:col w:w="11024"/>
          </w:cols>
          <w:pgMar w:left="436" w:top="282" w:right="439" w:bottom="1440" w:gutter="0" w:footer="0" w:header="0"/>
        </w:sectPr>
      </w:pPr>
    </w:p>
    <w:bookmarkStart w:id="20" w:name="page21"/>
    <w:bookmarkEnd w:id="20"/>
    <w:tbl>
      <w:tblPr>
        <w:tblLayout w:type="fixed"/>
        <w:tblInd w:w="360" w:type="dxa"/>
        <w:tblCellMar>
          <w:top w:w="0" w:type="dxa"/>
          <w:left w:w="0" w:type="dxa"/>
          <w:bottom w:w="0" w:type="dxa"/>
          <w:right w:w="0" w:type="dxa"/>
        </w:tblCellMar>
      </w:tblPr>
      <w:tr>
        <w:trPr>
          <w:trHeight w:val="168"/>
        </w:trPr>
        <w:tc>
          <w:tcPr>
            <w:tcW w:w="8680" w:type="dxa"/>
            <w:vAlign w:val="bottom"/>
          </w:tcPr>
          <w:p>
            <w:pPr>
              <w:spacing w:after="0"/>
              <w:rPr>
                <w:sz w:val="20"/>
                <w:szCs w:val="20"/>
                <w:color w:val="auto"/>
              </w:rPr>
            </w:pPr>
            <w:r>
              <w:rPr>
                <w:rFonts w:ascii="Arial" w:cs="Arial" w:eastAsia="Arial" w:hAnsi="Arial"/>
                <w:sz w:val="13"/>
                <w:szCs w:val="13"/>
                <w:b w:val="1"/>
                <w:bCs w:val="1"/>
                <w:color w:val="00AFB7"/>
              </w:rPr>
              <w:t xml:space="preserve">O p t h e a   </w:t>
            </w:r>
            <w:r>
              <w:rPr>
                <w:rFonts w:ascii="Arial" w:cs="Arial" w:eastAsia="Arial" w:hAnsi="Arial"/>
                <w:sz w:val="13"/>
                <w:szCs w:val="13"/>
                <w:color w:val="00AFB7"/>
              </w:rPr>
              <w:t>|   H A L F Y E A R R E P O R T F O R T H E H A L F - Y E A R E N D E D 3 1 D E C E M B E R 2 0 2 0</w:t>
            </w:r>
          </w:p>
        </w:tc>
        <w:tc>
          <w:tcPr>
            <w:tcW w:w="1980" w:type="dxa"/>
            <w:vAlign w:val="bottom"/>
          </w:tcPr>
          <w:p>
            <w:pPr>
              <w:jc w:val="right"/>
              <w:spacing w:after="0"/>
              <w:rPr>
                <w:sz w:val="20"/>
                <w:szCs w:val="20"/>
                <w:color w:val="auto"/>
              </w:rPr>
            </w:pPr>
            <w:r>
              <w:rPr>
                <w:rFonts w:ascii="Arial" w:cs="Arial" w:eastAsia="Arial" w:hAnsi="Arial"/>
                <w:sz w:val="13"/>
                <w:szCs w:val="13"/>
                <w:color w:val="00AFB7"/>
              </w:rPr>
              <w:t>13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183515</wp:posOffset>
            </wp:positionV>
            <wp:extent cx="17145" cy="3346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20286D"/>
        </w:rPr>
        <w:t>10.  RIGHT-OF-USE ASSET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040" w:type="dxa"/>
            <w:vAlign w:val="bottom"/>
          </w:tcPr>
          <w:p>
            <w:pPr>
              <w:jc w:val="right"/>
              <w:ind w:right="64"/>
              <w:spacing w:after="0"/>
              <w:rPr>
                <w:sz w:val="20"/>
                <w:szCs w:val="20"/>
                <w:color w:val="auto"/>
              </w:rPr>
            </w:pPr>
            <w:r>
              <w:rPr>
                <w:rFonts w:ascii="Arial" w:cs="Arial" w:eastAsia="Arial" w:hAnsi="Arial"/>
                <w:sz w:val="15"/>
                <w:szCs w:val="15"/>
                <w:b w:val="1"/>
                <w:bCs w:val="1"/>
                <w:color w:val="20286D"/>
              </w:rPr>
              <w:t>Lease of</w:t>
            </w:r>
          </w:p>
        </w:tc>
      </w:tr>
      <w:tr>
        <w:trPr>
          <w:trHeight w:val="162"/>
        </w:trPr>
        <w:tc>
          <w:tcPr>
            <w:tcW w:w="3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04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20286D"/>
              </w:rPr>
              <w:t>office</w:t>
            </w:r>
          </w:p>
        </w:tc>
      </w:tr>
      <w:tr>
        <w:trPr>
          <w:trHeight w:val="162"/>
        </w:trPr>
        <w:tc>
          <w:tcPr>
            <w:tcW w:w="3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04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20286D"/>
              </w:rPr>
              <w:t>premises</w:t>
            </w:r>
          </w:p>
        </w:tc>
      </w:tr>
      <w:tr>
        <w:trPr>
          <w:trHeight w:val="204"/>
        </w:trPr>
        <w:tc>
          <w:tcPr>
            <w:tcW w:w="380" w:type="dxa"/>
            <w:vAlign w:val="bottom"/>
            <w:tcBorders>
              <w:bottom w:val="single" w:sz="8" w:color="00AFB7"/>
            </w:tcBorders>
          </w:tcPr>
          <w:p>
            <w:pPr>
              <w:spacing w:after="0"/>
              <w:rPr>
                <w:sz w:val="17"/>
                <w:szCs w:val="17"/>
                <w:color w:val="auto"/>
              </w:rPr>
            </w:pPr>
          </w:p>
        </w:tc>
        <w:tc>
          <w:tcPr>
            <w:tcW w:w="5600" w:type="dxa"/>
            <w:vAlign w:val="bottom"/>
            <w:tcBorders>
              <w:bottom w:val="single" w:sz="8" w:color="00AFB7"/>
            </w:tcBorders>
          </w:tcPr>
          <w:p>
            <w:pPr>
              <w:spacing w:after="0"/>
              <w:rPr>
                <w:sz w:val="17"/>
                <w:szCs w:val="17"/>
                <w:color w:val="auto"/>
              </w:rPr>
            </w:pPr>
          </w:p>
        </w:tc>
        <w:tc>
          <w:tcPr>
            <w:tcW w:w="504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b w:val="1"/>
                <w:bCs w:val="1"/>
                <w:color w:val="20286D"/>
              </w:rPr>
              <w:t>$</w:t>
            </w:r>
          </w:p>
        </w:tc>
      </w:tr>
      <w:tr>
        <w:trPr>
          <w:trHeight w:val="230"/>
        </w:trPr>
        <w:tc>
          <w:tcPr>
            <w:tcW w:w="5980" w:type="dxa"/>
            <w:vAlign w:val="bottom"/>
            <w:tcBorders>
              <w:bottom w:val="single" w:sz="8" w:color="00AFB7"/>
            </w:tcBorders>
            <w:gridSpan w:val="2"/>
          </w:tcPr>
          <w:p>
            <w:pPr>
              <w:spacing w:after="0"/>
              <w:rPr>
                <w:sz w:val="20"/>
                <w:szCs w:val="20"/>
                <w:color w:val="auto"/>
              </w:rPr>
            </w:pPr>
            <w:r>
              <w:rPr>
                <w:rFonts w:ascii="Arial" w:cs="Arial" w:eastAsia="Arial" w:hAnsi="Arial"/>
                <w:sz w:val="15"/>
                <w:szCs w:val="15"/>
                <w:color w:val="20286D"/>
              </w:rPr>
              <w:t>Right of Use Asset Cost</w:t>
            </w:r>
          </w:p>
        </w:tc>
        <w:tc>
          <w:tcPr>
            <w:tcW w:w="5040" w:type="dxa"/>
            <w:vAlign w:val="bottom"/>
            <w:tcBorders>
              <w:bottom w:val="single" w:sz="8" w:color="00AFB7"/>
            </w:tcBorders>
          </w:tcPr>
          <w:p>
            <w:pPr>
              <w:spacing w:after="0"/>
              <w:rPr>
                <w:sz w:val="19"/>
                <w:szCs w:val="19"/>
                <w:color w:val="auto"/>
              </w:rPr>
            </w:pPr>
          </w:p>
        </w:tc>
      </w:tr>
      <w:tr>
        <w:trPr>
          <w:trHeight w:val="223"/>
        </w:trPr>
        <w:tc>
          <w:tcPr>
            <w:tcW w:w="5980" w:type="dxa"/>
            <w:vAlign w:val="bottom"/>
            <w:tcBorders>
              <w:bottom w:val="single" w:sz="8" w:color="00AFB7"/>
            </w:tcBorders>
            <w:gridSpan w:val="2"/>
          </w:tcPr>
          <w:p>
            <w:pPr>
              <w:spacing w:after="0"/>
              <w:rPr>
                <w:sz w:val="20"/>
                <w:szCs w:val="20"/>
                <w:color w:val="auto"/>
              </w:rPr>
            </w:pPr>
            <w:r>
              <w:rPr>
                <w:rFonts w:ascii="Arial" w:cs="Arial" w:eastAsia="Arial" w:hAnsi="Arial"/>
                <w:sz w:val="15"/>
                <w:szCs w:val="15"/>
                <w:color w:val="auto"/>
              </w:rPr>
              <w:t>At 1 July 2020</w:t>
            </w:r>
          </w:p>
        </w:tc>
        <w:tc>
          <w:tcPr>
            <w:tcW w:w="504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365,264</w:t>
            </w:r>
          </w:p>
        </w:tc>
      </w:tr>
      <w:tr>
        <w:trPr>
          <w:trHeight w:val="223"/>
        </w:trPr>
        <w:tc>
          <w:tcPr>
            <w:tcW w:w="5980" w:type="dxa"/>
            <w:vAlign w:val="bottom"/>
            <w:tcBorders>
              <w:bottom w:val="single" w:sz="8" w:color="00AFB7"/>
            </w:tcBorders>
            <w:gridSpan w:val="2"/>
          </w:tcPr>
          <w:p>
            <w:pPr>
              <w:spacing w:after="0"/>
              <w:rPr>
                <w:sz w:val="20"/>
                <w:szCs w:val="20"/>
                <w:color w:val="auto"/>
              </w:rPr>
            </w:pPr>
            <w:r>
              <w:rPr>
                <w:rFonts w:ascii="Arial" w:cs="Arial" w:eastAsia="Arial" w:hAnsi="Arial"/>
                <w:sz w:val="15"/>
                <w:szCs w:val="15"/>
                <w:color w:val="auto"/>
              </w:rPr>
              <w:t>Additions</w:t>
            </w:r>
          </w:p>
        </w:tc>
        <w:tc>
          <w:tcPr>
            <w:tcW w:w="504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w:t>
            </w:r>
          </w:p>
        </w:tc>
      </w:tr>
      <w:tr>
        <w:trPr>
          <w:trHeight w:val="223"/>
        </w:trPr>
        <w:tc>
          <w:tcPr>
            <w:tcW w:w="3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At 31</w:t>
            </w:r>
          </w:p>
        </w:tc>
        <w:tc>
          <w:tcPr>
            <w:tcW w:w="5600" w:type="dxa"/>
            <w:vAlign w:val="bottom"/>
            <w:tcBorders>
              <w:bottom w:val="single" w:sz="8" w:color="00AFB7"/>
            </w:tcBorders>
          </w:tcPr>
          <w:p>
            <w:pPr>
              <w:ind w:left="20"/>
              <w:spacing w:after="0"/>
              <w:rPr>
                <w:sz w:val="20"/>
                <w:szCs w:val="20"/>
                <w:color w:val="auto"/>
              </w:rPr>
            </w:pPr>
            <w:r>
              <w:rPr>
                <w:rFonts w:ascii="Arial" w:cs="Arial" w:eastAsia="Arial" w:hAnsi="Arial"/>
                <w:sz w:val="15"/>
                <w:szCs w:val="15"/>
                <w:color w:val="auto"/>
              </w:rPr>
              <w:t>December 2020</w:t>
            </w:r>
          </w:p>
        </w:tc>
        <w:tc>
          <w:tcPr>
            <w:tcW w:w="504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365,264</w:t>
            </w:r>
          </w:p>
        </w:tc>
      </w:tr>
      <w:tr>
        <w:trPr>
          <w:trHeight w:val="223"/>
        </w:trPr>
        <w:tc>
          <w:tcPr>
            <w:tcW w:w="5980" w:type="dxa"/>
            <w:vAlign w:val="bottom"/>
            <w:tcBorders>
              <w:bottom w:val="single" w:sz="8" w:color="00AFB7"/>
            </w:tcBorders>
            <w:gridSpan w:val="2"/>
          </w:tcPr>
          <w:p>
            <w:pPr>
              <w:spacing w:after="0"/>
              <w:rPr>
                <w:sz w:val="20"/>
                <w:szCs w:val="20"/>
                <w:color w:val="auto"/>
              </w:rPr>
            </w:pPr>
            <w:r>
              <w:rPr>
                <w:rFonts w:ascii="Arial" w:cs="Arial" w:eastAsia="Arial" w:hAnsi="Arial"/>
                <w:sz w:val="15"/>
                <w:szCs w:val="15"/>
                <w:color w:val="20286D"/>
              </w:rPr>
              <w:t>Accumulated depreciation</w:t>
            </w:r>
          </w:p>
        </w:tc>
        <w:tc>
          <w:tcPr>
            <w:tcW w:w="5040" w:type="dxa"/>
            <w:vAlign w:val="bottom"/>
            <w:tcBorders>
              <w:bottom w:val="single" w:sz="8" w:color="00AFB7"/>
            </w:tcBorders>
          </w:tcPr>
          <w:p>
            <w:pPr>
              <w:spacing w:after="0"/>
              <w:rPr>
                <w:sz w:val="19"/>
                <w:szCs w:val="19"/>
                <w:color w:val="auto"/>
              </w:rPr>
            </w:pPr>
          </w:p>
        </w:tc>
      </w:tr>
      <w:tr>
        <w:trPr>
          <w:trHeight w:val="223"/>
        </w:trPr>
        <w:tc>
          <w:tcPr>
            <w:tcW w:w="5980" w:type="dxa"/>
            <w:vAlign w:val="bottom"/>
            <w:tcBorders>
              <w:bottom w:val="single" w:sz="8" w:color="00AFB7"/>
            </w:tcBorders>
            <w:gridSpan w:val="2"/>
          </w:tcPr>
          <w:p>
            <w:pPr>
              <w:spacing w:after="0"/>
              <w:rPr>
                <w:sz w:val="20"/>
                <w:szCs w:val="20"/>
                <w:color w:val="auto"/>
              </w:rPr>
            </w:pPr>
            <w:r>
              <w:rPr>
                <w:rFonts w:ascii="Arial" w:cs="Arial" w:eastAsia="Arial" w:hAnsi="Arial"/>
                <w:sz w:val="15"/>
                <w:szCs w:val="15"/>
                <w:color w:val="auto"/>
              </w:rPr>
              <w:t>At 1 July 2020</w:t>
            </w:r>
          </w:p>
        </w:tc>
        <w:tc>
          <w:tcPr>
            <w:tcW w:w="504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auto"/>
              </w:rPr>
              <w:t>(121,754)</w:t>
            </w:r>
          </w:p>
        </w:tc>
      </w:tr>
      <w:tr>
        <w:trPr>
          <w:trHeight w:val="223"/>
        </w:trPr>
        <w:tc>
          <w:tcPr>
            <w:tcW w:w="5980" w:type="dxa"/>
            <w:vAlign w:val="bottom"/>
            <w:tcBorders>
              <w:bottom w:val="single" w:sz="8" w:color="00AFB7"/>
            </w:tcBorders>
            <w:gridSpan w:val="2"/>
          </w:tcPr>
          <w:p>
            <w:pPr>
              <w:spacing w:after="0"/>
              <w:rPr>
                <w:sz w:val="20"/>
                <w:szCs w:val="20"/>
                <w:color w:val="auto"/>
              </w:rPr>
            </w:pPr>
            <w:r>
              <w:rPr>
                <w:rFonts w:ascii="Arial" w:cs="Arial" w:eastAsia="Arial" w:hAnsi="Arial"/>
                <w:sz w:val="15"/>
                <w:szCs w:val="15"/>
                <w:color w:val="auto"/>
              </w:rPr>
              <w:t>Charge for the half-year</w:t>
            </w:r>
          </w:p>
        </w:tc>
        <w:tc>
          <w:tcPr>
            <w:tcW w:w="504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auto"/>
              </w:rPr>
              <w:t>(60,878)</w:t>
            </w:r>
          </w:p>
        </w:tc>
      </w:tr>
      <w:tr>
        <w:trPr>
          <w:trHeight w:val="223"/>
        </w:trPr>
        <w:tc>
          <w:tcPr>
            <w:tcW w:w="3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At 31</w:t>
            </w:r>
          </w:p>
        </w:tc>
        <w:tc>
          <w:tcPr>
            <w:tcW w:w="5600" w:type="dxa"/>
            <w:vAlign w:val="bottom"/>
            <w:tcBorders>
              <w:bottom w:val="single" w:sz="8" w:color="00AFB7"/>
            </w:tcBorders>
          </w:tcPr>
          <w:p>
            <w:pPr>
              <w:ind w:left="20"/>
              <w:spacing w:after="0"/>
              <w:rPr>
                <w:sz w:val="20"/>
                <w:szCs w:val="20"/>
                <w:color w:val="auto"/>
              </w:rPr>
            </w:pPr>
            <w:r>
              <w:rPr>
                <w:rFonts w:ascii="Arial" w:cs="Arial" w:eastAsia="Arial" w:hAnsi="Arial"/>
                <w:sz w:val="15"/>
                <w:szCs w:val="15"/>
                <w:color w:val="auto"/>
              </w:rPr>
              <w:t>December 2020</w:t>
            </w:r>
          </w:p>
        </w:tc>
        <w:tc>
          <w:tcPr>
            <w:tcW w:w="504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auto"/>
              </w:rPr>
              <w:t>(182,632)</w:t>
            </w:r>
          </w:p>
        </w:tc>
      </w:tr>
      <w:tr>
        <w:trPr>
          <w:trHeight w:val="223"/>
        </w:trPr>
        <w:tc>
          <w:tcPr>
            <w:tcW w:w="5980" w:type="dxa"/>
            <w:vAlign w:val="bottom"/>
            <w:tcBorders>
              <w:bottom w:val="single" w:sz="8" w:color="00AFB7"/>
            </w:tcBorders>
            <w:gridSpan w:val="2"/>
          </w:tcPr>
          <w:p>
            <w:pPr>
              <w:spacing w:after="0"/>
              <w:rPr>
                <w:sz w:val="20"/>
                <w:szCs w:val="20"/>
                <w:color w:val="auto"/>
              </w:rPr>
            </w:pPr>
            <w:r>
              <w:rPr>
                <w:rFonts w:ascii="Arial" w:cs="Arial" w:eastAsia="Arial" w:hAnsi="Arial"/>
                <w:sz w:val="15"/>
                <w:szCs w:val="15"/>
                <w:color w:val="20286D"/>
              </w:rPr>
              <w:t>Net carrying amount</w:t>
            </w:r>
          </w:p>
        </w:tc>
        <w:tc>
          <w:tcPr>
            <w:tcW w:w="5040" w:type="dxa"/>
            <w:vAlign w:val="bottom"/>
            <w:tcBorders>
              <w:bottom w:val="single" w:sz="8" w:color="00AFB7"/>
            </w:tcBorders>
          </w:tcPr>
          <w:p>
            <w:pPr>
              <w:spacing w:after="0"/>
              <w:rPr>
                <w:sz w:val="19"/>
                <w:szCs w:val="19"/>
                <w:color w:val="auto"/>
              </w:rPr>
            </w:pPr>
          </w:p>
        </w:tc>
      </w:tr>
      <w:tr>
        <w:trPr>
          <w:trHeight w:val="223"/>
        </w:trPr>
        <w:tc>
          <w:tcPr>
            <w:tcW w:w="3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At 31</w:t>
            </w:r>
          </w:p>
        </w:tc>
        <w:tc>
          <w:tcPr>
            <w:tcW w:w="5600" w:type="dxa"/>
            <w:vAlign w:val="bottom"/>
            <w:tcBorders>
              <w:bottom w:val="single" w:sz="8" w:color="00AFB7"/>
            </w:tcBorders>
          </w:tcPr>
          <w:p>
            <w:pPr>
              <w:ind w:left="20"/>
              <w:spacing w:after="0"/>
              <w:rPr>
                <w:sz w:val="20"/>
                <w:szCs w:val="20"/>
                <w:color w:val="auto"/>
              </w:rPr>
            </w:pPr>
            <w:r>
              <w:rPr>
                <w:rFonts w:ascii="Arial" w:cs="Arial" w:eastAsia="Arial" w:hAnsi="Arial"/>
                <w:sz w:val="15"/>
                <w:szCs w:val="15"/>
                <w:color w:val="auto"/>
              </w:rPr>
              <w:t>December 2020</w:t>
            </w:r>
          </w:p>
        </w:tc>
        <w:tc>
          <w:tcPr>
            <w:tcW w:w="504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20286D"/>
              </w:rPr>
              <w:t>182,632</w:t>
            </w:r>
          </w:p>
        </w:tc>
      </w:tr>
      <w:tr>
        <w:trPr>
          <w:trHeight w:val="223"/>
        </w:trPr>
        <w:tc>
          <w:tcPr>
            <w:tcW w:w="3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At 30</w:t>
            </w:r>
          </w:p>
        </w:tc>
        <w:tc>
          <w:tcPr>
            <w:tcW w:w="5600" w:type="dxa"/>
            <w:vAlign w:val="bottom"/>
            <w:tcBorders>
              <w:bottom w:val="single" w:sz="8" w:color="00AFB7"/>
            </w:tcBorders>
          </w:tcPr>
          <w:p>
            <w:pPr>
              <w:ind w:left="20"/>
              <w:spacing w:after="0"/>
              <w:rPr>
                <w:sz w:val="20"/>
                <w:szCs w:val="20"/>
                <w:color w:val="auto"/>
              </w:rPr>
            </w:pPr>
            <w:r>
              <w:rPr>
                <w:rFonts w:ascii="Arial" w:cs="Arial" w:eastAsia="Arial" w:hAnsi="Arial"/>
                <w:sz w:val="15"/>
                <w:szCs w:val="15"/>
                <w:color w:val="auto"/>
              </w:rPr>
              <w:t>June 2020</w:t>
            </w:r>
          </w:p>
        </w:tc>
        <w:tc>
          <w:tcPr>
            <w:tcW w:w="504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243,510</w:t>
            </w:r>
          </w:p>
        </w:tc>
      </w:tr>
    </w:tbl>
    <w:p>
      <w:pPr>
        <w:spacing w:after="0" w:line="145" w:lineRule="exact"/>
        <w:rPr>
          <w:sz w:val="20"/>
          <w:szCs w:val="20"/>
          <w:color w:val="auto"/>
        </w:rPr>
      </w:pPr>
    </w:p>
    <w:p>
      <w:pPr>
        <w:ind w:right="380"/>
        <w:spacing w:after="0" w:line="242" w:lineRule="auto"/>
        <w:rPr>
          <w:sz w:val="20"/>
          <w:szCs w:val="20"/>
          <w:color w:val="auto"/>
        </w:rPr>
      </w:pPr>
      <w:r>
        <w:rPr>
          <w:rFonts w:ascii="Arial" w:cs="Arial" w:eastAsia="Arial" w:hAnsi="Arial"/>
          <w:sz w:val="15"/>
          <w:szCs w:val="15"/>
          <w:color w:val="auto"/>
        </w:rPr>
        <w:t>The Group leases its main office accommodation for employees. The term of the lease is three years and is the renewal of a lease for the same premises that expired on 15 July 2019. The lease does not include the option to extend the term of the lease on expiry.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20"/>
                <w:szCs w:val="20"/>
                <w:color w:val="auto"/>
              </w:rPr>
            </w:pPr>
            <w:r>
              <w:rPr>
                <w:rFonts w:ascii="Arial" w:cs="Arial" w:eastAsia="Arial" w:hAnsi="Arial"/>
                <w:sz w:val="15"/>
                <w:szCs w:val="15"/>
                <w:color w:val="auto"/>
              </w:rPr>
              <w:t>The maturity analysis of lease liabilities is presented in note 11.</w:t>
            </w:r>
          </w:p>
        </w:tc>
        <w:tc>
          <w:tcPr>
            <w:tcW w:w="1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0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20286D"/>
              </w:rPr>
              <w:t>31 December</w:t>
            </w:r>
          </w:p>
        </w:tc>
        <w:tc>
          <w:tcPr>
            <w:tcW w:w="0" w:type="dxa"/>
            <w:vAlign w:val="bottom"/>
          </w:tcPr>
          <w:p>
            <w:pPr>
              <w:spacing w:after="0"/>
              <w:rPr>
                <w:sz w:val="1"/>
                <w:szCs w:val="1"/>
                <w:color w:val="auto"/>
              </w:rPr>
            </w:pPr>
          </w:p>
        </w:tc>
      </w:tr>
      <w:tr>
        <w:trPr>
          <w:trHeight w:val="141"/>
        </w:trPr>
        <w:tc>
          <w:tcPr>
            <w:tcW w:w="8060" w:type="dxa"/>
            <w:vAlign w:val="bottom"/>
          </w:tcPr>
          <w:p>
            <w:pPr>
              <w:spacing w:after="0"/>
              <w:rPr>
                <w:sz w:val="12"/>
                <w:szCs w:val="12"/>
                <w:color w:val="auto"/>
              </w:rPr>
            </w:pPr>
          </w:p>
        </w:tc>
        <w:tc>
          <w:tcPr>
            <w:tcW w:w="1460" w:type="dxa"/>
            <w:vAlign w:val="bottom"/>
            <w:shd w:val="clear" w:color="auto" w:fill="E5F7F7"/>
          </w:tcPr>
          <w:p>
            <w:pPr>
              <w:jc w:val="right"/>
              <w:ind w:right="24"/>
              <w:spacing w:after="0" w:line="141" w:lineRule="exact"/>
              <w:rPr>
                <w:sz w:val="20"/>
                <w:szCs w:val="20"/>
                <w:color w:val="auto"/>
              </w:rPr>
            </w:pPr>
            <w:r>
              <w:rPr>
                <w:rFonts w:ascii="Arial" w:cs="Arial" w:eastAsia="Arial" w:hAnsi="Arial"/>
                <w:sz w:val="15"/>
                <w:szCs w:val="15"/>
                <w:b w:val="1"/>
                <w:bCs w:val="1"/>
                <w:color w:val="20286D"/>
              </w:rPr>
              <w:t>31 December</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460" w:type="dxa"/>
            <w:vAlign w:val="bottom"/>
            <w:shd w:val="clear" w:color="auto" w:fill="E5F7F7"/>
          </w:tcPr>
          <w:p>
            <w:pPr>
              <w:jc w:val="right"/>
              <w:ind w:right="24"/>
              <w:spacing w:after="0" w:line="162" w:lineRule="exact"/>
              <w:rPr>
                <w:sz w:val="20"/>
                <w:szCs w:val="20"/>
                <w:color w:val="auto"/>
              </w:rPr>
            </w:pPr>
            <w:r>
              <w:rPr>
                <w:rFonts w:ascii="Arial" w:cs="Arial" w:eastAsia="Arial" w:hAnsi="Arial"/>
                <w:sz w:val="15"/>
                <w:szCs w:val="15"/>
                <w:b w:val="1"/>
                <w:bCs w:val="1"/>
                <w:color w:val="20286D"/>
              </w:rPr>
              <w:t>2020</w:t>
            </w:r>
          </w:p>
        </w:tc>
        <w:tc>
          <w:tcPr>
            <w:tcW w:w="150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20286D"/>
              </w:rPr>
              <w:t>2019</w:t>
            </w:r>
          </w:p>
        </w:tc>
        <w:tc>
          <w:tcPr>
            <w:tcW w:w="0" w:type="dxa"/>
            <w:vAlign w:val="bottom"/>
          </w:tcPr>
          <w:p>
            <w:pPr>
              <w:spacing w:after="0"/>
              <w:rPr>
                <w:sz w:val="1"/>
                <w:szCs w:val="1"/>
                <w:color w:val="auto"/>
              </w:rPr>
            </w:pPr>
          </w:p>
        </w:tc>
      </w:tr>
      <w:tr>
        <w:trPr>
          <w:trHeight w:val="204"/>
        </w:trPr>
        <w:tc>
          <w:tcPr>
            <w:tcW w:w="8060" w:type="dxa"/>
            <w:vAlign w:val="bottom"/>
            <w:tcBorders>
              <w:bottom w:val="single" w:sz="8" w:color="00AFB7"/>
            </w:tcBorders>
          </w:tcPr>
          <w:p>
            <w:pPr>
              <w:spacing w:after="0"/>
              <w:rPr>
                <w:sz w:val="17"/>
                <w:szCs w:val="17"/>
                <w:color w:val="auto"/>
              </w:rPr>
            </w:pP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b w:val="1"/>
                <w:bCs w:val="1"/>
                <w:color w:val="20286D"/>
              </w:rPr>
              <w:t>$</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b w:val="1"/>
                <w:bCs w:val="1"/>
                <w:color w:val="20286D"/>
              </w:rPr>
              <w:t>$</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Amounts recognised in profit or loss</w:t>
            </w:r>
          </w:p>
        </w:tc>
        <w:tc>
          <w:tcPr>
            <w:tcW w:w="1460" w:type="dxa"/>
            <w:vAlign w:val="bottom"/>
            <w:tcBorders>
              <w:bottom w:val="single" w:sz="8" w:color="00AFB7"/>
            </w:tcBorders>
            <w:shd w:val="clear" w:color="auto" w:fill="E5F7F7"/>
          </w:tcPr>
          <w:p>
            <w:pPr>
              <w:spacing w:after="0"/>
              <w:rPr>
                <w:sz w:val="19"/>
                <w:szCs w:val="19"/>
                <w:color w:val="auto"/>
              </w:rPr>
            </w:pPr>
          </w:p>
        </w:tc>
        <w:tc>
          <w:tcPr>
            <w:tcW w:w="1500" w:type="dxa"/>
            <w:vAlign w:val="bottom"/>
            <w:tcBorders>
              <w:bottom w:val="single" w:sz="8" w:color="00AFB7"/>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Depreciation expense on right-of-use asset</w:t>
            </w: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60,878</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69,197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Lease finance costs</w:t>
            </w: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3,840</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3,556</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Expense relating to leases of low value assets</w:t>
            </w: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4,835</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4,835</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19"/>
                <w:szCs w:val="19"/>
                <w:color w:val="auto"/>
              </w:rPr>
            </w:pP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69,553</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20286D"/>
              </w:rPr>
              <w:t>77,588</w:t>
            </w:r>
          </w:p>
        </w:tc>
        <w:tc>
          <w:tcPr>
            <w:tcW w:w="0" w:type="dxa"/>
            <w:vAlign w:val="bottom"/>
          </w:tcPr>
          <w:p>
            <w:pPr>
              <w:spacing w:after="0"/>
              <w:rPr>
                <w:sz w:val="1"/>
                <w:szCs w:val="1"/>
                <w:color w:val="auto"/>
              </w:rPr>
            </w:pPr>
          </w:p>
        </w:tc>
      </w:tr>
      <w:tr>
        <w:trPr>
          <w:trHeight w:val="372"/>
        </w:trPr>
        <w:tc>
          <w:tcPr>
            <w:tcW w:w="8060" w:type="dxa"/>
            <w:vAlign w:val="bottom"/>
          </w:tcPr>
          <w:p>
            <w:pPr>
              <w:spacing w:after="0"/>
              <w:rPr>
                <w:sz w:val="20"/>
                <w:szCs w:val="20"/>
                <w:color w:val="auto"/>
              </w:rPr>
            </w:pPr>
            <w:r>
              <w:rPr>
                <w:rFonts w:ascii="Arial" w:cs="Arial" w:eastAsia="Arial" w:hAnsi="Arial"/>
                <w:sz w:val="18"/>
                <w:szCs w:val="18"/>
                <w:b w:val="1"/>
                <w:bCs w:val="1"/>
                <w:color w:val="20286D"/>
              </w:rPr>
              <w:t>11.  LEASE LIABILITIES</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20286D"/>
              </w:rPr>
              <w:t>30 June</w:t>
            </w:r>
          </w:p>
        </w:tc>
        <w:tc>
          <w:tcPr>
            <w:tcW w:w="0" w:type="dxa"/>
            <w:vAlign w:val="bottom"/>
          </w:tcPr>
          <w:p>
            <w:pPr>
              <w:spacing w:after="0"/>
              <w:rPr>
                <w:sz w:val="1"/>
                <w:szCs w:val="1"/>
                <w:color w:val="auto"/>
              </w:rPr>
            </w:pPr>
          </w:p>
        </w:tc>
      </w:tr>
      <w:tr>
        <w:trPr>
          <w:trHeight w:val="141"/>
        </w:trPr>
        <w:tc>
          <w:tcPr>
            <w:tcW w:w="8060" w:type="dxa"/>
            <w:vAlign w:val="bottom"/>
          </w:tcPr>
          <w:p>
            <w:pPr>
              <w:spacing w:after="0"/>
              <w:rPr>
                <w:sz w:val="12"/>
                <w:szCs w:val="12"/>
                <w:color w:val="auto"/>
              </w:rPr>
            </w:pPr>
          </w:p>
        </w:tc>
        <w:tc>
          <w:tcPr>
            <w:tcW w:w="1460" w:type="dxa"/>
            <w:vAlign w:val="bottom"/>
            <w:shd w:val="clear" w:color="auto" w:fill="E5F7F7"/>
          </w:tcPr>
          <w:p>
            <w:pPr>
              <w:jc w:val="right"/>
              <w:ind w:right="24"/>
              <w:spacing w:after="0" w:line="141" w:lineRule="exact"/>
              <w:rPr>
                <w:sz w:val="20"/>
                <w:szCs w:val="20"/>
                <w:color w:val="auto"/>
              </w:rPr>
            </w:pPr>
            <w:r>
              <w:rPr>
                <w:rFonts w:ascii="Arial" w:cs="Arial" w:eastAsia="Arial" w:hAnsi="Arial"/>
                <w:sz w:val="15"/>
                <w:szCs w:val="15"/>
                <w:b w:val="1"/>
                <w:bCs w:val="1"/>
                <w:color w:val="20286D"/>
              </w:rPr>
              <w:t>31 December</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460" w:type="dxa"/>
            <w:vAlign w:val="bottom"/>
            <w:shd w:val="clear" w:color="auto" w:fill="E5F7F7"/>
          </w:tcPr>
          <w:p>
            <w:pPr>
              <w:jc w:val="right"/>
              <w:ind w:right="24"/>
              <w:spacing w:after="0" w:line="162" w:lineRule="exact"/>
              <w:rPr>
                <w:sz w:val="20"/>
                <w:szCs w:val="20"/>
                <w:color w:val="auto"/>
              </w:rPr>
            </w:pPr>
            <w:r>
              <w:rPr>
                <w:rFonts w:ascii="Arial" w:cs="Arial" w:eastAsia="Arial" w:hAnsi="Arial"/>
                <w:sz w:val="15"/>
                <w:szCs w:val="15"/>
                <w:b w:val="1"/>
                <w:bCs w:val="1"/>
                <w:color w:val="20286D"/>
              </w:rPr>
              <w:t>2020</w:t>
            </w:r>
          </w:p>
        </w:tc>
        <w:tc>
          <w:tcPr>
            <w:tcW w:w="150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20286D"/>
              </w:rPr>
              <w:t>2020</w:t>
            </w:r>
          </w:p>
        </w:tc>
        <w:tc>
          <w:tcPr>
            <w:tcW w:w="0" w:type="dxa"/>
            <w:vAlign w:val="bottom"/>
          </w:tcPr>
          <w:p>
            <w:pPr>
              <w:spacing w:after="0"/>
              <w:rPr>
                <w:sz w:val="1"/>
                <w:szCs w:val="1"/>
                <w:color w:val="auto"/>
              </w:rPr>
            </w:pPr>
          </w:p>
        </w:tc>
      </w:tr>
      <w:tr>
        <w:trPr>
          <w:trHeight w:val="204"/>
        </w:trPr>
        <w:tc>
          <w:tcPr>
            <w:tcW w:w="8060" w:type="dxa"/>
            <w:vAlign w:val="bottom"/>
            <w:tcBorders>
              <w:bottom w:val="single" w:sz="8" w:color="00AFB7"/>
            </w:tcBorders>
          </w:tcPr>
          <w:p>
            <w:pPr>
              <w:spacing w:after="0"/>
              <w:rPr>
                <w:sz w:val="17"/>
                <w:szCs w:val="17"/>
                <w:color w:val="auto"/>
              </w:rPr>
            </w:pP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b w:val="1"/>
                <w:bCs w:val="1"/>
                <w:color w:val="20286D"/>
              </w:rPr>
              <w:t>$</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b w:val="1"/>
                <w:bCs w:val="1"/>
                <w:color w:val="20286D"/>
              </w:rPr>
              <w:t>$</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Carrying amount at 1 July</w:t>
            </w: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265,076</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New Lease</w:t>
            </w: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365,264</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Payments</w:t>
            </w:r>
          </w:p>
        </w:tc>
        <w:tc>
          <w:tcPr>
            <w:tcW w:w="146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(59,184)</w:t>
            </w:r>
          </w:p>
        </w:tc>
        <w:tc>
          <w:tcPr>
            <w:tcW w:w="150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auto"/>
              </w:rPr>
              <w:t>(100,189)</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Carrying amount at 31 December/30 June</w:t>
            </w: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205,892</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20286D"/>
              </w:rPr>
              <w:t>265,076</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Maturity analysis:</w:t>
            </w:r>
          </w:p>
        </w:tc>
        <w:tc>
          <w:tcPr>
            <w:tcW w:w="1460" w:type="dxa"/>
            <w:vAlign w:val="bottom"/>
            <w:tcBorders>
              <w:bottom w:val="single" w:sz="8" w:color="00AFB7"/>
            </w:tcBorders>
            <w:shd w:val="clear" w:color="auto" w:fill="E5F7F7"/>
          </w:tcPr>
          <w:p>
            <w:pPr>
              <w:spacing w:after="0"/>
              <w:rPr>
                <w:sz w:val="19"/>
                <w:szCs w:val="19"/>
                <w:color w:val="auto"/>
              </w:rPr>
            </w:pPr>
          </w:p>
        </w:tc>
        <w:tc>
          <w:tcPr>
            <w:tcW w:w="1500" w:type="dxa"/>
            <w:vAlign w:val="bottom"/>
            <w:tcBorders>
              <w:bottom w:val="single" w:sz="8" w:color="00AFB7"/>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Year 1</w:t>
            </w: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89,699</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152,723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Year 2</w:t>
            </w: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123,873</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127,713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19"/>
                <w:szCs w:val="19"/>
                <w:color w:val="auto"/>
              </w:rPr>
            </w:pP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213,572</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280,436</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Less: unearned interest</w:t>
            </w:r>
          </w:p>
        </w:tc>
        <w:tc>
          <w:tcPr>
            <w:tcW w:w="146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(7,680)</w:t>
            </w:r>
          </w:p>
        </w:tc>
        <w:tc>
          <w:tcPr>
            <w:tcW w:w="1500" w:type="dxa"/>
            <w:vAlign w:val="bottom"/>
            <w:tcBorders>
              <w:bottom w:val="single" w:sz="8" w:color="00AFB7"/>
            </w:tcBorders>
          </w:tcPr>
          <w:p>
            <w:pPr>
              <w:jc w:val="right"/>
              <w:ind w:right="24"/>
              <w:spacing w:after="0"/>
              <w:rPr>
                <w:sz w:val="20"/>
                <w:szCs w:val="20"/>
                <w:color w:val="auto"/>
              </w:rPr>
            </w:pPr>
            <w:r>
              <w:rPr>
                <w:rFonts w:ascii="Arial" w:cs="Arial" w:eastAsia="Arial" w:hAnsi="Arial"/>
                <w:sz w:val="15"/>
                <w:szCs w:val="15"/>
                <w:color w:val="auto"/>
              </w:rPr>
              <w:t>(15,360)</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19"/>
                <w:szCs w:val="19"/>
                <w:color w:val="auto"/>
              </w:rPr>
            </w:pP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205,892</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20286D"/>
              </w:rPr>
              <w:t>265,076</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Analysed into:</w:t>
            </w:r>
          </w:p>
        </w:tc>
        <w:tc>
          <w:tcPr>
            <w:tcW w:w="1460" w:type="dxa"/>
            <w:vAlign w:val="bottom"/>
            <w:tcBorders>
              <w:bottom w:val="single" w:sz="8" w:color="00AFB7"/>
            </w:tcBorders>
            <w:shd w:val="clear" w:color="auto" w:fill="E5F7F7"/>
          </w:tcPr>
          <w:p>
            <w:pPr>
              <w:spacing w:after="0"/>
              <w:rPr>
                <w:sz w:val="19"/>
                <w:szCs w:val="19"/>
                <w:color w:val="auto"/>
              </w:rPr>
            </w:pPr>
          </w:p>
        </w:tc>
        <w:tc>
          <w:tcPr>
            <w:tcW w:w="1500" w:type="dxa"/>
            <w:vAlign w:val="bottom"/>
            <w:tcBorders>
              <w:bottom w:val="single" w:sz="8" w:color="00AFB7"/>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Current portion</w:t>
            </w: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145,043</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145,043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Non-current portion</w:t>
            </w: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auto"/>
              </w:rPr>
              <w:t>60,849</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120,033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00AFB7"/>
            </w:tcBorders>
          </w:tcPr>
          <w:p>
            <w:pPr>
              <w:spacing w:after="0"/>
              <w:rPr>
                <w:sz w:val="19"/>
                <w:szCs w:val="19"/>
                <w:color w:val="auto"/>
              </w:rPr>
            </w:pPr>
          </w:p>
        </w:tc>
        <w:tc>
          <w:tcPr>
            <w:tcW w:w="1460" w:type="dxa"/>
            <w:vAlign w:val="bottom"/>
            <w:tcBorders>
              <w:bottom w:val="single" w:sz="8" w:color="00AFB7"/>
            </w:tcBorders>
            <w:shd w:val="clear" w:color="auto" w:fill="E5F7F7"/>
          </w:tcPr>
          <w:p>
            <w:pPr>
              <w:jc w:val="right"/>
              <w:ind w:right="24"/>
              <w:spacing w:after="0"/>
              <w:rPr>
                <w:sz w:val="20"/>
                <w:szCs w:val="20"/>
                <w:color w:val="auto"/>
              </w:rPr>
            </w:pPr>
            <w:r>
              <w:rPr>
                <w:rFonts w:ascii="Arial" w:cs="Arial" w:eastAsia="Arial" w:hAnsi="Arial"/>
                <w:sz w:val="15"/>
                <w:szCs w:val="15"/>
                <w:color w:val="20286D"/>
              </w:rPr>
              <w:t>205,892</w:t>
            </w:r>
          </w:p>
        </w:tc>
        <w:tc>
          <w:tcPr>
            <w:tcW w:w="15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20286D"/>
              </w:rPr>
              <w:t>265,076</w:t>
            </w:r>
          </w:p>
        </w:tc>
        <w:tc>
          <w:tcPr>
            <w:tcW w:w="0" w:type="dxa"/>
            <w:vAlign w:val="bottom"/>
          </w:tcPr>
          <w:p>
            <w:pPr>
              <w:spacing w:after="0"/>
              <w:rPr>
                <w:sz w:val="1"/>
                <w:szCs w:val="1"/>
                <w:color w:val="auto"/>
              </w:rPr>
            </w:pPr>
          </w:p>
        </w:tc>
      </w:tr>
    </w:tbl>
    <w:p>
      <w:pPr>
        <w:sectPr>
          <w:pgSz w:w="11900" w:h="16838" w:orient="portrait"/>
          <w:cols w:equalWidth="0" w:num="1">
            <w:col w:w="11020"/>
          </w:cols>
          <w:pgMar w:left="440" w:top="644" w:right="439" w:bottom="1440" w:gutter="0" w:footer="0" w:header="0"/>
        </w:sectPr>
      </w:pPr>
    </w:p>
    <w:bookmarkStart w:id="21" w:name="page22"/>
    <w:bookmarkEnd w:id="21"/>
    <w:p>
      <w:pPr>
        <w:ind w:left="960"/>
        <w:spacing w:after="0"/>
        <w:rPr>
          <w:sz w:val="20"/>
          <w:szCs w:val="20"/>
          <w:color w:val="auto"/>
        </w:rPr>
      </w:pPr>
      <w:r>
        <w:rPr>
          <w:rFonts w:ascii="Arial" w:cs="Arial" w:eastAsia="Arial" w:hAnsi="Arial"/>
          <w:sz w:val="13"/>
          <w:szCs w:val="13"/>
          <w:color w:val="00AFB7"/>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497205" cy="85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7205" cy="85725"/>
                    </a:xfrm>
                    <a:prstGeom prst="rect">
                      <a:avLst/>
                    </a:prstGeom>
                    <a:noFill/>
                  </pic:spPr>
                </pic:pic>
              </a:graphicData>
            </a:graphic>
          </wp:anchor>
        </w:drawing>
      </w:r>
    </w:p>
    <w:p>
      <w:pPr>
        <w:spacing w:after="0" w:line="334" w:lineRule="exact"/>
        <w:rPr>
          <w:sz w:val="20"/>
          <w:szCs w:val="20"/>
          <w:color w:val="auto"/>
        </w:rPr>
      </w:pPr>
    </w:p>
    <w:p>
      <w:pPr>
        <w:jc w:val="both"/>
        <w:ind w:right="3480"/>
        <w:spacing w:after="0" w:line="248" w:lineRule="auto"/>
        <w:rPr>
          <w:sz w:val="20"/>
          <w:szCs w:val="20"/>
          <w:color w:val="auto"/>
        </w:rPr>
      </w:pPr>
      <w:r>
        <w:rPr>
          <w:rFonts w:ascii="Arial" w:cs="Arial" w:eastAsia="Arial" w:hAnsi="Arial"/>
          <w:sz w:val="36"/>
          <w:szCs w:val="36"/>
          <w:color w:val="00AFB7"/>
        </w:rPr>
        <w:t xml:space="preserve">NOTES TO THE CONSOLIDATED FINANCIAL STATEMENTS FOR THE HALF-YEAR ENDED 31 DECEMBER 2020 </w:t>
      </w:r>
      <w:r>
        <w:rPr>
          <w:rFonts w:ascii="Arial" w:cs="Arial" w:eastAsia="Arial" w:hAnsi="Arial"/>
          <w:sz w:val="23"/>
          <w:szCs w:val="23"/>
          <w:color w:val="00AFB7"/>
        </w:rPr>
        <w:t>(CONT.)</w:t>
      </w:r>
    </w:p>
    <w:p>
      <w:pPr>
        <w:spacing w:after="0" w:line="200" w:lineRule="exact"/>
        <w:rPr>
          <w:sz w:val="20"/>
          <w:szCs w:val="20"/>
          <w:color w:val="auto"/>
        </w:rPr>
      </w:pPr>
    </w:p>
    <w:p>
      <w:pPr>
        <w:spacing w:after="0" w:line="2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20286D"/>
        </w:rPr>
        <w:t>12.</w:t>
        <w:tab/>
        <w:t>CONTRIBUTED EQUITY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8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b w:val="1"/>
                <w:bCs w:val="1"/>
                <w:color w:val="20286D"/>
              </w:rPr>
              <w:t>30 June</w:t>
            </w:r>
          </w:p>
        </w:tc>
        <w:tc>
          <w:tcPr>
            <w:tcW w:w="0" w:type="dxa"/>
            <w:vAlign w:val="bottom"/>
          </w:tcPr>
          <w:p>
            <w:pPr>
              <w:spacing w:after="0" w:line="20" w:lineRule="exact"/>
              <w:rPr>
                <w:sz w:val="1"/>
                <w:szCs w:val="1"/>
                <w:color w:val="auto"/>
              </w:rPr>
            </w:pPr>
          </w:p>
        </w:tc>
      </w:tr>
      <w:tr>
        <w:trPr>
          <w:trHeight w:val="148"/>
        </w:trPr>
        <w:tc>
          <w:tcPr>
            <w:tcW w:w="8780" w:type="dxa"/>
            <w:vAlign w:val="bottom"/>
          </w:tcPr>
          <w:p>
            <w:pPr>
              <w:spacing w:after="0"/>
              <w:rPr>
                <w:sz w:val="12"/>
                <w:szCs w:val="12"/>
                <w:color w:val="auto"/>
              </w:rPr>
            </w:pPr>
          </w:p>
        </w:tc>
        <w:tc>
          <w:tcPr>
            <w:tcW w:w="1160" w:type="dxa"/>
            <w:vAlign w:val="bottom"/>
            <w:shd w:val="clear" w:color="auto" w:fill="E5F7F7"/>
          </w:tcPr>
          <w:p>
            <w:pPr>
              <w:jc w:val="right"/>
              <w:ind w:right="4"/>
              <w:spacing w:after="0" w:line="149" w:lineRule="exact"/>
              <w:rPr>
                <w:sz w:val="20"/>
                <w:szCs w:val="20"/>
                <w:color w:val="auto"/>
              </w:rPr>
            </w:pPr>
            <w:r>
              <w:rPr>
                <w:rFonts w:ascii="Arial" w:cs="Arial" w:eastAsia="Arial" w:hAnsi="Arial"/>
                <w:sz w:val="15"/>
                <w:szCs w:val="15"/>
                <w:b w:val="1"/>
                <w:bCs w:val="1"/>
                <w:color w:val="20286D"/>
              </w:rPr>
              <w:t>31 December</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780" w:type="dxa"/>
            <w:vAlign w:val="bottom"/>
          </w:tcPr>
          <w:p>
            <w:pPr>
              <w:spacing w:after="0"/>
              <w:rPr>
                <w:sz w:val="14"/>
                <w:szCs w:val="14"/>
                <w:color w:val="auto"/>
              </w:rPr>
            </w:pPr>
          </w:p>
        </w:tc>
        <w:tc>
          <w:tcPr>
            <w:tcW w:w="1160" w:type="dxa"/>
            <w:vAlign w:val="bottom"/>
            <w:shd w:val="clear" w:color="auto" w:fill="E5F7F7"/>
          </w:tcPr>
          <w:p>
            <w:pPr>
              <w:jc w:val="right"/>
              <w:ind w:right="4"/>
              <w:spacing w:after="0" w:line="168" w:lineRule="exact"/>
              <w:rPr>
                <w:sz w:val="20"/>
                <w:szCs w:val="20"/>
                <w:color w:val="auto"/>
              </w:rPr>
            </w:pPr>
            <w:r>
              <w:rPr>
                <w:rFonts w:ascii="Arial" w:cs="Arial" w:eastAsia="Arial" w:hAnsi="Arial"/>
                <w:sz w:val="15"/>
                <w:szCs w:val="15"/>
                <w:b w:val="1"/>
                <w:bCs w:val="1"/>
                <w:color w:val="20286D"/>
              </w:rPr>
              <w:t>2020</w:t>
            </w:r>
          </w:p>
        </w:tc>
        <w:tc>
          <w:tcPr>
            <w:tcW w:w="1080" w:type="dxa"/>
            <w:vAlign w:val="bottom"/>
          </w:tcPr>
          <w:p>
            <w:pPr>
              <w:jc w:val="right"/>
              <w:spacing w:after="0" w:line="168" w:lineRule="exact"/>
              <w:rPr>
                <w:sz w:val="20"/>
                <w:szCs w:val="20"/>
                <w:color w:val="auto"/>
              </w:rPr>
            </w:pPr>
            <w:r>
              <w:rPr>
                <w:rFonts w:ascii="Arial" w:cs="Arial" w:eastAsia="Arial" w:hAnsi="Arial"/>
                <w:sz w:val="15"/>
                <w:szCs w:val="15"/>
                <w:b w:val="1"/>
                <w:bCs w:val="1"/>
                <w:color w:val="20286D"/>
              </w:rPr>
              <w:t>2020</w:t>
            </w:r>
          </w:p>
        </w:tc>
        <w:tc>
          <w:tcPr>
            <w:tcW w:w="0" w:type="dxa"/>
            <w:vAlign w:val="bottom"/>
          </w:tcPr>
          <w:p>
            <w:pPr>
              <w:spacing w:after="0"/>
              <w:rPr>
                <w:sz w:val="1"/>
                <w:szCs w:val="1"/>
                <w:color w:val="auto"/>
              </w:rPr>
            </w:pPr>
          </w:p>
        </w:tc>
      </w:tr>
      <w:tr>
        <w:trPr>
          <w:trHeight w:val="190"/>
        </w:trPr>
        <w:tc>
          <w:tcPr>
            <w:tcW w:w="8780" w:type="dxa"/>
            <w:vAlign w:val="bottom"/>
            <w:tcBorders>
              <w:bottom w:val="single" w:sz="8" w:color="00AFB7"/>
            </w:tcBorders>
          </w:tcPr>
          <w:p>
            <w:pPr>
              <w:spacing w:after="0"/>
              <w:rPr>
                <w:sz w:val="16"/>
                <w:szCs w:val="16"/>
                <w:color w:val="auto"/>
              </w:rPr>
            </w:pP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b w:val="1"/>
                <w:bCs w:val="1"/>
                <w:color w:val="20286D"/>
              </w:rPr>
              <w:t>$</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b w:val="1"/>
                <w:bCs w:val="1"/>
                <w:color w:val="20286D"/>
              </w:rPr>
              <w:t>$</w:t>
            </w:r>
          </w:p>
        </w:tc>
        <w:tc>
          <w:tcPr>
            <w:tcW w:w="0" w:type="dxa"/>
            <w:vAlign w:val="bottom"/>
          </w:tcPr>
          <w:p>
            <w:pPr>
              <w:spacing w:after="0"/>
              <w:rPr>
                <w:sz w:val="1"/>
                <w:szCs w:val="1"/>
                <w:color w:val="auto"/>
              </w:rPr>
            </w:pPr>
          </w:p>
        </w:tc>
      </w:tr>
      <w:tr>
        <w:trPr>
          <w:trHeight w:val="187"/>
        </w:trPr>
        <w:tc>
          <w:tcPr>
            <w:tcW w:w="878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(a) Ordinary shares</w:t>
            </w:r>
          </w:p>
        </w:tc>
        <w:tc>
          <w:tcPr>
            <w:tcW w:w="1160" w:type="dxa"/>
            <w:vAlign w:val="bottom"/>
            <w:tcBorders>
              <w:bottom w:val="single" w:sz="8" w:color="00AFB7"/>
            </w:tcBorders>
            <w:shd w:val="clear" w:color="auto" w:fill="E5F7F7"/>
          </w:tcPr>
          <w:p>
            <w:pPr>
              <w:spacing w:after="0"/>
              <w:rPr>
                <w:sz w:val="16"/>
                <w:szCs w:val="16"/>
                <w:color w:val="auto"/>
              </w:rPr>
            </w:pPr>
          </w:p>
        </w:tc>
        <w:tc>
          <w:tcPr>
            <w:tcW w:w="1080" w:type="dxa"/>
            <w:vAlign w:val="bottom"/>
            <w:tcBorders>
              <w:bottom w:val="single" w:sz="8" w:color="00AFB7"/>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Issued and fully paid at 31 December/30 June</w:t>
            </w: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shd w:val="clear" w:color="auto" w:fill="E5F7F7"/>
              </w:rPr>
              <w:t>310,725,758</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162,102,553</w:t>
            </w: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Movement in ordinary shares:</w:t>
            </w:r>
          </w:p>
        </w:tc>
        <w:tc>
          <w:tcPr>
            <w:tcW w:w="1160" w:type="dxa"/>
            <w:vAlign w:val="bottom"/>
            <w:tcBorders>
              <w:bottom w:val="single" w:sz="8" w:color="00AFB7"/>
            </w:tcBorders>
            <w:shd w:val="clear" w:color="auto" w:fill="E5F7F7"/>
          </w:tcPr>
          <w:p>
            <w:pPr>
              <w:spacing w:after="0"/>
              <w:rPr>
                <w:sz w:val="15"/>
                <w:szCs w:val="15"/>
                <w:color w:val="auto"/>
              </w:rPr>
            </w:pPr>
          </w:p>
        </w:tc>
        <w:tc>
          <w:tcPr>
            <w:tcW w:w="1080" w:type="dxa"/>
            <w:vAlign w:val="bottom"/>
            <w:tcBorders>
              <w:bottom w:val="single" w:sz="8" w:color="00AFB7"/>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Opening balance</w:t>
            </w: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162,102,553</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113,021,993</w:t>
            </w: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Issue of shares in a private placement</w:t>
            </w: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48,660,560</w:t>
            </w: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Issue of shares on exercise of options granted under the LTIP</w:t>
            </w: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420,000</w:t>
            </w: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Issue of shares in a US Initial Public Offering (US IPO) and NASDAQ listing</w:t>
            </w: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162,892,597</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Cost of issue of shares for US IPO</w:t>
            </w: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(14,269,392)</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15"/>
                <w:szCs w:val="15"/>
                <w:color w:val="auto"/>
              </w:rPr>
            </w:pP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20286D"/>
              </w:rPr>
              <w:t>310,725,758</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20286D"/>
              </w:rPr>
              <w:t>162,102,553</w:t>
            </w: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Ordinary shares on issue:</w:t>
            </w: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20286D"/>
              </w:rPr>
              <w:t>No:</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20286D"/>
              </w:rPr>
              <w:t>No:</w:t>
            </w: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Opening balance</w:t>
            </w: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269,157,769</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249,414,839</w:t>
            </w: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Issue of shares in a placement</w:t>
            </w: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18,867,930</w:t>
            </w: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Issue of shares on exercise of options granted under the LTIP</w:t>
            </w: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875,000</w:t>
            </w: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Issue of shares in a US IPO and NASDAQ listing</w:t>
            </w: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68,506,400</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8780" w:type="dxa"/>
            <w:vAlign w:val="bottom"/>
            <w:tcBorders>
              <w:bottom w:val="single" w:sz="8" w:color="00AFB7"/>
            </w:tcBorders>
          </w:tcPr>
          <w:p>
            <w:pPr>
              <w:spacing w:after="0"/>
              <w:rPr>
                <w:sz w:val="15"/>
                <w:szCs w:val="15"/>
                <w:color w:val="auto"/>
              </w:rPr>
            </w:pPr>
          </w:p>
        </w:tc>
        <w:tc>
          <w:tcPr>
            <w:tcW w:w="11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20286D"/>
              </w:rPr>
              <w:t>337,664,169</w:t>
            </w:r>
          </w:p>
        </w:tc>
        <w:tc>
          <w:tcPr>
            <w:tcW w:w="108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20286D"/>
              </w:rPr>
              <w:t>269,157,769</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380"/>
        <w:spacing w:after="0" w:line="235" w:lineRule="auto"/>
        <w:rPr>
          <w:sz w:val="20"/>
          <w:szCs w:val="20"/>
          <w:color w:val="auto"/>
        </w:rPr>
      </w:pPr>
      <w:r>
        <w:rPr>
          <w:rFonts w:ascii="Arial" w:cs="Arial" w:eastAsia="Arial" w:hAnsi="Arial"/>
          <w:sz w:val="15"/>
          <w:szCs w:val="15"/>
          <w:color w:val="auto"/>
        </w:rPr>
        <w:t>Issued capital of ordinary shares at 31 December 2020 amounted to $ 310,725,758 (337,664,169 fully paid ordinary shares) net of share issue costs and tax. During the half-year, the Company issued 68,506,400 ordinary shares for $148,623,205 net of issue costs in respect of a US initial public offering of American Depositary Shares (ADSs) on the NASDAQ.</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8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20286D"/>
              </w:rPr>
              <w:t>30 June</w:t>
            </w:r>
          </w:p>
        </w:tc>
        <w:tc>
          <w:tcPr>
            <w:tcW w:w="0" w:type="dxa"/>
            <w:vAlign w:val="bottom"/>
          </w:tcPr>
          <w:p>
            <w:pPr>
              <w:spacing w:after="0" w:line="20" w:lineRule="exact"/>
              <w:rPr>
                <w:sz w:val="1"/>
                <w:szCs w:val="1"/>
                <w:color w:val="auto"/>
              </w:rPr>
            </w:pPr>
          </w:p>
        </w:tc>
      </w:tr>
      <w:tr>
        <w:trPr>
          <w:trHeight w:val="141"/>
        </w:trPr>
        <w:tc>
          <w:tcPr>
            <w:tcW w:w="8700" w:type="dxa"/>
            <w:vAlign w:val="bottom"/>
          </w:tcPr>
          <w:p>
            <w:pPr>
              <w:spacing w:after="0"/>
              <w:rPr>
                <w:sz w:val="12"/>
                <w:szCs w:val="12"/>
                <w:color w:val="auto"/>
              </w:rPr>
            </w:pPr>
          </w:p>
        </w:tc>
        <w:tc>
          <w:tcPr>
            <w:tcW w:w="1360" w:type="dxa"/>
            <w:vAlign w:val="bottom"/>
            <w:shd w:val="clear" w:color="auto" w:fill="E5F7F7"/>
          </w:tcPr>
          <w:p>
            <w:pPr>
              <w:jc w:val="right"/>
              <w:ind w:right="4"/>
              <w:spacing w:after="0" w:line="141" w:lineRule="exact"/>
              <w:rPr>
                <w:sz w:val="20"/>
                <w:szCs w:val="20"/>
                <w:color w:val="auto"/>
              </w:rPr>
            </w:pPr>
            <w:r>
              <w:rPr>
                <w:rFonts w:ascii="Arial" w:cs="Arial" w:eastAsia="Arial" w:hAnsi="Arial"/>
                <w:sz w:val="15"/>
                <w:szCs w:val="15"/>
                <w:b w:val="1"/>
                <w:bCs w:val="1"/>
                <w:color w:val="20286D"/>
              </w:rPr>
              <w:t>31 December</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700" w:type="dxa"/>
            <w:vAlign w:val="bottom"/>
          </w:tcPr>
          <w:p>
            <w:pPr>
              <w:spacing w:after="0"/>
              <w:rPr>
                <w:sz w:val="14"/>
                <w:szCs w:val="14"/>
                <w:color w:val="auto"/>
              </w:rPr>
            </w:pPr>
          </w:p>
        </w:tc>
        <w:tc>
          <w:tcPr>
            <w:tcW w:w="1360" w:type="dxa"/>
            <w:vAlign w:val="bottom"/>
            <w:shd w:val="clear" w:color="auto" w:fill="E5F7F7"/>
          </w:tcPr>
          <w:p>
            <w:pPr>
              <w:jc w:val="right"/>
              <w:ind w:right="4"/>
              <w:spacing w:after="0" w:line="162" w:lineRule="exact"/>
              <w:rPr>
                <w:sz w:val="20"/>
                <w:szCs w:val="20"/>
                <w:color w:val="auto"/>
              </w:rPr>
            </w:pPr>
            <w:r>
              <w:rPr>
                <w:rFonts w:ascii="Arial" w:cs="Arial" w:eastAsia="Arial" w:hAnsi="Arial"/>
                <w:sz w:val="15"/>
                <w:szCs w:val="15"/>
                <w:b w:val="1"/>
                <w:bCs w:val="1"/>
                <w:color w:val="20286D"/>
              </w:rPr>
              <w:t>2020</w:t>
            </w:r>
          </w:p>
        </w:tc>
        <w:tc>
          <w:tcPr>
            <w:tcW w:w="960" w:type="dxa"/>
            <w:vAlign w:val="bottom"/>
          </w:tcPr>
          <w:p>
            <w:pPr>
              <w:jc w:val="right"/>
              <w:spacing w:after="0" w:line="162" w:lineRule="exact"/>
              <w:rPr>
                <w:sz w:val="20"/>
                <w:szCs w:val="20"/>
                <w:color w:val="auto"/>
              </w:rPr>
            </w:pPr>
            <w:r>
              <w:rPr>
                <w:rFonts w:ascii="Arial" w:cs="Arial" w:eastAsia="Arial" w:hAnsi="Arial"/>
                <w:sz w:val="15"/>
                <w:szCs w:val="15"/>
                <w:b w:val="1"/>
                <w:bCs w:val="1"/>
                <w:color w:val="20286D"/>
              </w:rPr>
              <w:t>2020</w:t>
            </w:r>
          </w:p>
        </w:tc>
        <w:tc>
          <w:tcPr>
            <w:tcW w:w="0" w:type="dxa"/>
            <w:vAlign w:val="bottom"/>
          </w:tcPr>
          <w:p>
            <w:pPr>
              <w:spacing w:after="0"/>
              <w:rPr>
                <w:sz w:val="1"/>
                <w:szCs w:val="1"/>
                <w:color w:val="auto"/>
              </w:rPr>
            </w:pPr>
          </w:p>
        </w:tc>
      </w:tr>
      <w:tr>
        <w:trPr>
          <w:trHeight w:val="190"/>
        </w:trPr>
        <w:tc>
          <w:tcPr>
            <w:tcW w:w="8700" w:type="dxa"/>
            <w:vAlign w:val="bottom"/>
            <w:tcBorders>
              <w:bottom w:val="single" w:sz="8" w:color="00AFB7"/>
            </w:tcBorders>
          </w:tcPr>
          <w:p>
            <w:pPr>
              <w:spacing w:after="0"/>
              <w:rPr>
                <w:sz w:val="16"/>
                <w:szCs w:val="16"/>
                <w:color w:val="auto"/>
              </w:rPr>
            </w:pPr>
          </w:p>
        </w:tc>
        <w:tc>
          <w:tcPr>
            <w:tcW w:w="13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b w:val="1"/>
                <w:bCs w:val="1"/>
                <w:color w:val="20286D"/>
              </w:rPr>
              <w:t>$</w:t>
            </w:r>
          </w:p>
        </w:tc>
        <w:tc>
          <w:tcPr>
            <w:tcW w:w="960" w:type="dxa"/>
            <w:vAlign w:val="bottom"/>
            <w:tcBorders>
              <w:bottom w:val="single" w:sz="8" w:color="00AFB7"/>
            </w:tcBorders>
          </w:tcPr>
          <w:p>
            <w:pPr>
              <w:jc w:val="right"/>
              <w:spacing w:after="0"/>
              <w:rPr>
                <w:sz w:val="20"/>
                <w:szCs w:val="20"/>
                <w:color w:val="auto"/>
              </w:rPr>
            </w:pPr>
            <w:r>
              <w:rPr>
                <w:rFonts w:ascii="Arial" w:cs="Arial" w:eastAsia="Arial" w:hAnsi="Arial"/>
                <w:sz w:val="15"/>
                <w:szCs w:val="15"/>
                <w:b w:val="1"/>
                <w:bCs w:val="1"/>
                <w:color w:val="20286D"/>
              </w:rPr>
              <w:t>$</w:t>
            </w:r>
          </w:p>
        </w:tc>
        <w:tc>
          <w:tcPr>
            <w:tcW w:w="0" w:type="dxa"/>
            <w:vAlign w:val="bottom"/>
          </w:tcPr>
          <w:p>
            <w:pPr>
              <w:spacing w:after="0"/>
              <w:rPr>
                <w:sz w:val="1"/>
                <w:szCs w:val="1"/>
                <w:color w:val="auto"/>
              </w:rPr>
            </w:pPr>
          </w:p>
        </w:tc>
      </w:tr>
      <w:tr>
        <w:trPr>
          <w:trHeight w:val="187"/>
        </w:trPr>
        <w:tc>
          <w:tcPr>
            <w:tcW w:w="870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(b) Pre-funded warrants</w:t>
            </w:r>
          </w:p>
        </w:tc>
        <w:tc>
          <w:tcPr>
            <w:tcW w:w="1360" w:type="dxa"/>
            <w:vAlign w:val="bottom"/>
            <w:tcBorders>
              <w:bottom w:val="single" w:sz="8" w:color="00AFB7"/>
            </w:tcBorders>
            <w:shd w:val="clear" w:color="auto" w:fill="E5F7F7"/>
          </w:tcPr>
          <w:p>
            <w:pPr>
              <w:spacing w:after="0"/>
              <w:rPr>
                <w:sz w:val="16"/>
                <w:szCs w:val="16"/>
                <w:color w:val="auto"/>
              </w:rPr>
            </w:pPr>
          </w:p>
        </w:tc>
        <w:tc>
          <w:tcPr>
            <w:tcW w:w="960" w:type="dxa"/>
            <w:vAlign w:val="bottom"/>
            <w:tcBorders>
              <w:bottom w:val="single" w:sz="8" w:color="00AFB7"/>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7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Movement in pre-funded warrants:</w:t>
            </w:r>
          </w:p>
        </w:tc>
        <w:tc>
          <w:tcPr>
            <w:tcW w:w="1360" w:type="dxa"/>
            <w:vAlign w:val="bottom"/>
            <w:tcBorders>
              <w:bottom w:val="single" w:sz="8" w:color="00AFB7"/>
            </w:tcBorders>
            <w:shd w:val="clear" w:color="auto" w:fill="E5F7F7"/>
          </w:tcPr>
          <w:p>
            <w:pPr>
              <w:spacing w:after="0"/>
              <w:rPr>
                <w:sz w:val="15"/>
                <w:szCs w:val="15"/>
                <w:color w:val="auto"/>
              </w:rPr>
            </w:pPr>
          </w:p>
        </w:tc>
        <w:tc>
          <w:tcPr>
            <w:tcW w:w="960" w:type="dxa"/>
            <w:vAlign w:val="bottom"/>
            <w:tcBorders>
              <w:bottom w:val="single" w:sz="8" w:color="00AFB7"/>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7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Opening balance</w:t>
            </w:r>
          </w:p>
        </w:tc>
        <w:tc>
          <w:tcPr>
            <w:tcW w:w="13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87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Issue of pre-funded warrants in a US IPO</w:t>
            </w:r>
          </w:p>
        </w:tc>
        <w:tc>
          <w:tcPr>
            <w:tcW w:w="13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17,818,059</w:t>
            </w:r>
          </w:p>
        </w:tc>
        <w:tc>
          <w:tcPr>
            <w:tcW w:w="9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87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Cost of issue of pre-funded warrants</w:t>
            </w:r>
          </w:p>
        </w:tc>
        <w:tc>
          <w:tcPr>
            <w:tcW w:w="13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(1,549,127)</w:t>
            </w:r>
          </w:p>
        </w:tc>
        <w:tc>
          <w:tcPr>
            <w:tcW w:w="960" w:type="dxa"/>
            <w:vAlign w:val="bottom"/>
            <w:tcBorders>
              <w:bottom w:val="single" w:sz="8" w:color="00AFB7"/>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700" w:type="dxa"/>
            <w:vAlign w:val="bottom"/>
            <w:tcBorders>
              <w:bottom w:val="single" w:sz="8" w:color="00AFB7"/>
            </w:tcBorders>
          </w:tcPr>
          <w:p>
            <w:pPr>
              <w:spacing w:after="0"/>
              <w:rPr>
                <w:sz w:val="15"/>
                <w:szCs w:val="15"/>
                <w:color w:val="auto"/>
              </w:rPr>
            </w:pPr>
          </w:p>
        </w:tc>
        <w:tc>
          <w:tcPr>
            <w:tcW w:w="13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20286D"/>
              </w:rPr>
              <w:t>16,268,932</w:t>
            </w:r>
          </w:p>
        </w:tc>
        <w:tc>
          <w:tcPr>
            <w:tcW w:w="9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20286D"/>
              </w:rPr>
              <w:t>–</w:t>
            </w:r>
          </w:p>
        </w:tc>
        <w:tc>
          <w:tcPr>
            <w:tcW w:w="0" w:type="dxa"/>
            <w:vAlign w:val="bottom"/>
          </w:tcPr>
          <w:p>
            <w:pPr>
              <w:spacing w:after="0"/>
              <w:rPr>
                <w:sz w:val="1"/>
                <w:szCs w:val="1"/>
                <w:color w:val="auto"/>
              </w:rPr>
            </w:pPr>
          </w:p>
        </w:tc>
      </w:tr>
      <w:tr>
        <w:trPr>
          <w:trHeight w:val="183"/>
        </w:trPr>
        <w:tc>
          <w:tcPr>
            <w:tcW w:w="8700" w:type="dxa"/>
            <w:vAlign w:val="bottom"/>
            <w:tcBorders>
              <w:bottom w:val="single" w:sz="8" w:color="00AFB7"/>
            </w:tcBorders>
          </w:tcPr>
          <w:p>
            <w:pPr>
              <w:spacing w:after="0"/>
              <w:rPr>
                <w:sz w:val="20"/>
                <w:szCs w:val="20"/>
                <w:color w:val="auto"/>
              </w:rPr>
            </w:pPr>
            <w:r>
              <w:rPr>
                <w:rFonts w:ascii="Arial" w:cs="Arial" w:eastAsia="Arial" w:hAnsi="Arial"/>
                <w:sz w:val="15"/>
                <w:szCs w:val="15"/>
                <w:color w:val="20286D"/>
              </w:rPr>
              <w:t>Pre-funded warrants on issue:</w:t>
            </w:r>
          </w:p>
        </w:tc>
        <w:tc>
          <w:tcPr>
            <w:tcW w:w="13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20286D"/>
              </w:rPr>
              <w:t>No:</w:t>
            </w:r>
          </w:p>
        </w:tc>
        <w:tc>
          <w:tcPr>
            <w:tcW w:w="9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20286D"/>
              </w:rPr>
              <w:t>No:</w:t>
            </w:r>
          </w:p>
        </w:tc>
        <w:tc>
          <w:tcPr>
            <w:tcW w:w="0" w:type="dxa"/>
            <w:vAlign w:val="bottom"/>
          </w:tcPr>
          <w:p>
            <w:pPr>
              <w:spacing w:after="0"/>
              <w:rPr>
                <w:sz w:val="1"/>
                <w:szCs w:val="1"/>
                <w:color w:val="auto"/>
              </w:rPr>
            </w:pPr>
          </w:p>
        </w:tc>
      </w:tr>
      <w:tr>
        <w:trPr>
          <w:trHeight w:val="183"/>
        </w:trPr>
        <w:tc>
          <w:tcPr>
            <w:tcW w:w="87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Opening balance</w:t>
            </w:r>
          </w:p>
        </w:tc>
        <w:tc>
          <w:tcPr>
            <w:tcW w:w="13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870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Issue of pre-funded warrants in a US IPO</w:t>
            </w:r>
          </w:p>
        </w:tc>
        <w:tc>
          <w:tcPr>
            <w:tcW w:w="13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auto"/>
              </w:rPr>
              <w:t>7,493,600</w:t>
            </w:r>
          </w:p>
        </w:tc>
        <w:tc>
          <w:tcPr>
            <w:tcW w:w="9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8700" w:type="dxa"/>
            <w:vAlign w:val="bottom"/>
            <w:tcBorders>
              <w:bottom w:val="single" w:sz="8" w:color="00AFB7"/>
            </w:tcBorders>
          </w:tcPr>
          <w:p>
            <w:pPr>
              <w:spacing w:after="0"/>
              <w:rPr>
                <w:sz w:val="15"/>
                <w:szCs w:val="15"/>
                <w:color w:val="auto"/>
              </w:rPr>
            </w:pPr>
          </w:p>
        </w:tc>
        <w:tc>
          <w:tcPr>
            <w:tcW w:w="1360" w:type="dxa"/>
            <w:vAlign w:val="bottom"/>
            <w:tcBorders>
              <w:bottom w:val="single" w:sz="8" w:color="00AFB7"/>
            </w:tcBorders>
            <w:shd w:val="clear" w:color="auto" w:fill="E5F7F7"/>
          </w:tcPr>
          <w:p>
            <w:pPr>
              <w:jc w:val="right"/>
              <w:ind w:right="4"/>
              <w:spacing w:after="0"/>
              <w:rPr>
                <w:sz w:val="20"/>
                <w:szCs w:val="20"/>
                <w:color w:val="auto"/>
              </w:rPr>
            </w:pPr>
            <w:r>
              <w:rPr>
                <w:rFonts w:ascii="Arial" w:cs="Arial" w:eastAsia="Arial" w:hAnsi="Arial"/>
                <w:sz w:val="15"/>
                <w:szCs w:val="15"/>
                <w:color w:val="20286D"/>
              </w:rPr>
              <w:t>7,493,600</w:t>
            </w:r>
          </w:p>
        </w:tc>
        <w:tc>
          <w:tcPr>
            <w:tcW w:w="960" w:type="dxa"/>
            <w:vAlign w:val="bottom"/>
            <w:tcBorders>
              <w:bottom w:val="single" w:sz="8" w:color="00AFB7"/>
            </w:tcBorders>
          </w:tcPr>
          <w:p>
            <w:pPr>
              <w:jc w:val="right"/>
              <w:spacing w:after="0"/>
              <w:rPr>
                <w:sz w:val="20"/>
                <w:szCs w:val="20"/>
                <w:color w:val="auto"/>
              </w:rPr>
            </w:pPr>
            <w:r>
              <w:rPr>
                <w:rFonts w:ascii="Arial" w:cs="Arial" w:eastAsia="Arial" w:hAnsi="Arial"/>
                <w:sz w:val="15"/>
                <w:szCs w:val="15"/>
                <w:color w:val="20286D"/>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 Company issued 7,493,600 pre-funded warrants for $16,268,932 net of issue costs in respect of a US initial public offering.</w:t>
      </w:r>
    </w:p>
    <w:p>
      <w:pPr>
        <w:jc w:val="both"/>
        <w:ind w:right="40"/>
        <w:spacing w:after="0" w:line="242" w:lineRule="auto"/>
        <w:rPr>
          <w:sz w:val="20"/>
          <w:szCs w:val="20"/>
          <w:color w:val="auto"/>
        </w:rPr>
      </w:pPr>
      <w:r>
        <w:rPr>
          <w:rFonts w:ascii="Arial" w:cs="Arial" w:eastAsia="Arial" w:hAnsi="Arial"/>
          <w:sz w:val="15"/>
          <w:szCs w:val="15"/>
          <w:color w:val="auto"/>
        </w:rPr>
        <w:t>The pre-funded warrants are unquoted, have no voting or dividend rights attached and are exercisable to ADSs at an exercise price of US$0.00001 per pre-funded warrant on a one for one basis with no expiry date.</w:t>
      </w:r>
    </w:p>
    <w:p>
      <w:pPr>
        <w:sectPr>
          <w:pgSz w:w="11900" w:h="16838" w:orient="portrait"/>
          <w:cols w:equalWidth="0" w:num="1">
            <w:col w:w="11020"/>
          </w:cols>
          <w:pgMar w:left="440" w:top="282" w:right="439" w:bottom="1440" w:gutter="0" w:footer="0" w:header="0"/>
        </w:sectPr>
      </w:pPr>
    </w:p>
    <w:bookmarkStart w:id="22" w:name="page23"/>
    <w:bookmarkEnd w:id="22"/>
    <w:tbl>
      <w:tblPr>
        <w:tblLayout w:type="fixed"/>
        <w:tblInd w:w="364" w:type="dxa"/>
        <w:tblCellMar>
          <w:top w:w="0" w:type="dxa"/>
          <w:left w:w="0" w:type="dxa"/>
          <w:bottom w:w="0" w:type="dxa"/>
          <w:right w:w="0" w:type="dxa"/>
        </w:tblCellMar>
      </w:tblPr>
      <w:tr>
        <w:trPr>
          <w:trHeight w:val="168"/>
        </w:trPr>
        <w:tc>
          <w:tcPr>
            <w:tcW w:w="8680" w:type="dxa"/>
            <w:vAlign w:val="bottom"/>
          </w:tcPr>
          <w:p>
            <w:pPr>
              <w:spacing w:after="0"/>
              <w:rPr>
                <w:sz w:val="20"/>
                <w:szCs w:val="20"/>
                <w:color w:val="auto"/>
              </w:rPr>
            </w:pPr>
            <w:r>
              <w:rPr>
                <w:rFonts w:ascii="Arial" w:cs="Arial" w:eastAsia="Arial" w:hAnsi="Arial"/>
                <w:sz w:val="13"/>
                <w:szCs w:val="13"/>
                <w:b w:val="1"/>
                <w:bCs w:val="1"/>
                <w:color w:val="00AFB7"/>
              </w:rPr>
              <w:t xml:space="preserve">O p t h e a   </w:t>
            </w:r>
            <w:r>
              <w:rPr>
                <w:rFonts w:ascii="Arial" w:cs="Arial" w:eastAsia="Arial" w:hAnsi="Arial"/>
                <w:sz w:val="13"/>
                <w:szCs w:val="13"/>
                <w:color w:val="00AFB7"/>
              </w:rPr>
              <w:t>|   H A L F Y E A R R E P O R T F O R T H E H A L F - Y E A R E N D E D 3 1 D E C E M B E R 2 0 2 0</w:t>
            </w:r>
          </w:p>
        </w:tc>
        <w:tc>
          <w:tcPr>
            <w:tcW w:w="1980" w:type="dxa"/>
            <w:vAlign w:val="bottom"/>
          </w:tcPr>
          <w:p>
            <w:pPr>
              <w:jc w:val="right"/>
              <w:spacing w:after="0"/>
              <w:rPr>
                <w:sz w:val="20"/>
                <w:szCs w:val="20"/>
                <w:color w:val="auto"/>
              </w:rPr>
            </w:pPr>
            <w:r>
              <w:rPr>
                <w:rFonts w:ascii="Arial" w:cs="Arial" w:eastAsia="Arial" w:hAnsi="Arial"/>
                <w:sz w:val="13"/>
                <w:szCs w:val="13"/>
                <w:color w:val="00AFB7"/>
              </w:rPr>
              <w:t>15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17145" cy="3346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b w:val="1"/>
          <w:bCs w:val="1"/>
          <w:color w:val="20286D"/>
        </w:rPr>
        <w:t>13.</w:t>
      </w:r>
      <w:r>
        <w:rPr>
          <w:sz w:val="20"/>
          <w:szCs w:val="20"/>
          <w:color w:val="auto"/>
        </w:rPr>
        <w:tab/>
      </w:r>
      <w:r>
        <w:rPr>
          <w:rFonts w:ascii="Arial" w:cs="Arial" w:eastAsia="Arial" w:hAnsi="Arial"/>
          <w:sz w:val="17"/>
          <w:szCs w:val="17"/>
          <w:b w:val="1"/>
          <w:bCs w:val="1"/>
          <w:color w:val="20286D"/>
        </w:rPr>
        <w:t>RESERVES</w:t>
      </w:r>
    </w:p>
    <w:p>
      <w:pPr>
        <w:spacing w:after="0" w:line="108" w:lineRule="exact"/>
        <w:rPr>
          <w:sz w:val="20"/>
          <w:szCs w:val="20"/>
          <w:color w:val="auto"/>
        </w:rPr>
      </w:pPr>
    </w:p>
    <w:tbl>
      <w:tblPr>
        <w:tblLayout w:type="fixed"/>
        <w:tblInd w:w="4" w:type="dxa"/>
        <w:tblCellMar>
          <w:top w:w="0" w:type="dxa"/>
          <w:left w:w="0" w:type="dxa"/>
          <w:bottom w:w="0" w:type="dxa"/>
          <w:right w:w="0" w:type="dxa"/>
        </w:tblCellMar>
      </w:tblPr>
      <w:tr>
        <w:trPr>
          <w:trHeight w:val="32"/>
        </w:trPr>
        <w:tc>
          <w:tcPr>
            <w:tcW w:w="8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20286D"/>
              </w:rPr>
              <w:t>30 June</w:t>
            </w:r>
          </w:p>
        </w:tc>
        <w:tc>
          <w:tcPr>
            <w:tcW w:w="0" w:type="dxa"/>
            <w:vAlign w:val="bottom"/>
          </w:tcPr>
          <w:p>
            <w:pPr>
              <w:spacing w:after="0" w:line="20" w:lineRule="exact"/>
              <w:rPr>
                <w:sz w:val="1"/>
                <w:szCs w:val="1"/>
                <w:color w:val="auto"/>
              </w:rPr>
            </w:pPr>
          </w:p>
        </w:tc>
      </w:tr>
      <w:tr>
        <w:trPr>
          <w:trHeight w:val="141"/>
        </w:trPr>
        <w:tc>
          <w:tcPr>
            <w:tcW w:w="8680" w:type="dxa"/>
            <w:vAlign w:val="bottom"/>
          </w:tcPr>
          <w:p>
            <w:pPr>
              <w:spacing w:after="0"/>
              <w:rPr>
                <w:sz w:val="12"/>
                <w:szCs w:val="12"/>
                <w:color w:val="auto"/>
              </w:rPr>
            </w:pPr>
          </w:p>
        </w:tc>
        <w:tc>
          <w:tcPr>
            <w:tcW w:w="1240" w:type="dxa"/>
            <w:vAlign w:val="bottom"/>
            <w:shd w:val="clear" w:color="auto" w:fill="E5F7F7"/>
          </w:tcPr>
          <w:p>
            <w:pPr>
              <w:jc w:val="right"/>
              <w:spacing w:after="0" w:line="141" w:lineRule="exact"/>
              <w:rPr>
                <w:sz w:val="20"/>
                <w:szCs w:val="20"/>
                <w:color w:val="auto"/>
              </w:rPr>
            </w:pPr>
            <w:r>
              <w:rPr>
                <w:rFonts w:ascii="Arial" w:cs="Arial" w:eastAsia="Arial" w:hAnsi="Arial"/>
                <w:sz w:val="15"/>
                <w:szCs w:val="15"/>
                <w:b w:val="1"/>
                <w:bCs w:val="1"/>
                <w:color w:val="20286D"/>
                <w:shd w:val="clear" w:color="auto" w:fill="E5F7F7"/>
              </w:rPr>
              <w:t>31 December</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680" w:type="dxa"/>
            <w:vAlign w:val="bottom"/>
          </w:tcPr>
          <w:p>
            <w:pPr>
              <w:spacing w:after="0"/>
              <w:rPr>
                <w:sz w:val="14"/>
                <w:szCs w:val="14"/>
                <w:color w:val="auto"/>
              </w:rPr>
            </w:pPr>
          </w:p>
        </w:tc>
        <w:tc>
          <w:tcPr>
            <w:tcW w:w="1240" w:type="dxa"/>
            <w:vAlign w:val="bottom"/>
            <w:shd w:val="clear" w:color="auto" w:fill="E5F7F7"/>
          </w:tcPr>
          <w:p>
            <w:pPr>
              <w:jc w:val="right"/>
              <w:spacing w:after="0" w:line="162" w:lineRule="exact"/>
              <w:rPr>
                <w:sz w:val="20"/>
                <w:szCs w:val="20"/>
                <w:color w:val="auto"/>
              </w:rPr>
            </w:pPr>
            <w:r>
              <w:rPr>
                <w:rFonts w:ascii="Arial" w:cs="Arial" w:eastAsia="Arial" w:hAnsi="Arial"/>
                <w:sz w:val="15"/>
                <w:szCs w:val="15"/>
                <w:b w:val="1"/>
                <w:bCs w:val="1"/>
                <w:color w:val="20286D"/>
              </w:rPr>
              <w:t>2020</w:t>
            </w:r>
          </w:p>
        </w:tc>
        <w:tc>
          <w:tcPr>
            <w:tcW w:w="110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20286D"/>
              </w:rPr>
              <w:t>2020</w:t>
            </w:r>
          </w:p>
        </w:tc>
        <w:tc>
          <w:tcPr>
            <w:tcW w:w="0" w:type="dxa"/>
            <w:vAlign w:val="bottom"/>
          </w:tcPr>
          <w:p>
            <w:pPr>
              <w:spacing w:after="0"/>
              <w:rPr>
                <w:sz w:val="1"/>
                <w:szCs w:val="1"/>
                <w:color w:val="auto"/>
              </w:rPr>
            </w:pPr>
          </w:p>
        </w:tc>
      </w:tr>
      <w:tr>
        <w:trPr>
          <w:trHeight w:val="190"/>
        </w:trPr>
        <w:tc>
          <w:tcPr>
            <w:tcW w:w="8680" w:type="dxa"/>
            <w:vAlign w:val="bottom"/>
            <w:tcBorders>
              <w:bottom w:val="single" w:sz="8" w:color="00AFB7"/>
            </w:tcBorders>
          </w:tcPr>
          <w:p>
            <w:pPr>
              <w:spacing w:after="0"/>
              <w:rPr>
                <w:sz w:val="16"/>
                <w:szCs w:val="16"/>
                <w:color w:val="auto"/>
              </w:rPr>
            </w:pPr>
          </w:p>
        </w:tc>
        <w:tc>
          <w:tcPr>
            <w:tcW w:w="124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b w:val="1"/>
                <w:bCs w:val="1"/>
                <w:color w:val="20286D"/>
              </w:rPr>
              <w:t>$</w:t>
            </w:r>
          </w:p>
        </w:tc>
        <w:tc>
          <w:tcPr>
            <w:tcW w:w="11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b w:val="1"/>
                <w:bCs w:val="1"/>
                <w:color w:val="20286D"/>
              </w:rPr>
              <w:t>$</w:t>
            </w:r>
          </w:p>
        </w:tc>
        <w:tc>
          <w:tcPr>
            <w:tcW w:w="0" w:type="dxa"/>
            <w:vAlign w:val="bottom"/>
          </w:tcPr>
          <w:p>
            <w:pPr>
              <w:spacing w:after="0"/>
              <w:rPr>
                <w:sz w:val="1"/>
                <w:szCs w:val="1"/>
                <w:color w:val="auto"/>
              </w:rPr>
            </w:pPr>
          </w:p>
        </w:tc>
      </w:tr>
      <w:tr>
        <w:trPr>
          <w:trHeight w:val="455"/>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 xml:space="preserve">Fair value of investments reserve </w:t>
            </w:r>
            <w:r>
              <w:rPr>
                <w:rFonts w:ascii="Arial" w:cs="Arial" w:eastAsia="Arial" w:hAnsi="Arial"/>
                <w:sz w:val="13"/>
                <w:szCs w:val="13"/>
                <w:color w:val="auto"/>
              </w:rPr>
              <w:t>1</w:t>
            </w:r>
          </w:p>
        </w:tc>
        <w:tc>
          <w:tcPr>
            <w:tcW w:w="124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1,445,899</w:t>
            </w:r>
          </w:p>
        </w:tc>
        <w:tc>
          <w:tcPr>
            <w:tcW w:w="11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796,095</w:t>
            </w:r>
          </w:p>
        </w:tc>
        <w:tc>
          <w:tcPr>
            <w:tcW w:w="0" w:type="dxa"/>
            <w:vAlign w:val="bottom"/>
          </w:tcPr>
          <w:p>
            <w:pPr>
              <w:spacing w:after="0"/>
              <w:rPr>
                <w:sz w:val="1"/>
                <w:szCs w:val="1"/>
                <w:color w:val="auto"/>
              </w:rPr>
            </w:pPr>
          </w:p>
        </w:tc>
      </w:tr>
      <w:tr>
        <w:trPr>
          <w:trHeight w:val="184"/>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 xml:space="preserve">Share-based payments reserve </w:t>
            </w:r>
            <w:r>
              <w:rPr>
                <w:rFonts w:ascii="Arial" w:cs="Arial" w:eastAsia="Arial" w:hAnsi="Arial"/>
                <w:sz w:val="13"/>
                <w:szCs w:val="13"/>
                <w:color w:val="auto"/>
              </w:rPr>
              <w:t>2</w:t>
            </w:r>
          </w:p>
        </w:tc>
        <w:tc>
          <w:tcPr>
            <w:tcW w:w="124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6,717,072</w:t>
            </w:r>
          </w:p>
        </w:tc>
        <w:tc>
          <w:tcPr>
            <w:tcW w:w="11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4,498,830</w:t>
            </w:r>
          </w:p>
        </w:tc>
        <w:tc>
          <w:tcPr>
            <w:tcW w:w="0" w:type="dxa"/>
            <w:vAlign w:val="bottom"/>
          </w:tcPr>
          <w:p>
            <w:pPr>
              <w:spacing w:after="0"/>
              <w:rPr>
                <w:sz w:val="1"/>
                <w:szCs w:val="1"/>
                <w:color w:val="auto"/>
              </w:rPr>
            </w:pPr>
          </w:p>
        </w:tc>
      </w:tr>
      <w:tr>
        <w:trPr>
          <w:trHeight w:val="185"/>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b w:val="1"/>
                <w:bCs w:val="1"/>
                <w:color w:val="20286D"/>
              </w:rPr>
              <w:t>Total reserves</w:t>
            </w:r>
          </w:p>
        </w:tc>
        <w:tc>
          <w:tcPr>
            <w:tcW w:w="124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b w:val="1"/>
                <w:bCs w:val="1"/>
                <w:color w:val="20286D"/>
              </w:rPr>
              <w:t>8,162,971</w:t>
            </w:r>
          </w:p>
        </w:tc>
        <w:tc>
          <w:tcPr>
            <w:tcW w:w="11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b w:val="1"/>
                <w:bCs w:val="1"/>
                <w:color w:val="20286D"/>
              </w:rPr>
              <w:t>5,294,925</w:t>
            </w:r>
          </w:p>
        </w:tc>
        <w:tc>
          <w:tcPr>
            <w:tcW w:w="0" w:type="dxa"/>
            <w:vAlign w:val="bottom"/>
          </w:tcPr>
          <w:p>
            <w:pPr>
              <w:spacing w:after="0"/>
              <w:rPr>
                <w:sz w:val="1"/>
                <w:szCs w:val="1"/>
                <w:color w:val="auto"/>
              </w:rPr>
            </w:pPr>
          </w:p>
        </w:tc>
      </w:tr>
      <w:tr>
        <w:trPr>
          <w:trHeight w:val="300"/>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1. Movement in fair value of investments reserve:</w:t>
            </w:r>
          </w:p>
        </w:tc>
        <w:tc>
          <w:tcPr>
            <w:tcW w:w="1240" w:type="dxa"/>
            <w:vAlign w:val="bottom"/>
            <w:tcBorders>
              <w:bottom w:val="single" w:sz="8" w:color="00AFB7"/>
            </w:tcBorders>
            <w:shd w:val="clear" w:color="auto" w:fill="E5F7F7"/>
          </w:tcPr>
          <w:p>
            <w:pPr>
              <w:spacing w:after="0"/>
              <w:rPr>
                <w:sz w:val="24"/>
                <w:szCs w:val="24"/>
                <w:color w:val="auto"/>
              </w:rPr>
            </w:pPr>
          </w:p>
        </w:tc>
        <w:tc>
          <w:tcPr>
            <w:tcW w:w="1100" w:type="dxa"/>
            <w:vAlign w:val="bottom"/>
            <w:tcBorders>
              <w:bottom w:val="single" w:sz="8" w:color="00AFB7"/>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Opening balance</w:t>
            </w:r>
          </w:p>
        </w:tc>
        <w:tc>
          <w:tcPr>
            <w:tcW w:w="124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796,095</w:t>
            </w:r>
          </w:p>
        </w:tc>
        <w:tc>
          <w:tcPr>
            <w:tcW w:w="11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737,255</w:t>
            </w:r>
          </w:p>
        </w:tc>
        <w:tc>
          <w:tcPr>
            <w:tcW w:w="0" w:type="dxa"/>
            <w:vAlign w:val="bottom"/>
          </w:tcPr>
          <w:p>
            <w:pPr>
              <w:spacing w:after="0"/>
              <w:rPr>
                <w:sz w:val="1"/>
                <w:szCs w:val="1"/>
                <w:color w:val="auto"/>
              </w:rPr>
            </w:pPr>
          </w:p>
        </w:tc>
      </w:tr>
      <w:tr>
        <w:trPr>
          <w:trHeight w:val="183"/>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Fair value gains on investments in financial assets</w:t>
            </w:r>
          </w:p>
        </w:tc>
        <w:tc>
          <w:tcPr>
            <w:tcW w:w="124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649,804</w:t>
            </w:r>
          </w:p>
        </w:tc>
        <w:tc>
          <w:tcPr>
            <w:tcW w:w="11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58,840</w:t>
            </w:r>
          </w:p>
        </w:tc>
        <w:tc>
          <w:tcPr>
            <w:tcW w:w="0" w:type="dxa"/>
            <w:vAlign w:val="bottom"/>
          </w:tcPr>
          <w:p>
            <w:pPr>
              <w:spacing w:after="0"/>
              <w:rPr>
                <w:sz w:val="1"/>
                <w:szCs w:val="1"/>
                <w:color w:val="auto"/>
              </w:rPr>
            </w:pPr>
          </w:p>
        </w:tc>
      </w:tr>
      <w:tr>
        <w:trPr>
          <w:trHeight w:val="185"/>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b w:val="1"/>
                <w:bCs w:val="1"/>
                <w:color w:val="20286D"/>
              </w:rPr>
              <w:t>Closing balance</w:t>
            </w:r>
          </w:p>
        </w:tc>
        <w:tc>
          <w:tcPr>
            <w:tcW w:w="124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b w:val="1"/>
                <w:bCs w:val="1"/>
                <w:color w:val="20286D"/>
              </w:rPr>
              <w:t>1,445,899</w:t>
            </w:r>
          </w:p>
        </w:tc>
        <w:tc>
          <w:tcPr>
            <w:tcW w:w="11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b w:val="1"/>
                <w:bCs w:val="1"/>
                <w:color w:val="20286D"/>
              </w:rPr>
              <w:t>796,095</w:t>
            </w:r>
          </w:p>
        </w:tc>
        <w:tc>
          <w:tcPr>
            <w:tcW w:w="0" w:type="dxa"/>
            <w:vAlign w:val="bottom"/>
          </w:tcPr>
          <w:p>
            <w:pPr>
              <w:spacing w:after="0"/>
              <w:rPr>
                <w:sz w:val="1"/>
                <w:szCs w:val="1"/>
                <w:color w:val="auto"/>
              </w:rPr>
            </w:pPr>
          </w:p>
        </w:tc>
      </w:tr>
      <w:tr>
        <w:trPr>
          <w:trHeight w:val="183"/>
        </w:trPr>
        <w:tc>
          <w:tcPr>
            <w:tcW w:w="8680" w:type="dxa"/>
            <w:vAlign w:val="bottom"/>
            <w:tcBorders>
              <w:bottom w:val="single" w:sz="8" w:color="00AFB7"/>
            </w:tcBorders>
          </w:tcPr>
          <w:p>
            <w:pPr>
              <w:spacing w:after="0"/>
              <w:rPr>
                <w:sz w:val="15"/>
                <w:szCs w:val="15"/>
                <w:color w:val="auto"/>
              </w:rPr>
            </w:pPr>
          </w:p>
        </w:tc>
        <w:tc>
          <w:tcPr>
            <w:tcW w:w="1240" w:type="dxa"/>
            <w:vAlign w:val="bottom"/>
            <w:tcBorders>
              <w:bottom w:val="single" w:sz="8" w:color="00AFB7"/>
            </w:tcBorders>
            <w:shd w:val="clear" w:color="auto" w:fill="E5F7F7"/>
          </w:tcPr>
          <w:p>
            <w:pPr>
              <w:spacing w:after="0"/>
              <w:rPr>
                <w:sz w:val="15"/>
                <w:szCs w:val="15"/>
                <w:color w:val="auto"/>
              </w:rPr>
            </w:pPr>
          </w:p>
        </w:tc>
        <w:tc>
          <w:tcPr>
            <w:tcW w:w="1100" w:type="dxa"/>
            <w:vAlign w:val="bottom"/>
            <w:tcBorders>
              <w:bottom w:val="single" w:sz="8" w:color="00AFB7"/>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2. Movement in share-based payments reserve:</w:t>
            </w:r>
          </w:p>
        </w:tc>
        <w:tc>
          <w:tcPr>
            <w:tcW w:w="1240" w:type="dxa"/>
            <w:vAlign w:val="bottom"/>
            <w:tcBorders>
              <w:bottom w:val="single" w:sz="8" w:color="00AFB7"/>
            </w:tcBorders>
            <w:shd w:val="clear" w:color="auto" w:fill="E5F7F7"/>
          </w:tcPr>
          <w:p>
            <w:pPr>
              <w:spacing w:after="0"/>
              <w:rPr>
                <w:sz w:val="15"/>
                <w:szCs w:val="15"/>
                <w:color w:val="auto"/>
              </w:rPr>
            </w:pPr>
          </w:p>
        </w:tc>
        <w:tc>
          <w:tcPr>
            <w:tcW w:w="1100" w:type="dxa"/>
            <w:vAlign w:val="bottom"/>
            <w:tcBorders>
              <w:bottom w:val="single" w:sz="8" w:color="00AFB7"/>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Opening balance</w:t>
            </w:r>
          </w:p>
        </w:tc>
        <w:tc>
          <w:tcPr>
            <w:tcW w:w="124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4,498,830</w:t>
            </w:r>
          </w:p>
        </w:tc>
        <w:tc>
          <w:tcPr>
            <w:tcW w:w="11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3,420,349</w:t>
            </w:r>
          </w:p>
        </w:tc>
        <w:tc>
          <w:tcPr>
            <w:tcW w:w="0" w:type="dxa"/>
            <w:vAlign w:val="bottom"/>
          </w:tcPr>
          <w:p>
            <w:pPr>
              <w:spacing w:after="0"/>
              <w:rPr>
                <w:sz w:val="1"/>
                <w:szCs w:val="1"/>
                <w:color w:val="auto"/>
              </w:rPr>
            </w:pPr>
          </w:p>
        </w:tc>
      </w:tr>
      <w:tr>
        <w:trPr>
          <w:trHeight w:val="183"/>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Share-based payments expense</w:t>
            </w:r>
          </w:p>
        </w:tc>
        <w:tc>
          <w:tcPr>
            <w:tcW w:w="124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2,218,242</w:t>
            </w:r>
          </w:p>
        </w:tc>
        <w:tc>
          <w:tcPr>
            <w:tcW w:w="11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1,078,481</w:t>
            </w:r>
          </w:p>
        </w:tc>
        <w:tc>
          <w:tcPr>
            <w:tcW w:w="0" w:type="dxa"/>
            <w:vAlign w:val="bottom"/>
          </w:tcPr>
          <w:p>
            <w:pPr>
              <w:spacing w:after="0"/>
              <w:rPr>
                <w:sz w:val="1"/>
                <w:szCs w:val="1"/>
                <w:color w:val="auto"/>
              </w:rPr>
            </w:pPr>
          </w:p>
        </w:tc>
      </w:tr>
      <w:tr>
        <w:trPr>
          <w:trHeight w:val="185"/>
        </w:trPr>
        <w:tc>
          <w:tcPr>
            <w:tcW w:w="8680" w:type="dxa"/>
            <w:vAlign w:val="bottom"/>
            <w:tcBorders>
              <w:bottom w:val="single" w:sz="8" w:color="00AFB7"/>
            </w:tcBorders>
          </w:tcPr>
          <w:p>
            <w:pPr>
              <w:spacing w:after="0"/>
              <w:rPr>
                <w:sz w:val="20"/>
                <w:szCs w:val="20"/>
                <w:color w:val="auto"/>
              </w:rPr>
            </w:pPr>
            <w:r>
              <w:rPr>
                <w:rFonts w:ascii="Arial" w:cs="Arial" w:eastAsia="Arial" w:hAnsi="Arial"/>
                <w:sz w:val="15"/>
                <w:szCs w:val="15"/>
                <w:b w:val="1"/>
                <w:bCs w:val="1"/>
                <w:color w:val="20286D"/>
              </w:rPr>
              <w:t>Closing balance</w:t>
            </w:r>
          </w:p>
        </w:tc>
        <w:tc>
          <w:tcPr>
            <w:tcW w:w="124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b w:val="1"/>
                <w:bCs w:val="1"/>
                <w:color w:val="20286D"/>
              </w:rPr>
              <w:t>6,717,072</w:t>
            </w:r>
          </w:p>
        </w:tc>
        <w:tc>
          <w:tcPr>
            <w:tcW w:w="110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b w:val="1"/>
                <w:bCs w:val="1"/>
                <w:color w:val="20286D"/>
              </w:rPr>
              <w:t>4,498,830</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444" w:hanging="444"/>
        <w:spacing w:after="0"/>
        <w:tabs>
          <w:tab w:leader="none" w:pos="444" w:val="left"/>
        </w:tabs>
        <w:numPr>
          <w:ilvl w:val="0"/>
          <w:numId w:val="9"/>
        </w:numPr>
        <w:rPr>
          <w:rFonts w:ascii="Arial" w:cs="Arial" w:eastAsia="Arial" w:hAnsi="Arial"/>
          <w:sz w:val="18"/>
          <w:szCs w:val="18"/>
          <w:b w:val="1"/>
          <w:bCs w:val="1"/>
          <w:color w:val="20286D"/>
        </w:rPr>
      </w:pPr>
      <w:r>
        <w:rPr>
          <w:rFonts w:ascii="Arial" w:cs="Arial" w:eastAsia="Arial" w:hAnsi="Arial"/>
          <w:sz w:val="18"/>
          <w:szCs w:val="18"/>
          <w:b w:val="1"/>
          <w:bCs w:val="1"/>
          <w:color w:val="20286D"/>
        </w:rPr>
        <w:t>COMMITMENTS</w:t>
      </w:r>
    </w:p>
    <w:p>
      <w:pPr>
        <w:spacing w:after="0" w:line="123" w:lineRule="exact"/>
        <w:rPr>
          <w:sz w:val="20"/>
          <w:szCs w:val="20"/>
          <w:color w:val="auto"/>
        </w:rPr>
      </w:pPr>
    </w:p>
    <w:p>
      <w:pPr>
        <w:ind w:left="4" w:right="20"/>
        <w:spacing w:after="0" w:line="242" w:lineRule="auto"/>
        <w:rPr>
          <w:sz w:val="20"/>
          <w:szCs w:val="20"/>
          <w:color w:val="auto"/>
        </w:rPr>
      </w:pPr>
      <w:r>
        <w:rPr>
          <w:rFonts w:ascii="Arial" w:cs="Arial" w:eastAsia="Arial" w:hAnsi="Arial"/>
          <w:sz w:val="15"/>
          <w:szCs w:val="15"/>
          <w:color w:val="auto"/>
        </w:rPr>
        <w:t>The Company has entered into research and development contracts with various third parties in respect of the manufacture of clinical grade OPT-302 and services for the Phase 3 wet AMD clinical trials. Expenditure commitments relating to these and intellectual property license agreements are payable as follows:</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32"/>
        </w:trPr>
        <w:tc>
          <w:tcPr>
            <w:tcW w:w="8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20286D"/>
              </w:rPr>
              <w:t>30 June</w:t>
            </w:r>
          </w:p>
        </w:tc>
        <w:tc>
          <w:tcPr>
            <w:tcW w:w="0" w:type="dxa"/>
            <w:vAlign w:val="bottom"/>
          </w:tcPr>
          <w:p>
            <w:pPr>
              <w:spacing w:after="0" w:line="20" w:lineRule="exact"/>
              <w:rPr>
                <w:sz w:val="1"/>
                <w:szCs w:val="1"/>
                <w:color w:val="auto"/>
              </w:rPr>
            </w:pPr>
          </w:p>
        </w:tc>
      </w:tr>
      <w:tr>
        <w:trPr>
          <w:trHeight w:val="141"/>
        </w:trPr>
        <w:tc>
          <w:tcPr>
            <w:tcW w:w="8820" w:type="dxa"/>
            <w:vAlign w:val="bottom"/>
          </w:tcPr>
          <w:p>
            <w:pPr>
              <w:spacing w:after="0"/>
              <w:rPr>
                <w:sz w:val="12"/>
                <w:szCs w:val="12"/>
                <w:color w:val="auto"/>
              </w:rPr>
            </w:pPr>
          </w:p>
        </w:tc>
        <w:tc>
          <w:tcPr>
            <w:tcW w:w="1120" w:type="dxa"/>
            <w:vAlign w:val="bottom"/>
            <w:shd w:val="clear" w:color="auto" w:fill="E5F7F7"/>
          </w:tcPr>
          <w:p>
            <w:pPr>
              <w:jc w:val="right"/>
              <w:spacing w:after="0" w:line="141" w:lineRule="exact"/>
              <w:rPr>
                <w:sz w:val="20"/>
                <w:szCs w:val="20"/>
                <w:color w:val="auto"/>
              </w:rPr>
            </w:pPr>
            <w:r>
              <w:rPr>
                <w:rFonts w:ascii="Arial" w:cs="Arial" w:eastAsia="Arial" w:hAnsi="Arial"/>
                <w:sz w:val="15"/>
                <w:szCs w:val="15"/>
                <w:b w:val="1"/>
                <w:bCs w:val="1"/>
                <w:color w:val="20286D"/>
                <w:shd w:val="clear" w:color="auto" w:fill="E5F7F7"/>
              </w:rPr>
              <w:t>31 December</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20" w:type="dxa"/>
            <w:vAlign w:val="bottom"/>
          </w:tcPr>
          <w:p>
            <w:pPr>
              <w:spacing w:after="0"/>
              <w:rPr>
                <w:sz w:val="14"/>
                <w:szCs w:val="14"/>
                <w:color w:val="auto"/>
              </w:rPr>
            </w:pPr>
          </w:p>
        </w:tc>
        <w:tc>
          <w:tcPr>
            <w:tcW w:w="1120" w:type="dxa"/>
            <w:vAlign w:val="bottom"/>
            <w:shd w:val="clear" w:color="auto" w:fill="E5F7F7"/>
          </w:tcPr>
          <w:p>
            <w:pPr>
              <w:jc w:val="right"/>
              <w:spacing w:after="0" w:line="162" w:lineRule="exact"/>
              <w:rPr>
                <w:sz w:val="20"/>
                <w:szCs w:val="20"/>
                <w:color w:val="auto"/>
              </w:rPr>
            </w:pPr>
            <w:r>
              <w:rPr>
                <w:rFonts w:ascii="Arial" w:cs="Arial" w:eastAsia="Arial" w:hAnsi="Arial"/>
                <w:sz w:val="15"/>
                <w:szCs w:val="15"/>
                <w:b w:val="1"/>
                <w:bCs w:val="1"/>
                <w:color w:val="20286D"/>
              </w:rPr>
              <w:t>2020</w:t>
            </w:r>
          </w:p>
        </w:tc>
        <w:tc>
          <w:tcPr>
            <w:tcW w:w="108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20286D"/>
              </w:rPr>
              <w:t>2020</w:t>
            </w:r>
          </w:p>
        </w:tc>
        <w:tc>
          <w:tcPr>
            <w:tcW w:w="0" w:type="dxa"/>
            <w:vAlign w:val="bottom"/>
          </w:tcPr>
          <w:p>
            <w:pPr>
              <w:spacing w:after="0"/>
              <w:rPr>
                <w:sz w:val="1"/>
                <w:szCs w:val="1"/>
                <w:color w:val="auto"/>
              </w:rPr>
            </w:pPr>
          </w:p>
        </w:tc>
      </w:tr>
      <w:tr>
        <w:trPr>
          <w:trHeight w:val="190"/>
        </w:trPr>
        <w:tc>
          <w:tcPr>
            <w:tcW w:w="8820" w:type="dxa"/>
            <w:vAlign w:val="bottom"/>
            <w:tcBorders>
              <w:bottom w:val="single" w:sz="8" w:color="00AFB7"/>
            </w:tcBorders>
          </w:tcPr>
          <w:p>
            <w:pPr>
              <w:spacing w:after="0"/>
              <w:rPr>
                <w:sz w:val="16"/>
                <w:szCs w:val="16"/>
                <w:color w:val="auto"/>
              </w:rPr>
            </w:pPr>
          </w:p>
        </w:tc>
        <w:tc>
          <w:tcPr>
            <w:tcW w:w="112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b w:val="1"/>
                <w:bCs w:val="1"/>
                <w:color w:val="20286D"/>
              </w:rPr>
              <w:t>$</w:t>
            </w:r>
          </w:p>
        </w:tc>
        <w:tc>
          <w:tcPr>
            <w:tcW w:w="10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b w:val="1"/>
                <w:bCs w:val="1"/>
                <w:color w:val="20286D"/>
              </w:rPr>
              <w:t>$</w:t>
            </w:r>
          </w:p>
        </w:tc>
        <w:tc>
          <w:tcPr>
            <w:tcW w:w="0" w:type="dxa"/>
            <w:vAlign w:val="bottom"/>
          </w:tcPr>
          <w:p>
            <w:pPr>
              <w:spacing w:after="0"/>
              <w:rPr>
                <w:sz w:val="1"/>
                <w:szCs w:val="1"/>
                <w:color w:val="auto"/>
              </w:rPr>
            </w:pPr>
          </w:p>
        </w:tc>
      </w:tr>
      <w:tr>
        <w:trPr>
          <w:trHeight w:val="189"/>
        </w:trPr>
        <w:tc>
          <w:tcPr>
            <w:tcW w:w="8820" w:type="dxa"/>
            <w:vAlign w:val="bottom"/>
            <w:tcBorders>
              <w:bottom w:val="single" w:sz="8" w:color="00AFB7"/>
            </w:tcBorders>
          </w:tcPr>
          <w:p>
            <w:pPr>
              <w:spacing w:after="0"/>
              <w:rPr>
                <w:sz w:val="16"/>
                <w:szCs w:val="16"/>
                <w:color w:val="auto"/>
              </w:rPr>
            </w:pPr>
          </w:p>
        </w:tc>
        <w:tc>
          <w:tcPr>
            <w:tcW w:w="1120" w:type="dxa"/>
            <w:vAlign w:val="bottom"/>
            <w:tcBorders>
              <w:bottom w:val="single" w:sz="8" w:color="00AFB7"/>
            </w:tcBorders>
            <w:shd w:val="clear" w:color="auto" w:fill="E5F7F7"/>
          </w:tcPr>
          <w:p>
            <w:pPr>
              <w:spacing w:after="0"/>
              <w:rPr>
                <w:sz w:val="16"/>
                <w:szCs w:val="16"/>
                <w:color w:val="auto"/>
              </w:rPr>
            </w:pPr>
          </w:p>
        </w:tc>
        <w:tc>
          <w:tcPr>
            <w:tcW w:w="1080" w:type="dxa"/>
            <w:vAlign w:val="bottom"/>
            <w:tcBorders>
              <w:bottom w:val="single" w:sz="8" w:color="00AFB7"/>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82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Within one year</w:t>
            </w:r>
          </w:p>
        </w:tc>
        <w:tc>
          <w:tcPr>
            <w:tcW w:w="112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18,573,692</w:t>
            </w:r>
          </w:p>
        </w:tc>
        <w:tc>
          <w:tcPr>
            <w:tcW w:w="10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11,145,736</w:t>
            </w:r>
          </w:p>
        </w:tc>
        <w:tc>
          <w:tcPr>
            <w:tcW w:w="0" w:type="dxa"/>
            <w:vAlign w:val="bottom"/>
          </w:tcPr>
          <w:p>
            <w:pPr>
              <w:spacing w:after="0"/>
              <w:rPr>
                <w:sz w:val="1"/>
                <w:szCs w:val="1"/>
                <w:color w:val="auto"/>
              </w:rPr>
            </w:pPr>
          </w:p>
        </w:tc>
      </w:tr>
      <w:tr>
        <w:trPr>
          <w:trHeight w:val="183"/>
        </w:trPr>
        <w:tc>
          <w:tcPr>
            <w:tcW w:w="882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After one year but not more than five years</w:t>
            </w:r>
          </w:p>
        </w:tc>
        <w:tc>
          <w:tcPr>
            <w:tcW w:w="112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1,066,071</w:t>
            </w:r>
          </w:p>
        </w:tc>
        <w:tc>
          <w:tcPr>
            <w:tcW w:w="10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444,143</w:t>
            </w:r>
          </w:p>
        </w:tc>
        <w:tc>
          <w:tcPr>
            <w:tcW w:w="0" w:type="dxa"/>
            <w:vAlign w:val="bottom"/>
          </w:tcPr>
          <w:p>
            <w:pPr>
              <w:spacing w:after="0"/>
              <w:rPr>
                <w:sz w:val="1"/>
                <w:szCs w:val="1"/>
                <w:color w:val="auto"/>
              </w:rPr>
            </w:pPr>
          </w:p>
        </w:tc>
      </w:tr>
      <w:tr>
        <w:trPr>
          <w:trHeight w:val="183"/>
        </w:trPr>
        <w:tc>
          <w:tcPr>
            <w:tcW w:w="8820" w:type="dxa"/>
            <w:vAlign w:val="bottom"/>
            <w:tcBorders>
              <w:bottom w:val="single" w:sz="8" w:color="00AFB7"/>
            </w:tcBorders>
          </w:tcPr>
          <w:p>
            <w:pPr>
              <w:spacing w:after="0"/>
              <w:rPr>
                <w:sz w:val="20"/>
                <w:szCs w:val="20"/>
                <w:color w:val="auto"/>
              </w:rPr>
            </w:pPr>
            <w:r>
              <w:rPr>
                <w:rFonts w:ascii="Arial" w:cs="Arial" w:eastAsia="Arial" w:hAnsi="Arial"/>
                <w:sz w:val="15"/>
                <w:szCs w:val="15"/>
                <w:color w:val="auto"/>
              </w:rPr>
              <w:t>After more than five years</w:t>
            </w:r>
          </w:p>
        </w:tc>
        <w:tc>
          <w:tcPr>
            <w:tcW w:w="112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color w:val="auto"/>
              </w:rPr>
              <w:t>97,298</w:t>
            </w:r>
          </w:p>
        </w:tc>
        <w:tc>
          <w:tcPr>
            <w:tcW w:w="10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color w:val="auto"/>
              </w:rPr>
              <w:t>109,061</w:t>
            </w:r>
          </w:p>
        </w:tc>
        <w:tc>
          <w:tcPr>
            <w:tcW w:w="0" w:type="dxa"/>
            <w:vAlign w:val="bottom"/>
          </w:tcPr>
          <w:p>
            <w:pPr>
              <w:spacing w:after="0"/>
              <w:rPr>
                <w:sz w:val="1"/>
                <w:szCs w:val="1"/>
                <w:color w:val="auto"/>
              </w:rPr>
            </w:pPr>
          </w:p>
        </w:tc>
      </w:tr>
      <w:tr>
        <w:trPr>
          <w:trHeight w:val="185"/>
        </w:trPr>
        <w:tc>
          <w:tcPr>
            <w:tcW w:w="8820" w:type="dxa"/>
            <w:vAlign w:val="bottom"/>
            <w:tcBorders>
              <w:bottom w:val="single" w:sz="8" w:color="00AFB7"/>
            </w:tcBorders>
          </w:tcPr>
          <w:p>
            <w:pPr>
              <w:spacing w:after="0"/>
              <w:rPr>
                <w:sz w:val="16"/>
                <w:szCs w:val="16"/>
                <w:color w:val="auto"/>
              </w:rPr>
            </w:pPr>
          </w:p>
        </w:tc>
        <w:tc>
          <w:tcPr>
            <w:tcW w:w="1120" w:type="dxa"/>
            <w:vAlign w:val="bottom"/>
            <w:tcBorders>
              <w:bottom w:val="single" w:sz="8" w:color="00AFB7"/>
            </w:tcBorders>
            <w:shd w:val="clear" w:color="auto" w:fill="E5F7F7"/>
          </w:tcPr>
          <w:p>
            <w:pPr>
              <w:jc w:val="right"/>
              <w:spacing w:after="0"/>
              <w:rPr>
                <w:sz w:val="20"/>
                <w:szCs w:val="20"/>
                <w:color w:val="auto"/>
              </w:rPr>
            </w:pPr>
            <w:r>
              <w:rPr>
                <w:rFonts w:ascii="Arial" w:cs="Arial" w:eastAsia="Arial" w:hAnsi="Arial"/>
                <w:sz w:val="15"/>
                <w:szCs w:val="15"/>
                <w:b w:val="1"/>
                <w:bCs w:val="1"/>
                <w:color w:val="20286D"/>
              </w:rPr>
              <w:t>19,737,061</w:t>
            </w:r>
          </w:p>
        </w:tc>
        <w:tc>
          <w:tcPr>
            <w:tcW w:w="1080" w:type="dxa"/>
            <w:vAlign w:val="bottom"/>
            <w:tcBorders>
              <w:bottom w:val="single" w:sz="8" w:color="00AFB7"/>
            </w:tcBorders>
          </w:tcPr>
          <w:p>
            <w:pPr>
              <w:jc w:val="right"/>
              <w:ind w:right="64"/>
              <w:spacing w:after="0"/>
              <w:rPr>
                <w:sz w:val="20"/>
                <w:szCs w:val="20"/>
                <w:color w:val="auto"/>
              </w:rPr>
            </w:pPr>
            <w:r>
              <w:rPr>
                <w:rFonts w:ascii="Arial" w:cs="Arial" w:eastAsia="Arial" w:hAnsi="Arial"/>
                <w:sz w:val="15"/>
                <w:szCs w:val="15"/>
                <w:b w:val="1"/>
                <w:bCs w:val="1"/>
                <w:color w:val="20286D"/>
              </w:rPr>
              <w:t>11,698,940</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444" w:hanging="444"/>
        <w:spacing w:after="0"/>
        <w:tabs>
          <w:tab w:leader="none" w:pos="444" w:val="left"/>
        </w:tabs>
        <w:numPr>
          <w:ilvl w:val="0"/>
          <w:numId w:val="10"/>
        </w:numPr>
        <w:rPr>
          <w:rFonts w:ascii="Arial" w:cs="Arial" w:eastAsia="Arial" w:hAnsi="Arial"/>
          <w:sz w:val="18"/>
          <w:szCs w:val="18"/>
          <w:b w:val="1"/>
          <w:bCs w:val="1"/>
          <w:color w:val="20286D"/>
        </w:rPr>
      </w:pPr>
      <w:r>
        <w:rPr>
          <w:rFonts w:ascii="Arial" w:cs="Arial" w:eastAsia="Arial" w:hAnsi="Arial"/>
          <w:sz w:val="18"/>
          <w:szCs w:val="18"/>
          <w:b w:val="1"/>
          <w:bCs w:val="1"/>
          <w:color w:val="20286D"/>
        </w:rPr>
        <w:t>EVENTS SUBSEQUENT TO REPORTING DATE</w:t>
      </w:r>
    </w:p>
    <w:p>
      <w:pPr>
        <w:spacing w:after="0" w:line="123" w:lineRule="exact"/>
        <w:rPr>
          <w:sz w:val="20"/>
          <w:szCs w:val="20"/>
          <w:color w:val="auto"/>
        </w:rPr>
      </w:pPr>
    </w:p>
    <w:p>
      <w:pPr>
        <w:ind w:left="4" w:right="20"/>
        <w:spacing w:after="0" w:line="242" w:lineRule="auto"/>
        <w:rPr>
          <w:sz w:val="20"/>
          <w:szCs w:val="20"/>
          <w:color w:val="auto"/>
        </w:rPr>
      </w:pPr>
      <w:r>
        <w:rPr>
          <w:rFonts w:ascii="Arial" w:cs="Arial" w:eastAsia="Arial" w:hAnsi="Arial"/>
          <w:sz w:val="15"/>
          <w:szCs w:val="15"/>
          <w:color w:val="auto"/>
        </w:rPr>
        <w:t>No matters or circumstances have arisen since the end of the reporting period, not otherwise disclosed in this report, which significantly affected, or may significantly affect, the operations of the Group, the results of those operations, or the state of affairs of the Group in future financial years.</w:t>
      </w:r>
    </w:p>
    <w:p>
      <w:pPr>
        <w:sectPr>
          <w:pgSz w:w="11900" w:h="16838" w:orient="portrait"/>
          <w:cols w:equalWidth="0" w:num="1">
            <w:col w:w="11024"/>
          </w:cols>
          <w:pgMar w:left="436" w:top="644" w:right="439" w:bottom="1440" w:gutter="0" w:footer="0" w:header="0"/>
        </w:sectPr>
      </w:pPr>
    </w:p>
    <w:bookmarkStart w:id="23" w:name="page24"/>
    <w:bookmarkEnd w:id="23"/>
    <w:p>
      <w:pPr>
        <w:ind w:left="560"/>
        <w:spacing w:after="0"/>
        <w:rPr>
          <w:sz w:val="20"/>
          <w:szCs w:val="20"/>
          <w:color w:val="auto"/>
        </w:rPr>
      </w:pPr>
      <w:r>
        <w:rPr>
          <w:rFonts w:ascii="Arial" w:cs="Arial" w:eastAsia="Arial" w:hAnsi="Arial"/>
          <w:sz w:val="13"/>
          <w:szCs w:val="13"/>
          <w:color w:val="00AFB7"/>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282575" cy="85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57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420" w:val="left"/>
        </w:tabs>
        <w:rPr>
          <w:sz w:val="20"/>
          <w:szCs w:val="20"/>
          <w:color w:val="auto"/>
        </w:rPr>
      </w:pPr>
      <w:r>
        <w:rPr>
          <w:rFonts w:ascii="Arial" w:cs="Arial" w:eastAsia="Arial" w:hAnsi="Arial"/>
          <w:sz w:val="49"/>
          <w:szCs w:val="49"/>
          <w:color w:val="00AFB7"/>
        </w:rPr>
        <w:t>DIRECTORS’</w:t>
        <w:tab/>
        <w:t>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The Directors declare that:</w:t>
      </w:r>
    </w:p>
    <w:p>
      <w:pPr>
        <w:spacing w:after="0" w:line="111" w:lineRule="exact"/>
        <w:rPr>
          <w:sz w:val="20"/>
          <w:szCs w:val="20"/>
          <w:color w:val="auto"/>
        </w:rPr>
      </w:pPr>
    </w:p>
    <w:p>
      <w:pPr>
        <w:ind w:left="420" w:hanging="208"/>
        <w:spacing w:after="0" w:line="242" w:lineRule="auto"/>
        <w:tabs>
          <w:tab w:leader="none" w:pos="4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 the Directors’ opinion, there are reasonable grounds to believe that the company will be able to pay its debts as and when they become due and payable; and</w:t>
      </w:r>
    </w:p>
    <w:p>
      <w:pPr>
        <w:spacing w:after="0" w:line="81" w:lineRule="exact"/>
        <w:rPr>
          <w:rFonts w:ascii="Arial" w:cs="Arial" w:eastAsia="Arial" w:hAnsi="Arial"/>
          <w:sz w:val="15"/>
          <w:szCs w:val="15"/>
          <w:color w:val="auto"/>
        </w:rPr>
      </w:pPr>
    </w:p>
    <w:p>
      <w:pPr>
        <w:ind w:left="420" w:right="20" w:hanging="208"/>
        <w:spacing w:after="0" w:line="264" w:lineRule="auto"/>
        <w:tabs>
          <w:tab w:leader="none" w:pos="4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in the Directors’ opinion, the attached financial statements and notes thereto are in accordance with the </w:t>
      </w:r>
      <w:r>
        <w:rPr>
          <w:rFonts w:ascii="Arial" w:cs="Arial" w:eastAsia="Arial" w:hAnsi="Arial"/>
          <w:sz w:val="15"/>
          <w:szCs w:val="15"/>
          <w:i w:val="1"/>
          <w:iCs w:val="1"/>
          <w:color w:val="auto"/>
        </w:rPr>
        <w:t>Corporations Act 2001,</w:t>
      </w:r>
      <w:r>
        <w:rPr>
          <w:rFonts w:ascii="Arial" w:cs="Arial" w:eastAsia="Arial" w:hAnsi="Arial"/>
          <w:sz w:val="15"/>
          <w:szCs w:val="15"/>
          <w:color w:val="auto"/>
        </w:rPr>
        <w:t xml:space="preserve"> including compliance with accounting standards and giving a true and fair view of the financial position and performance of the consolidated entity.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Signed in accordance with a resolution of the Directors made pursuant to s.303(5) of the </w:t>
      </w:r>
      <w:r>
        <w:rPr>
          <w:rFonts w:ascii="Arial" w:cs="Arial" w:eastAsia="Arial" w:hAnsi="Arial"/>
          <w:sz w:val="15"/>
          <w:szCs w:val="15"/>
          <w:i w:val="1"/>
          <w:iCs w:val="1"/>
          <w:color w:val="auto"/>
        </w:rPr>
        <w:t>Corporations Act 2001.</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On behalf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977265" cy="5657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772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Jeremy Levin</w:t>
      </w:r>
    </w:p>
    <w:p>
      <w:pPr>
        <w:spacing w:after="0"/>
        <w:rPr>
          <w:sz w:val="20"/>
          <w:szCs w:val="20"/>
          <w:color w:val="auto"/>
        </w:rPr>
      </w:pPr>
      <w:r>
        <w:rPr>
          <w:rFonts w:ascii="Arial" w:cs="Arial" w:eastAsia="Arial" w:hAnsi="Arial"/>
          <w:sz w:val="15"/>
          <w:szCs w:val="15"/>
          <w:color w:val="auto"/>
        </w:rPr>
        <w:t>Chairman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Melbourne,</w:t>
      </w:r>
    </w:p>
    <w:p>
      <w:pPr>
        <w:spacing w:after="0"/>
        <w:rPr>
          <w:sz w:val="20"/>
          <w:szCs w:val="20"/>
          <w:color w:val="auto"/>
        </w:rPr>
      </w:pPr>
      <w:r>
        <w:rPr>
          <w:rFonts w:ascii="Arial" w:cs="Arial" w:eastAsia="Arial" w:hAnsi="Arial"/>
          <w:sz w:val="15"/>
          <w:szCs w:val="15"/>
          <w:color w:val="auto"/>
        </w:rPr>
        <w:t>22 February 2021</w:t>
      </w:r>
    </w:p>
    <w:p>
      <w:pPr>
        <w:sectPr>
          <w:pgSz w:w="11900" w:h="16838" w:orient="portrait"/>
          <w:cols w:equalWidth="0" w:num="1">
            <w:col w:w="11020"/>
          </w:cols>
          <w:pgMar w:left="440" w:top="282" w:right="439" w:bottom="1440" w:gutter="0" w:footer="0" w:header="0"/>
        </w:sectPr>
      </w:pPr>
    </w:p>
    <w:bookmarkStart w:id="24" w:name="page25"/>
    <w:bookmarkEnd w:id="24"/>
    <w:p>
      <w:pPr>
        <w:ind w:left="360"/>
        <w:spacing w:after="0"/>
        <w:tabs>
          <w:tab w:leader="none" w:pos="1120" w:val="left"/>
          <w:tab w:leader="none" w:pos="1340" w:val="left"/>
          <w:tab w:leader="none" w:pos="10860" w:val="left"/>
        </w:tabs>
        <w:rPr>
          <w:sz w:val="20"/>
          <w:szCs w:val="20"/>
          <w:color w:val="auto"/>
        </w:rPr>
      </w:pPr>
      <w:r>
        <w:rPr>
          <w:rFonts w:ascii="Arial" w:cs="Arial" w:eastAsia="Arial" w:hAnsi="Arial"/>
          <w:sz w:val="13"/>
          <w:szCs w:val="13"/>
          <w:b w:val="1"/>
          <w:bCs w:val="1"/>
          <w:color w:val="00AFB7"/>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17145" cy="3346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334645"/>
                    </a:xfrm>
                    <a:prstGeom prst="rect">
                      <a:avLst/>
                    </a:prstGeom>
                    <a:noFill/>
                  </pic:spPr>
                </pic:pic>
              </a:graphicData>
            </a:graphic>
          </wp:anchor>
        </w:drawing>
        <w:t>O p t h e a</w:t>
      </w:r>
      <w:r>
        <w:rPr>
          <w:sz w:val="20"/>
          <w:szCs w:val="20"/>
          <w:color w:val="auto"/>
        </w:rPr>
        <w:tab/>
      </w:r>
      <w:r>
        <w:rPr>
          <w:rFonts w:ascii="Arial" w:cs="Arial" w:eastAsia="Arial" w:hAnsi="Arial"/>
          <w:sz w:val="13"/>
          <w:szCs w:val="13"/>
          <w:color w:val="00AFB7"/>
        </w:rPr>
        <w:t>|</w:t>
        <w:tab/>
        <w:t>H A L F Y E A R R E P O R T F O R T H E H A L F - Y E A R E N D E D 3 1 D E C E M B E R 2 0 2 0</w:t>
      </w:r>
      <w:r>
        <w:rPr>
          <w:sz w:val="20"/>
          <w:szCs w:val="20"/>
          <w:color w:val="auto"/>
        </w:rPr>
        <w:tab/>
      </w:r>
      <w:r>
        <w:rPr>
          <w:rFonts w:ascii="Arial" w:cs="Arial" w:eastAsia="Arial" w:hAnsi="Arial"/>
          <w:sz w:val="12"/>
          <w:szCs w:val="12"/>
          <w:color w:val="00AFB7"/>
        </w:rPr>
        <w:t>17</w:t>
      </w:r>
    </w:p>
    <w:p>
      <w:pPr>
        <w:sectPr>
          <w:pgSz w:w="11900" w:h="16838" w:orient="portrait"/>
          <w:cols w:equalWidth="0" w:num="1">
            <w:col w:w="11020"/>
          </w:cols>
          <w:pgMar w:left="440" w:top="64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400"/>
        <w:spacing w:after="0" w:line="251" w:lineRule="auto"/>
        <w:rPr>
          <w:sz w:val="20"/>
          <w:szCs w:val="20"/>
          <w:color w:val="auto"/>
        </w:rPr>
      </w:pPr>
      <w:r>
        <w:rPr>
          <w:rFonts w:ascii="Arial" w:cs="Arial" w:eastAsia="Arial" w:hAnsi="Arial"/>
          <w:sz w:val="49"/>
          <w:szCs w:val="49"/>
          <w:color w:val="00AFB7"/>
        </w:rPr>
        <w:t>INDEPENDENT AUDITOR’S REVIEW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370205</wp:posOffset>
            </wp:positionV>
            <wp:extent cx="6021705" cy="6047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21705" cy="604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0"/>
        <w:spacing w:after="0"/>
        <w:rPr>
          <w:sz w:val="20"/>
          <w:szCs w:val="20"/>
          <w:color w:val="auto"/>
        </w:rPr>
      </w:pPr>
      <w:r>
        <w:rPr>
          <w:rFonts w:ascii="Arial" w:cs="Arial" w:eastAsia="Arial" w:hAnsi="Arial"/>
          <w:sz w:val="10"/>
          <w:szCs w:val="10"/>
          <w:color w:val="auto"/>
        </w:rPr>
        <w:t>Deloitte Touche Tohmatsu</w:t>
      </w:r>
    </w:p>
    <w:p>
      <w:pPr>
        <w:spacing w:after="0" w:line="7" w:lineRule="exact"/>
        <w:rPr>
          <w:sz w:val="20"/>
          <w:szCs w:val="20"/>
          <w:color w:val="auto"/>
        </w:rPr>
      </w:pPr>
    </w:p>
    <w:p>
      <w:pPr>
        <w:ind w:left="8600"/>
        <w:spacing w:after="0"/>
        <w:rPr>
          <w:sz w:val="20"/>
          <w:szCs w:val="20"/>
          <w:color w:val="auto"/>
        </w:rPr>
      </w:pPr>
      <w:r>
        <w:rPr>
          <w:rFonts w:ascii="Arial" w:cs="Arial" w:eastAsia="Arial" w:hAnsi="Arial"/>
          <w:sz w:val="10"/>
          <w:szCs w:val="10"/>
          <w:color w:val="auto"/>
        </w:rPr>
        <w:t>ABN 74 490 121 060</w:t>
      </w:r>
    </w:p>
    <w:p>
      <w:pPr>
        <w:spacing w:after="0" w:line="115" w:lineRule="exact"/>
        <w:rPr>
          <w:sz w:val="20"/>
          <w:szCs w:val="20"/>
          <w:color w:val="auto"/>
        </w:rPr>
      </w:pPr>
    </w:p>
    <w:p>
      <w:pPr>
        <w:ind w:left="8600"/>
        <w:spacing w:after="0"/>
        <w:rPr>
          <w:sz w:val="20"/>
          <w:szCs w:val="20"/>
          <w:color w:val="auto"/>
        </w:rPr>
      </w:pPr>
      <w:r>
        <w:rPr>
          <w:rFonts w:ascii="Arial" w:cs="Arial" w:eastAsia="Arial" w:hAnsi="Arial"/>
          <w:sz w:val="10"/>
          <w:szCs w:val="10"/>
          <w:color w:val="auto"/>
        </w:rPr>
        <w:t>Tower 2, Brookfield Place</w:t>
      </w:r>
    </w:p>
    <w:p>
      <w:pPr>
        <w:spacing w:after="0" w:line="7" w:lineRule="exact"/>
        <w:rPr>
          <w:sz w:val="20"/>
          <w:szCs w:val="20"/>
          <w:color w:val="auto"/>
        </w:rPr>
      </w:pPr>
    </w:p>
    <w:p>
      <w:pPr>
        <w:ind w:left="8600"/>
        <w:spacing w:after="0"/>
        <w:rPr>
          <w:sz w:val="20"/>
          <w:szCs w:val="20"/>
          <w:color w:val="auto"/>
        </w:rPr>
      </w:pPr>
      <w:r>
        <w:rPr>
          <w:rFonts w:ascii="Arial" w:cs="Arial" w:eastAsia="Arial" w:hAnsi="Arial"/>
          <w:sz w:val="10"/>
          <w:szCs w:val="10"/>
          <w:color w:val="auto"/>
        </w:rPr>
        <w:t>123 St Georges Terrace</w:t>
      </w:r>
    </w:p>
    <w:p>
      <w:pPr>
        <w:spacing w:after="0" w:line="20" w:lineRule="exact"/>
        <w:rPr>
          <w:sz w:val="20"/>
          <w:szCs w:val="20"/>
          <w:color w:val="auto"/>
        </w:rPr>
      </w:pPr>
    </w:p>
    <w:p>
      <w:pPr>
        <w:ind w:left="8600"/>
        <w:spacing w:after="0"/>
        <w:rPr>
          <w:sz w:val="20"/>
          <w:szCs w:val="20"/>
          <w:color w:val="auto"/>
        </w:rPr>
      </w:pPr>
      <w:r>
        <w:rPr>
          <w:rFonts w:ascii="Arial" w:cs="Arial" w:eastAsia="Arial" w:hAnsi="Arial"/>
          <w:sz w:val="10"/>
          <w:szCs w:val="10"/>
          <w:color w:val="auto"/>
        </w:rPr>
        <w:t>Perth WA 6000</w:t>
      </w:r>
    </w:p>
    <w:p>
      <w:pPr>
        <w:spacing w:after="0" w:line="7" w:lineRule="exact"/>
        <w:rPr>
          <w:sz w:val="20"/>
          <w:szCs w:val="20"/>
          <w:color w:val="auto"/>
        </w:rPr>
      </w:pPr>
    </w:p>
    <w:p>
      <w:pPr>
        <w:ind w:left="8600"/>
        <w:spacing w:after="0"/>
        <w:rPr>
          <w:sz w:val="20"/>
          <w:szCs w:val="20"/>
          <w:color w:val="auto"/>
        </w:rPr>
      </w:pPr>
      <w:r>
        <w:rPr>
          <w:rFonts w:ascii="Arial" w:cs="Arial" w:eastAsia="Arial" w:hAnsi="Arial"/>
          <w:sz w:val="10"/>
          <w:szCs w:val="10"/>
          <w:color w:val="auto"/>
        </w:rPr>
        <w:t>GPO Box A46</w:t>
      </w:r>
    </w:p>
    <w:p>
      <w:pPr>
        <w:spacing w:after="0" w:line="7" w:lineRule="exact"/>
        <w:rPr>
          <w:sz w:val="20"/>
          <w:szCs w:val="20"/>
          <w:color w:val="auto"/>
        </w:rPr>
      </w:pPr>
    </w:p>
    <w:p>
      <w:pPr>
        <w:ind w:left="8600"/>
        <w:spacing w:after="0"/>
        <w:rPr>
          <w:sz w:val="20"/>
          <w:szCs w:val="20"/>
          <w:color w:val="auto"/>
        </w:rPr>
      </w:pPr>
      <w:r>
        <w:rPr>
          <w:rFonts w:ascii="Arial" w:cs="Arial" w:eastAsia="Arial" w:hAnsi="Arial"/>
          <w:sz w:val="10"/>
          <w:szCs w:val="10"/>
          <w:color w:val="auto"/>
        </w:rPr>
        <w:t>Perth WA 6837 Australia</w:t>
      </w:r>
    </w:p>
    <w:p>
      <w:pPr>
        <w:spacing w:after="0" w:line="115" w:lineRule="exact"/>
        <w:rPr>
          <w:sz w:val="20"/>
          <w:szCs w:val="20"/>
          <w:color w:val="auto"/>
        </w:rPr>
      </w:pPr>
    </w:p>
    <w:p>
      <w:pPr>
        <w:ind w:left="8600"/>
        <w:spacing w:after="0"/>
        <w:rPr>
          <w:sz w:val="20"/>
          <w:szCs w:val="20"/>
          <w:color w:val="auto"/>
        </w:rPr>
      </w:pPr>
      <w:r>
        <w:rPr>
          <w:rFonts w:ascii="Arial" w:cs="Arial" w:eastAsia="Arial" w:hAnsi="Arial"/>
          <w:sz w:val="10"/>
          <w:szCs w:val="10"/>
          <w:color w:val="auto"/>
        </w:rPr>
        <w:t>Tel: +61 8 9365 7000</w:t>
      </w:r>
    </w:p>
    <w:p>
      <w:pPr>
        <w:spacing w:after="0" w:line="7" w:lineRule="exact"/>
        <w:rPr>
          <w:sz w:val="20"/>
          <w:szCs w:val="20"/>
          <w:color w:val="auto"/>
        </w:rPr>
      </w:pPr>
    </w:p>
    <w:p>
      <w:pPr>
        <w:ind w:left="8600"/>
        <w:spacing w:after="0"/>
        <w:rPr>
          <w:sz w:val="20"/>
          <w:szCs w:val="20"/>
          <w:color w:val="auto"/>
        </w:rPr>
      </w:pPr>
      <w:r>
        <w:rPr>
          <w:rFonts w:ascii="Arial" w:cs="Arial" w:eastAsia="Arial" w:hAnsi="Arial"/>
          <w:sz w:val="10"/>
          <w:szCs w:val="10"/>
          <w:color w:val="auto"/>
        </w:rPr>
        <w:t>Fax: +61 8 9365 7001</w:t>
      </w:r>
    </w:p>
    <w:p>
      <w:pPr>
        <w:spacing w:after="0" w:line="7" w:lineRule="exact"/>
        <w:rPr>
          <w:sz w:val="20"/>
          <w:szCs w:val="20"/>
          <w:color w:val="auto"/>
        </w:rPr>
      </w:pPr>
    </w:p>
    <w:p>
      <w:pPr>
        <w:ind w:left="8600"/>
        <w:spacing w:after="0"/>
        <w:rPr>
          <w:sz w:val="20"/>
          <w:szCs w:val="20"/>
          <w:color w:val="auto"/>
        </w:rPr>
      </w:pPr>
      <w:r>
        <w:rPr>
          <w:rFonts w:ascii="Arial" w:cs="Arial" w:eastAsia="Arial" w:hAnsi="Arial"/>
          <w:sz w:val="10"/>
          <w:szCs w:val="10"/>
          <w:color w:val="auto"/>
        </w:rPr>
        <w:t>www.deloitte.com.au</w:t>
      </w:r>
    </w:p>
    <w:p>
      <w:pPr>
        <w:spacing w:after="0" w:line="227" w:lineRule="exact"/>
        <w:rPr>
          <w:sz w:val="20"/>
          <w:szCs w:val="20"/>
          <w:color w:val="auto"/>
        </w:rPr>
      </w:pPr>
    </w:p>
    <w:p>
      <w:pPr>
        <w:ind w:left="1880" w:right="1480"/>
        <w:spacing w:after="0" w:line="260" w:lineRule="auto"/>
        <w:rPr>
          <w:sz w:val="20"/>
          <w:szCs w:val="20"/>
          <w:color w:val="auto"/>
        </w:rPr>
      </w:pPr>
      <w:r>
        <w:rPr>
          <w:rFonts w:ascii="Arial" w:cs="Arial" w:eastAsia="Arial" w:hAnsi="Arial"/>
          <w:sz w:val="24"/>
          <w:szCs w:val="24"/>
          <w:color w:val="auto"/>
        </w:rPr>
        <w:t>Independent Auditor’s Review Report to the members of Opthea Limited</w:t>
      </w:r>
    </w:p>
    <w:p>
      <w:pPr>
        <w:spacing w:after="0" w:line="387" w:lineRule="exact"/>
        <w:rPr>
          <w:sz w:val="20"/>
          <w:szCs w:val="20"/>
          <w:color w:val="auto"/>
        </w:rPr>
      </w:pPr>
    </w:p>
    <w:p>
      <w:pPr>
        <w:ind w:left="1880"/>
        <w:spacing w:after="0"/>
        <w:rPr>
          <w:sz w:val="20"/>
          <w:szCs w:val="20"/>
          <w:color w:val="auto"/>
        </w:rPr>
      </w:pPr>
      <w:r>
        <w:rPr>
          <w:rFonts w:ascii="Arial" w:cs="Arial" w:eastAsia="Arial" w:hAnsi="Arial"/>
          <w:sz w:val="13"/>
          <w:szCs w:val="13"/>
          <w:i w:val="1"/>
          <w:iCs w:val="1"/>
          <w:color w:val="auto"/>
        </w:rPr>
        <w:t>Conclusion</w:t>
      </w:r>
    </w:p>
    <w:p>
      <w:pPr>
        <w:spacing w:after="0" w:line="106" w:lineRule="exact"/>
        <w:rPr>
          <w:sz w:val="20"/>
          <w:szCs w:val="20"/>
          <w:color w:val="auto"/>
        </w:rPr>
      </w:pPr>
    </w:p>
    <w:p>
      <w:pPr>
        <w:jc w:val="both"/>
        <w:ind w:left="1880" w:right="820"/>
        <w:spacing w:after="0" w:line="222" w:lineRule="auto"/>
        <w:rPr>
          <w:sz w:val="20"/>
          <w:szCs w:val="20"/>
          <w:color w:val="auto"/>
        </w:rPr>
      </w:pPr>
      <w:r>
        <w:rPr>
          <w:rFonts w:ascii="Arial" w:cs="Arial" w:eastAsia="Arial" w:hAnsi="Arial"/>
          <w:sz w:val="13"/>
          <w:szCs w:val="13"/>
          <w:color w:val="auto"/>
        </w:rPr>
        <w:t>We have reviewed the half-year financial report of Opthea Limited (the “Company”) and its subsidiary (the “Group”), which comprises the condensed consolidated statement of financial position as at 31 December 2020, and the condensed consolidated income statement, the condensed consolidated statement of comprehensive income, the condensed consolidated statement of cash flows and the condensed consolidated statement of changes in equity for the half-year ended on that date, notes comprising a summary of significant accounting policies and other explanatory information, and the directors’ declaration as set out on pages 5 to 16.</w:t>
      </w:r>
    </w:p>
    <w:p>
      <w:pPr>
        <w:spacing w:after="0" w:line="77"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Based on our review, which is not an audit, we have not become aware of any matter that makes us believe that the half-year financial report of</w:t>
      </w:r>
    </w:p>
    <w:p>
      <w:pPr>
        <w:ind w:left="1880"/>
        <w:spacing w:after="0"/>
        <w:rPr>
          <w:sz w:val="20"/>
          <w:szCs w:val="20"/>
          <w:color w:val="auto"/>
        </w:rPr>
      </w:pPr>
      <w:r>
        <w:rPr>
          <w:rFonts w:ascii="Arial" w:cs="Arial" w:eastAsia="Arial" w:hAnsi="Arial"/>
          <w:sz w:val="13"/>
          <w:szCs w:val="13"/>
          <w:color w:val="auto"/>
        </w:rPr>
        <w:t xml:space="preserve">Opthea Limited is not in accordance with the </w:t>
      </w:r>
      <w:r>
        <w:rPr>
          <w:rFonts w:ascii="Arial" w:cs="Arial" w:eastAsia="Arial" w:hAnsi="Arial"/>
          <w:sz w:val="13"/>
          <w:szCs w:val="13"/>
          <w:i w:val="1"/>
          <w:iCs w:val="1"/>
          <w:color w:val="auto"/>
        </w:rPr>
        <w:t>Corporations Act 2001</w:t>
      </w:r>
      <w:r>
        <w:rPr>
          <w:rFonts w:ascii="Arial" w:cs="Arial" w:eastAsia="Arial" w:hAnsi="Arial"/>
          <w:sz w:val="13"/>
          <w:szCs w:val="13"/>
          <w:color w:val="auto"/>
        </w:rPr>
        <w:t>, including:</w:t>
      </w:r>
    </w:p>
    <w:p>
      <w:pPr>
        <w:spacing w:after="0" w:line="107" w:lineRule="exact"/>
        <w:rPr>
          <w:sz w:val="20"/>
          <w:szCs w:val="20"/>
          <w:color w:val="auto"/>
        </w:rPr>
      </w:pPr>
    </w:p>
    <w:p>
      <w:pPr>
        <w:ind w:left="2140" w:right="820" w:hanging="271"/>
        <w:spacing w:after="0" w:line="230" w:lineRule="auto"/>
        <w:tabs>
          <w:tab w:leader="none" w:pos="21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giving a true and fair view of the Group’s financial position as at 31 December 2020 and of its performance for the half-year ended on that date; and</w:t>
      </w:r>
    </w:p>
    <w:p>
      <w:pPr>
        <w:spacing w:after="0" w:line="92" w:lineRule="exact"/>
        <w:rPr>
          <w:rFonts w:ascii="Arial" w:cs="Arial" w:eastAsia="Arial" w:hAnsi="Arial"/>
          <w:sz w:val="13"/>
          <w:szCs w:val="13"/>
          <w:color w:val="auto"/>
        </w:rPr>
      </w:pPr>
    </w:p>
    <w:p>
      <w:pPr>
        <w:ind w:left="2140" w:hanging="271"/>
        <w:spacing w:after="0"/>
        <w:tabs>
          <w:tab w:leader="none" w:pos="21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 xml:space="preserve">complying with Accounting Standard AASB 134 </w:t>
      </w:r>
      <w:r>
        <w:rPr>
          <w:rFonts w:ascii="Arial" w:cs="Arial" w:eastAsia="Arial" w:hAnsi="Arial"/>
          <w:sz w:val="13"/>
          <w:szCs w:val="13"/>
          <w:i w:val="1"/>
          <w:iCs w:val="1"/>
          <w:color w:val="auto"/>
        </w:rPr>
        <w:t>Interim Financial Reporting</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Corporations Regulations 2001</w:t>
      </w:r>
      <w:r>
        <w:rPr>
          <w:rFonts w:ascii="Arial" w:cs="Arial" w:eastAsia="Arial" w:hAnsi="Arial"/>
          <w:sz w:val="13"/>
          <w:szCs w:val="13"/>
          <w:color w:val="auto"/>
        </w:rPr>
        <w:t>.</w:t>
      </w:r>
    </w:p>
    <w:p>
      <w:pPr>
        <w:spacing w:after="0" w:line="202" w:lineRule="exact"/>
        <w:rPr>
          <w:sz w:val="20"/>
          <w:szCs w:val="20"/>
          <w:color w:val="auto"/>
        </w:rPr>
      </w:pPr>
    </w:p>
    <w:p>
      <w:pPr>
        <w:ind w:left="1880"/>
        <w:spacing w:after="0"/>
        <w:rPr>
          <w:sz w:val="20"/>
          <w:szCs w:val="20"/>
          <w:color w:val="auto"/>
        </w:rPr>
      </w:pPr>
      <w:r>
        <w:rPr>
          <w:rFonts w:ascii="Arial" w:cs="Arial" w:eastAsia="Arial" w:hAnsi="Arial"/>
          <w:sz w:val="13"/>
          <w:szCs w:val="13"/>
          <w:i w:val="1"/>
          <w:iCs w:val="1"/>
          <w:color w:val="auto"/>
        </w:rPr>
        <w:t>Basis for Conclusion</w:t>
      </w:r>
    </w:p>
    <w:p>
      <w:pPr>
        <w:spacing w:after="0" w:line="202" w:lineRule="exact"/>
        <w:rPr>
          <w:sz w:val="20"/>
          <w:szCs w:val="20"/>
          <w:color w:val="auto"/>
        </w:rPr>
      </w:pPr>
    </w:p>
    <w:p>
      <w:pPr>
        <w:jc w:val="both"/>
        <w:ind w:left="1880" w:right="820"/>
        <w:spacing w:after="0" w:line="226" w:lineRule="auto"/>
        <w:rPr>
          <w:sz w:val="20"/>
          <w:szCs w:val="20"/>
          <w:color w:val="auto"/>
        </w:rPr>
      </w:pPr>
      <w:r>
        <w:rPr>
          <w:rFonts w:ascii="Arial" w:cs="Arial" w:eastAsia="Arial" w:hAnsi="Arial"/>
          <w:sz w:val="13"/>
          <w:szCs w:val="13"/>
          <w:color w:val="auto"/>
        </w:rPr>
        <w:t xml:space="preserve">We conducted our review in accordance with ASRE 2410 </w:t>
      </w:r>
      <w:r>
        <w:rPr>
          <w:rFonts w:ascii="Arial" w:cs="Arial" w:eastAsia="Arial" w:hAnsi="Arial"/>
          <w:sz w:val="13"/>
          <w:szCs w:val="13"/>
          <w:i w:val="1"/>
          <w:iCs w:val="1"/>
          <w:color w:val="auto"/>
        </w:rPr>
        <w:t>Review of a Financial Report Performed by the Independent Auditor of the Entity</w:t>
      </w:r>
      <w:r>
        <w:rPr>
          <w:rFonts w:ascii="Arial" w:cs="Arial" w:eastAsia="Arial" w:hAnsi="Arial"/>
          <w:sz w:val="13"/>
          <w:szCs w:val="13"/>
          <w:color w:val="auto"/>
        </w:rPr>
        <w:t xml:space="preserve">. Our responsibilities are further described in the </w:t>
      </w:r>
      <w:r>
        <w:rPr>
          <w:rFonts w:ascii="Arial" w:cs="Arial" w:eastAsia="Arial" w:hAnsi="Arial"/>
          <w:sz w:val="13"/>
          <w:szCs w:val="13"/>
          <w:i w:val="1"/>
          <w:iCs w:val="1"/>
          <w:color w:val="auto"/>
        </w:rPr>
        <w:t>Auditor’s Responsibilities for the Review of the Half-year Financial Report</w:t>
      </w:r>
      <w:r>
        <w:rPr>
          <w:rFonts w:ascii="Arial" w:cs="Arial" w:eastAsia="Arial" w:hAnsi="Arial"/>
          <w:sz w:val="13"/>
          <w:szCs w:val="13"/>
          <w:color w:val="auto"/>
        </w:rPr>
        <w:t xml:space="preserve"> section of our report. We are independent of Opthea Limited in accordance with the ethical requirements of the Accounting Professional and Ethical Standards Board’s APES 110 </w:t>
      </w:r>
      <w:r>
        <w:rPr>
          <w:rFonts w:ascii="Arial" w:cs="Arial" w:eastAsia="Arial" w:hAnsi="Arial"/>
          <w:sz w:val="13"/>
          <w:szCs w:val="13"/>
          <w:i w:val="1"/>
          <w:iCs w:val="1"/>
          <w:color w:val="auto"/>
        </w:rPr>
        <w:t xml:space="preserve">Code of Ethics for Professional Accountants (including Independence Standards) </w:t>
      </w:r>
      <w:r>
        <w:rPr>
          <w:rFonts w:ascii="Arial" w:cs="Arial" w:eastAsia="Arial" w:hAnsi="Arial"/>
          <w:sz w:val="13"/>
          <w:szCs w:val="13"/>
          <w:color w:val="auto"/>
        </w:rPr>
        <w:t>(the Code) that are relevant to our audit of the annual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report in Australia. We have also fulfilled our other ethical responsibilities in accordance with the Code.</w:t>
      </w:r>
    </w:p>
    <w:p>
      <w:pPr>
        <w:spacing w:after="0" w:line="79" w:lineRule="exact"/>
        <w:rPr>
          <w:sz w:val="20"/>
          <w:szCs w:val="20"/>
          <w:color w:val="auto"/>
        </w:rPr>
      </w:pPr>
    </w:p>
    <w:p>
      <w:pPr>
        <w:jc w:val="both"/>
        <w:ind w:left="1880" w:right="840"/>
        <w:spacing w:after="0"/>
        <w:rPr>
          <w:sz w:val="20"/>
          <w:szCs w:val="20"/>
          <w:color w:val="auto"/>
        </w:rPr>
      </w:pPr>
      <w:r>
        <w:rPr>
          <w:rFonts w:ascii="Arial" w:cs="Arial" w:eastAsia="Arial" w:hAnsi="Arial"/>
          <w:sz w:val="13"/>
          <w:szCs w:val="13"/>
          <w:color w:val="auto"/>
        </w:rPr>
        <w:t xml:space="preserve">We confirm that the independence declaration required by the </w:t>
      </w:r>
      <w:r>
        <w:rPr>
          <w:rFonts w:ascii="Arial" w:cs="Arial" w:eastAsia="Arial" w:hAnsi="Arial"/>
          <w:sz w:val="13"/>
          <w:szCs w:val="13"/>
          <w:i w:val="1"/>
          <w:iCs w:val="1"/>
          <w:color w:val="auto"/>
        </w:rPr>
        <w:t>Corporations Act 2001</w:t>
      </w:r>
      <w:r>
        <w:rPr>
          <w:rFonts w:ascii="Arial" w:cs="Arial" w:eastAsia="Arial" w:hAnsi="Arial"/>
          <w:sz w:val="13"/>
          <w:szCs w:val="13"/>
          <w:color w:val="auto"/>
        </w:rPr>
        <w:t>, which has been given to the directors of the Company, would be in the same terms if given to the directors as at the time of this auditor’s review report.</w:t>
      </w:r>
    </w:p>
    <w:p>
      <w:pPr>
        <w:spacing w:after="0" w:line="187" w:lineRule="exact"/>
        <w:rPr>
          <w:sz w:val="20"/>
          <w:szCs w:val="20"/>
          <w:color w:val="auto"/>
        </w:rPr>
      </w:pPr>
    </w:p>
    <w:p>
      <w:pPr>
        <w:ind w:left="1880"/>
        <w:spacing w:after="0"/>
        <w:rPr>
          <w:sz w:val="20"/>
          <w:szCs w:val="20"/>
          <w:color w:val="auto"/>
        </w:rPr>
      </w:pPr>
      <w:r>
        <w:rPr>
          <w:rFonts w:ascii="Arial" w:cs="Arial" w:eastAsia="Arial" w:hAnsi="Arial"/>
          <w:sz w:val="13"/>
          <w:szCs w:val="13"/>
          <w:i w:val="1"/>
          <w:iCs w:val="1"/>
          <w:color w:val="auto"/>
        </w:rPr>
        <w:t>Directors’ Responsibilities for the Half-year Financial Report</w:t>
      </w:r>
    </w:p>
    <w:p>
      <w:pPr>
        <w:spacing w:after="0" w:line="214" w:lineRule="exact"/>
        <w:rPr>
          <w:sz w:val="20"/>
          <w:szCs w:val="20"/>
          <w:color w:val="auto"/>
        </w:rPr>
      </w:pPr>
    </w:p>
    <w:p>
      <w:pPr>
        <w:jc w:val="both"/>
        <w:ind w:left="1880" w:right="820"/>
        <w:spacing w:after="0" w:line="246" w:lineRule="auto"/>
        <w:rPr>
          <w:sz w:val="20"/>
          <w:szCs w:val="20"/>
          <w:color w:val="auto"/>
        </w:rPr>
      </w:pPr>
      <w:r>
        <w:rPr>
          <w:rFonts w:ascii="Arial" w:cs="Arial" w:eastAsia="Arial" w:hAnsi="Arial"/>
          <w:sz w:val="12"/>
          <w:szCs w:val="12"/>
          <w:color w:val="auto"/>
        </w:rPr>
        <w:t xml:space="preserve">The directors of the Company are responsible for the preparation of the half-year financial report that gives a true and fair view in accordance with Australian Accounting Standards and the </w:t>
      </w:r>
      <w:r>
        <w:rPr>
          <w:rFonts w:ascii="Arial" w:cs="Arial" w:eastAsia="Arial" w:hAnsi="Arial"/>
          <w:sz w:val="12"/>
          <w:szCs w:val="12"/>
          <w:i w:val="1"/>
          <w:iCs w:val="1"/>
          <w:color w:val="auto"/>
        </w:rPr>
        <w:t>Corporations Act 2001</w:t>
      </w:r>
      <w:r>
        <w:rPr>
          <w:rFonts w:ascii="Arial" w:cs="Arial" w:eastAsia="Arial" w:hAnsi="Arial"/>
          <w:sz w:val="12"/>
          <w:szCs w:val="12"/>
          <w:color w:val="auto"/>
        </w:rPr>
        <w:t xml:space="preserve"> and for such internal control as the directors determine is necessary to enable the preparation of the half-year financial report that gives a true and fair view and is free from material misstatement, whether due to fraud or error.</w:t>
      </w:r>
    </w:p>
    <w:p>
      <w:pPr>
        <w:spacing w:after="0" w:line="199" w:lineRule="exact"/>
        <w:rPr>
          <w:sz w:val="20"/>
          <w:szCs w:val="20"/>
          <w:color w:val="auto"/>
        </w:rPr>
      </w:pPr>
    </w:p>
    <w:p>
      <w:pPr>
        <w:ind w:left="1880"/>
        <w:spacing w:after="0"/>
        <w:rPr>
          <w:sz w:val="20"/>
          <w:szCs w:val="20"/>
          <w:color w:val="auto"/>
        </w:rPr>
      </w:pPr>
      <w:r>
        <w:rPr>
          <w:rFonts w:ascii="Arial" w:cs="Arial" w:eastAsia="Arial" w:hAnsi="Arial"/>
          <w:sz w:val="11"/>
          <w:szCs w:val="11"/>
          <w:color w:val="auto"/>
        </w:rPr>
        <w:t>Liability limited by a scheme approved under Professional Standards Legislation</w:t>
      </w:r>
    </w:p>
    <w:p>
      <w:pPr>
        <w:spacing w:after="0" w:line="103" w:lineRule="exact"/>
        <w:rPr>
          <w:sz w:val="20"/>
          <w:szCs w:val="20"/>
          <w:color w:val="auto"/>
        </w:rPr>
      </w:pPr>
    </w:p>
    <w:p>
      <w:pPr>
        <w:ind w:left="1880"/>
        <w:spacing w:after="0"/>
        <w:rPr>
          <w:sz w:val="20"/>
          <w:szCs w:val="20"/>
          <w:color w:val="auto"/>
        </w:rPr>
      </w:pPr>
      <w:r>
        <w:rPr>
          <w:rFonts w:ascii="Arial" w:cs="Arial" w:eastAsia="Arial" w:hAnsi="Arial"/>
          <w:sz w:val="11"/>
          <w:szCs w:val="11"/>
          <w:color w:val="auto"/>
        </w:rPr>
        <w:t>Member of Deloitte Asia Pacific Limited and the Deloitte organisation.</w:t>
      </w:r>
    </w:p>
    <w:p>
      <w:pPr>
        <w:sectPr>
          <w:pgSz w:w="11900" w:h="16838" w:orient="portrait"/>
          <w:cols w:equalWidth="0" w:num="1">
            <w:col w:w="11020"/>
          </w:cols>
          <w:pgMar w:left="440" w:top="644" w:right="439" w:bottom="1440" w:gutter="0" w:footer="0" w:header="0"/>
          <w:type w:val="continuous"/>
        </w:sectPr>
      </w:pPr>
    </w:p>
    <w:bookmarkStart w:id="25" w:name="page26"/>
    <w:bookmarkEnd w:id="25"/>
    <w:p>
      <w:pPr>
        <w:ind w:left="560"/>
        <w:spacing w:after="0"/>
        <w:rPr>
          <w:sz w:val="20"/>
          <w:szCs w:val="20"/>
          <w:color w:val="auto"/>
        </w:rPr>
      </w:pPr>
      <w:r>
        <w:rPr>
          <w:rFonts w:ascii="Arial" w:cs="Arial" w:eastAsia="Arial" w:hAnsi="Arial"/>
          <w:sz w:val="13"/>
          <w:szCs w:val="13"/>
          <w:color w:val="00AFB7"/>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282575"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575" cy="8572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36"/>
          <w:szCs w:val="36"/>
          <w:color w:val="00AFB7"/>
        </w:rPr>
        <w:t xml:space="preserve">INDEPENDENT AUDITOR’S REVIEW REPORT </w:t>
      </w:r>
      <w:r>
        <w:rPr>
          <w:rFonts w:ascii="Arial" w:cs="Arial" w:eastAsia="Arial" w:hAnsi="Arial"/>
          <w:sz w:val="23"/>
          <w:szCs w:val="23"/>
          <w:color w:val="00AFB7"/>
        </w:rPr>
        <w:t>(CONT.)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405130</wp:posOffset>
            </wp:positionV>
            <wp:extent cx="6021705" cy="34156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21705" cy="3415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540"/>
        <w:spacing w:after="0"/>
        <w:rPr>
          <w:sz w:val="20"/>
          <w:szCs w:val="20"/>
          <w:color w:val="auto"/>
        </w:rPr>
      </w:pPr>
      <w:r>
        <w:rPr>
          <w:rFonts w:ascii="Arial" w:cs="Arial" w:eastAsia="Arial" w:hAnsi="Arial"/>
          <w:sz w:val="13"/>
          <w:szCs w:val="13"/>
          <w:i w:val="1"/>
          <w:iCs w:val="1"/>
          <w:color w:val="auto"/>
        </w:rPr>
        <w:t>Auditor’s Responsibilities for the Review of the Half-year Financial Report</w:t>
      </w:r>
    </w:p>
    <w:p>
      <w:pPr>
        <w:spacing w:after="0" w:line="106" w:lineRule="exact"/>
        <w:rPr>
          <w:sz w:val="20"/>
          <w:szCs w:val="20"/>
          <w:color w:val="auto"/>
        </w:rPr>
      </w:pPr>
    </w:p>
    <w:p>
      <w:pPr>
        <w:jc w:val="both"/>
        <w:ind w:left="1540"/>
        <w:spacing w:after="0" w:line="223" w:lineRule="auto"/>
        <w:rPr>
          <w:sz w:val="20"/>
          <w:szCs w:val="20"/>
          <w:color w:val="auto"/>
        </w:rPr>
      </w:pPr>
      <w:r>
        <w:rPr>
          <w:rFonts w:ascii="Arial" w:cs="Arial" w:eastAsia="Arial" w:hAnsi="Arial"/>
          <w:sz w:val="13"/>
          <w:szCs w:val="13"/>
          <w:color w:val="auto"/>
        </w:rPr>
        <w:t xml:space="preserve">Our responsibility is to express a conclusion on the half-year financial report based on our review. ASRE 2410 requires us to conclude whether we have become aware of any matter that makes us believe that the half-year financial report is not in accordance with the </w:t>
      </w:r>
      <w:r>
        <w:rPr>
          <w:rFonts w:ascii="Arial" w:cs="Arial" w:eastAsia="Arial" w:hAnsi="Arial"/>
          <w:sz w:val="13"/>
          <w:szCs w:val="13"/>
          <w:i w:val="1"/>
          <w:iCs w:val="1"/>
          <w:color w:val="auto"/>
        </w:rPr>
        <w:t>Corporations Act 2001</w:t>
      </w:r>
      <w:r>
        <w:rPr>
          <w:rFonts w:ascii="Arial" w:cs="Arial" w:eastAsia="Arial" w:hAnsi="Arial"/>
          <w:sz w:val="13"/>
          <w:szCs w:val="13"/>
          <w:color w:val="auto"/>
        </w:rPr>
        <w:t xml:space="preserve"> including giving a true and fair view of the Group’s financial position as at 31 December 2020 and its performance for the half-year ended on that date, and complying with Accounting Standard AASB 134 </w:t>
      </w:r>
      <w:r>
        <w:rPr>
          <w:rFonts w:ascii="Arial" w:cs="Arial" w:eastAsia="Arial" w:hAnsi="Arial"/>
          <w:sz w:val="13"/>
          <w:szCs w:val="13"/>
          <w:i w:val="1"/>
          <w:iCs w:val="1"/>
          <w:color w:val="auto"/>
        </w:rPr>
        <w:t>Interim Financial Reporting</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Corporations Regulations 2001.</w:t>
      </w:r>
    </w:p>
    <w:p>
      <w:pPr>
        <w:spacing w:after="0" w:line="92" w:lineRule="exact"/>
        <w:rPr>
          <w:sz w:val="20"/>
          <w:szCs w:val="20"/>
          <w:color w:val="auto"/>
        </w:rPr>
      </w:pPr>
    </w:p>
    <w:p>
      <w:pPr>
        <w:jc w:val="both"/>
        <w:ind w:left="1540"/>
        <w:spacing w:after="0" w:line="223" w:lineRule="auto"/>
        <w:rPr>
          <w:sz w:val="20"/>
          <w:szCs w:val="20"/>
          <w:color w:val="auto"/>
        </w:rPr>
      </w:pPr>
      <w:r>
        <w:rPr>
          <w:rFonts w:ascii="Arial" w:cs="Arial" w:eastAsia="Arial" w:hAnsi="Arial"/>
          <w:sz w:val="13"/>
          <w:szCs w:val="13"/>
          <w:color w:val="auto"/>
        </w:rPr>
        <w:t>A review of a half-year financial report consists of making enquiries, primarily of persons responsible for financial and accounting matters, and applying analytical and other review procedures. A review is substantially less in scope than an audit conducted in accordance with Australian Auditing Standards and consequently does not enable us to obtain assurance that we would become aware of all significant matters that might be identified in an audit. Accordingly, we do not express an audit opinion.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540"/>
        <w:spacing w:after="0"/>
        <w:rPr>
          <w:sz w:val="20"/>
          <w:szCs w:val="20"/>
          <w:color w:val="auto"/>
        </w:rPr>
      </w:pPr>
      <w:r>
        <w:rPr>
          <w:rFonts w:ascii="Arial" w:cs="Arial" w:eastAsia="Arial" w:hAnsi="Arial"/>
          <w:sz w:val="13"/>
          <w:szCs w:val="13"/>
          <w:b w:val="1"/>
          <w:bCs w:val="1"/>
          <w:color w:val="auto"/>
        </w:rPr>
        <w:t xml:space="preserve">DELOITTE </w:t>
      </w:r>
      <w:r>
        <w:rPr>
          <w:rFonts w:ascii="Arial" w:cs="Arial" w:eastAsia="Arial" w:hAnsi="Arial"/>
          <w:sz w:val="13"/>
          <w:szCs w:val="13"/>
          <w:color w:val="auto"/>
        </w:rPr>
        <w:t>TOUCHE TOHMATSU</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540"/>
        <w:spacing w:after="0"/>
        <w:rPr>
          <w:sz w:val="20"/>
          <w:szCs w:val="20"/>
          <w:color w:val="auto"/>
        </w:rPr>
      </w:pPr>
      <w:r>
        <w:rPr>
          <w:rFonts w:ascii="Arial" w:cs="Arial" w:eastAsia="Arial" w:hAnsi="Arial"/>
          <w:sz w:val="13"/>
          <w:szCs w:val="13"/>
          <w:color w:val="auto"/>
        </w:rPr>
        <w:t>Vincent Snijders</w:t>
      </w:r>
    </w:p>
    <w:p>
      <w:pPr>
        <w:ind w:left="1540"/>
        <w:spacing w:after="0" w:line="216" w:lineRule="auto"/>
        <w:rPr>
          <w:sz w:val="20"/>
          <w:szCs w:val="20"/>
          <w:color w:val="auto"/>
        </w:rPr>
      </w:pPr>
      <w:r>
        <w:rPr>
          <w:rFonts w:ascii="Arial" w:cs="Arial" w:eastAsia="Arial" w:hAnsi="Arial"/>
          <w:sz w:val="13"/>
          <w:szCs w:val="13"/>
          <w:color w:val="auto"/>
        </w:rPr>
        <w:t>Partner</w:t>
      </w:r>
    </w:p>
    <w:p>
      <w:pPr>
        <w:ind w:left="1540"/>
        <w:spacing w:after="0" w:line="217" w:lineRule="auto"/>
        <w:rPr>
          <w:sz w:val="20"/>
          <w:szCs w:val="20"/>
          <w:color w:val="auto"/>
        </w:rPr>
      </w:pPr>
      <w:r>
        <w:rPr>
          <w:rFonts w:ascii="Arial" w:cs="Arial" w:eastAsia="Arial" w:hAnsi="Arial"/>
          <w:sz w:val="13"/>
          <w:szCs w:val="13"/>
          <w:color w:val="auto"/>
        </w:rPr>
        <w:t>Chartered Accountants</w:t>
      </w:r>
    </w:p>
    <w:p>
      <w:pPr>
        <w:ind w:left="1540"/>
        <w:spacing w:after="0"/>
        <w:rPr>
          <w:sz w:val="20"/>
          <w:szCs w:val="20"/>
          <w:color w:val="auto"/>
        </w:rPr>
      </w:pPr>
      <w:r>
        <w:rPr>
          <w:rFonts w:ascii="Arial" w:cs="Arial" w:eastAsia="Arial" w:hAnsi="Arial"/>
          <w:sz w:val="13"/>
          <w:szCs w:val="13"/>
          <w:color w:val="auto"/>
        </w:rPr>
        <w:t>Perth, 22 February 2021</w:t>
      </w:r>
    </w:p>
    <w:p>
      <w:pPr>
        <w:sectPr>
          <w:pgSz w:w="11900" w:h="16838" w:orient="portrait"/>
          <w:cols w:equalWidth="0" w:num="1">
            <w:col w:w="10040"/>
          </w:cols>
          <w:pgMar w:left="440" w:top="282" w:right="1419" w:bottom="1440"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4"/>
    </w:lvl>
  </w:abstractNum>
  <w:abstractNum w:abstractNumId="9">
    <w:nsid w:val="1F16E9E8"/>
    <w:multiLevelType w:val="hybridMultilevel"/>
    <w:lvl w:ilvl="0">
      <w:lvlJc w:val="left"/>
      <w:lvlText w:val="%1."/>
      <w:numFmt w:val="decimal"/>
      <w:start w:val="1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2021-02-22T05:14:43Z</dcterms:created>
  <dcterms:modified xsi:type="dcterms:W3CDTF">2021-02-22T05:14:43Z</dcterms:modified>
</cp:coreProperties>
</file>