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171450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2700655</wp:posOffset>
            </wp:positionH>
            <wp:positionV relativeFrom="paragraph">
              <wp:posOffset>78740</wp:posOffset>
            </wp:positionV>
            <wp:extent cx="1741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20-F</w:t>
      </w:r>
    </w:p>
    <w:p>
      <w:pPr>
        <w:spacing w:after="0" w:line="146" w:lineRule="exact"/>
        <w:rPr>
          <w:sz w:val="24"/>
          <w:szCs w:val="24"/>
          <w:color w:val="auto"/>
        </w:rPr>
      </w:pPr>
    </w:p>
    <w:p>
      <w:pPr>
        <w:ind w:left="5520" w:right="3260" w:hanging="5516"/>
        <w:spacing w:after="0" w:line="279" w:lineRule="auto"/>
        <w:tabs>
          <w:tab w:leader="none" w:pos="44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REGISTRATION STATEMENT PURSUANT TO SECTION 12(b) OR (g) OF THE SECURITIES EXCHANGE ACT OF 1934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2700655</wp:posOffset>
            </wp:positionH>
            <wp:positionV relativeFrom="paragraph">
              <wp:posOffset>-239395</wp:posOffset>
            </wp:positionV>
            <wp:extent cx="1741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ind w:left="4480" w:right="4040" w:hanging="4476"/>
        <w:spacing w:after="0" w:line="295" w:lineRule="auto"/>
        <w:tabs>
          <w:tab w:leader="none" w:pos="452"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ANNUAL REPORT PURSUANT TO SECTION 13 OR 15(d) OF THE SECURITIES EXCHANGE ACT OF 1934 For the fiscal year ended </w:t>
      </w:r>
      <w:r>
        <w:rPr>
          <w:rFonts w:ascii="Arial" w:cs="Arial" w:eastAsia="Arial" w:hAnsi="Arial"/>
          <w:sz w:val="13"/>
          <w:szCs w:val="13"/>
          <w:b w:val="1"/>
          <w:bCs w:val="1"/>
          <w:u w:val="single" w:color="auto"/>
          <w:color w:val="auto"/>
        </w:rPr>
        <w:t>June 30, 2021</w:t>
      </w:r>
    </w:p>
    <w:p>
      <w:pPr>
        <w:jc w:val="center"/>
        <w:spacing w:after="0"/>
        <w:rPr>
          <w:sz w:val="20"/>
          <w:szCs w:val="20"/>
          <w:color w:val="auto"/>
        </w:rPr>
      </w:pPr>
      <w:r>
        <w:rPr>
          <w:rFonts w:ascii="Arial" w:cs="Arial" w:eastAsia="Arial" w:hAnsi="Arial"/>
          <w:sz w:val="17"/>
          <w:szCs w:val="17"/>
          <w:b w:val="1"/>
          <w:bCs w:val="1"/>
          <w:color w:val="auto"/>
        </w:rPr>
        <w:t>OR</w:t>
      </w:r>
    </w:p>
    <w:p>
      <w:pPr>
        <w:spacing w:after="0" w:line="60" w:lineRule="exact"/>
        <w:rPr>
          <w:sz w:val="24"/>
          <w:szCs w:val="24"/>
          <w:color w:val="auto"/>
        </w:rPr>
      </w:pPr>
    </w:p>
    <w:p>
      <w:pPr>
        <w:ind w:left="5520" w:right="3740" w:hanging="5516"/>
        <w:spacing w:after="0" w:line="269" w:lineRule="auto"/>
        <w:tabs>
          <w:tab w:leader="none" w:pos="446" w:val="left"/>
        </w:tabs>
        <w:numPr>
          <w:ilvl w:val="0"/>
          <w:numId w:val="3"/>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OR</w:t>
      </w:r>
    </w:p>
    <w:p>
      <w:pPr>
        <w:spacing w:after="0" w:line="15" w:lineRule="exact"/>
        <w:rPr>
          <w:rFonts w:ascii="MS PGothic" w:cs="MS PGothic" w:eastAsia="MS PGothic" w:hAnsi="MS PGothic"/>
          <w:sz w:val="14"/>
          <w:szCs w:val="14"/>
          <w:color w:val="auto"/>
          <w:highlight w:val="black"/>
        </w:rPr>
      </w:pPr>
    </w:p>
    <w:p>
      <w:pPr>
        <w:ind w:left="440" w:hanging="436"/>
        <w:spacing w:after="0"/>
        <w:tabs>
          <w:tab w:leader="none" w:pos="440" w:val="left"/>
        </w:tabs>
        <w:numPr>
          <w:ilvl w:val="0"/>
          <w:numId w:val="3"/>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SHELL COMPANY REPORT PURSUANT TO SECTION 13 OR 15(d) OF THE SECURITIES EXCHANGE ACT OF 1934</w:t>
      </w:r>
    </w:p>
    <w:p>
      <w:pPr>
        <w:spacing w:after="0" w:line="38" w:lineRule="exact"/>
        <w:rPr>
          <w:rFonts w:ascii="MS PGothic" w:cs="MS PGothic" w:eastAsia="MS PGothic" w:hAnsi="MS PGothic"/>
          <w:sz w:val="14"/>
          <w:szCs w:val="14"/>
          <w:color w:val="auto"/>
          <w:highlight w:val="black"/>
        </w:rPr>
      </w:pPr>
    </w:p>
    <w:p>
      <w:pPr>
        <w:ind w:left="3920"/>
        <w:spacing w:after="0"/>
        <w:rPr>
          <w:rFonts w:ascii="MS PGothic" w:cs="MS PGothic" w:eastAsia="MS PGothic" w:hAnsi="MS PGothic"/>
          <w:sz w:val="14"/>
          <w:szCs w:val="14"/>
          <w:color w:val="auto"/>
          <w:highlight w:val="black"/>
        </w:rPr>
      </w:pPr>
      <w:r>
        <w:rPr>
          <w:rFonts w:ascii="Arial" w:cs="Arial" w:eastAsia="Arial" w:hAnsi="Arial"/>
          <w:sz w:val="12"/>
          <w:szCs w:val="12"/>
          <w:b w:val="1"/>
          <w:bCs w:val="1"/>
          <w:color w:val="auto"/>
        </w:rPr>
        <w:t>Date of event requiring this shell company report ______________</w:t>
      </w:r>
    </w:p>
    <w:p>
      <w:pPr>
        <w:spacing w:after="0" w:line="43" w:lineRule="exact"/>
        <w:rPr>
          <w:rFonts w:ascii="MS PGothic" w:cs="MS PGothic" w:eastAsia="MS PGothic" w:hAnsi="MS PGothic"/>
          <w:sz w:val="14"/>
          <w:szCs w:val="14"/>
          <w:color w:val="auto"/>
          <w:highlight w:val="black"/>
        </w:rPr>
      </w:pPr>
    </w:p>
    <w:p>
      <w:pPr>
        <w:ind w:left="3900"/>
        <w:spacing w:after="0"/>
        <w:rPr>
          <w:rFonts w:ascii="MS PGothic" w:cs="MS PGothic" w:eastAsia="MS PGothic" w:hAnsi="MS PGothic"/>
          <w:sz w:val="14"/>
          <w:szCs w:val="14"/>
          <w:color w:val="auto"/>
          <w:highlight w:val="black"/>
        </w:rPr>
      </w:pPr>
      <w:r>
        <w:rPr>
          <w:rFonts w:ascii="Arial" w:cs="Arial" w:eastAsia="Arial" w:hAnsi="Arial"/>
          <w:sz w:val="12"/>
          <w:szCs w:val="12"/>
          <w:b w:val="1"/>
          <w:bCs w:val="1"/>
          <w:color w:val="auto"/>
        </w:rPr>
        <w:t>For the transition period from ______________ to ______________</w:t>
      </w:r>
    </w:p>
    <w:p>
      <w:pPr>
        <w:spacing w:after="0" w:line="43" w:lineRule="exact"/>
        <w:rPr>
          <w:rFonts w:ascii="MS PGothic" w:cs="MS PGothic" w:eastAsia="MS PGothic" w:hAnsi="MS PGothic"/>
          <w:sz w:val="14"/>
          <w:szCs w:val="14"/>
          <w:color w:val="auto"/>
          <w:highlight w:val="black"/>
        </w:rPr>
      </w:pPr>
    </w:p>
    <w:p>
      <w:pPr>
        <w:ind w:left="4680"/>
        <w:spacing w:after="0"/>
        <w:rPr>
          <w:rFonts w:ascii="MS PGothic" w:cs="MS PGothic" w:eastAsia="MS PGothic" w:hAnsi="MS PGothic"/>
          <w:sz w:val="14"/>
          <w:szCs w:val="14"/>
          <w:color w:val="auto"/>
          <w:highlight w:val="black"/>
        </w:rPr>
      </w:pPr>
      <w:r>
        <w:rPr>
          <w:rFonts w:ascii="Arial" w:cs="Arial" w:eastAsia="Arial" w:hAnsi="Arial"/>
          <w:sz w:val="12"/>
          <w:szCs w:val="12"/>
          <w:b w:val="1"/>
          <w:bCs w:val="1"/>
          <w:color w:val="auto"/>
        </w:rPr>
        <w:t>Commission file number: 001-39621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OPTHEA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2700655</wp:posOffset>
            </wp:positionH>
            <wp:positionV relativeFrom="paragraph">
              <wp:posOffset>-143510</wp:posOffset>
            </wp:positionV>
            <wp:extent cx="1741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u w:val="single" w:color="auto"/>
          <w:color w:val="auto"/>
        </w:rPr>
        <w:t>(Exact name of Registrant as specified in its charter)</w:t>
      </w:r>
    </w:p>
    <w:p>
      <w:pPr>
        <w:spacing w:after="0" w:line="61" w:lineRule="exact"/>
        <w:rPr>
          <w:sz w:val="24"/>
          <w:szCs w:val="24"/>
          <w:color w:val="auto"/>
        </w:rPr>
      </w:pPr>
    </w:p>
    <w:p>
      <w:pPr>
        <w:ind w:left="5520"/>
        <w:spacing w:after="0"/>
        <w:rPr>
          <w:sz w:val="20"/>
          <w:szCs w:val="20"/>
          <w:color w:val="auto"/>
        </w:rPr>
      </w:pPr>
      <w:r>
        <w:rPr>
          <w:rFonts w:ascii="Arial" w:cs="Arial" w:eastAsia="Arial" w:hAnsi="Arial"/>
          <w:sz w:val="13"/>
          <w:szCs w:val="13"/>
          <w:b w:val="1"/>
          <w:bCs w:val="1"/>
          <w:color w:val="auto"/>
        </w:rPr>
        <w:t>N/A</w:t>
      </w:r>
    </w:p>
    <w:p>
      <w:pPr>
        <w:spacing w:after="0" w:line="45" w:lineRule="exact"/>
        <w:rPr>
          <w:sz w:val="24"/>
          <w:szCs w:val="24"/>
          <w:color w:val="auto"/>
        </w:rPr>
      </w:pPr>
    </w:p>
    <w:p>
      <w:pPr>
        <w:ind w:left="4320"/>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45" w:lineRule="exact"/>
        <w:rPr>
          <w:sz w:val="24"/>
          <w:szCs w:val="24"/>
          <w:color w:val="auto"/>
        </w:rPr>
      </w:pPr>
    </w:p>
    <w:p>
      <w:pPr>
        <w:ind w:left="5240"/>
        <w:spacing w:after="0"/>
        <w:rPr>
          <w:sz w:val="20"/>
          <w:szCs w:val="20"/>
          <w:color w:val="auto"/>
        </w:rPr>
      </w:pPr>
      <w:r>
        <w:rPr>
          <w:rFonts w:ascii="Arial" w:cs="Arial" w:eastAsia="Arial" w:hAnsi="Arial"/>
          <w:sz w:val="13"/>
          <w:szCs w:val="13"/>
          <w:b w:val="1"/>
          <w:bCs w:val="1"/>
          <w:color w:val="auto"/>
        </w:rPr>
        <w:t>AUSTRALIA</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45" w:lineRule="exact"/>
        <w:rPr>
          <w:sz w:val="24"/>
          <w:szCs w:val="24"/>
          <w:color w:val="auto"/>
        </w:rPr>
      </w:pPr>
    </w:p>
    <w:p>
      <w:pPr>
        <w:ind w:left="5420"/>
        <w:spacing w:after="0"/>
        <w:rPr>
          <w:sz w:val="20"/>
          <w:szCs w:val="20"/>
          <w:color w:val="auto"/>
        </w:rPr>
      </w:pPr>
      <w:r>
        <w:rPr>
          <w:rFonts w:ascii="Arial" w:cs="Arial" w:eastAsia="Arial" w:hAnsi="Arial"/>
          <w:sz w:val="13"/>
          <w:szCs w:val="13"/>
          <w:b w:val="1"/>
          <w:bCs w:val="1"/>
          <w:color w:val="auto"/>
        </w:rPr>
        <w:t>Level 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650 Chapel Street</w:t>
      </w:r>
    </w:p>
    <w:p>
      <w:pPr>
        <w:jc w:val="center"/>
        <w:spacing w:after="0" w:line="229" w:lineRule="auto"/>
        <w:rPr>
          <w:sz w:val="20"/>
          <w:szCs w:val="20"/>
          <w:color w:val="auto"/>
        </w:rPr>
      </w:pPr>
      <w:r>
        <w:rPr>
          <w:rFonts w:ascii="Arial" w:cs="Arial" w:eastAsia="Arial" w:hAnsi="Arial"/>
          <w:sz w:val="13"/>
          <w:szCs w:val="13"/>
          <w:b w:val="1"/>
          <w:bCs w:val="1"/>
          <w:color w:val="auto"/>
        </w:rPr>
        <w:t>South Yarra, Victoria 3141</w:t>
      </w:r>
    </w:p>
    <w:p>
      <w:pPr>
        <w:jc w:val="center"/>
        <w:spacing w:after="0" w:line="229" w:lineRule="auto"/>
        <w:rPr>
          <w:sz w:val="20"/>
          <w:szCs w:val="20"/>
          <w:color w:val="auto"/>
        </w:rPr>
      </w:pPr>
      <w:r>
        <w:rPr>
          <w:rFonts w:ascii="Arial" w:cs="Arial" w:eastAsia="Arial" w:hAnsi="Arial"/>
          <w:sz w:val="13"/>
          <w:szCs w:val="13"/>
          <w:b w:val="1"/>
          <w:bCs w:val="1"/>
          <w:color w:val="auto"/>
        </w:rPr>
        <w:t>Australia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+ 61 3 9826 0399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Corporation Service Company</w:t>
      </w:r>
    </w:p>
    <w:p>
      <w:pPr>
        <w:jc w:val="center"/>
        <w:spacing w:after="0" w:line="229" w:lineRule="auto"/>
        <w:rPr>
          <w:sz w:val="20"/>
          <w:szCs w:val="20"/>
          <w:color w:val="auto"/>
        </w:rPr>
      </w:pPr>
      <w:r>
        <w:rPr>
          <w:rFonts w:ascii="Arial" w:cs="Arial" w:eastAsia="Arial" w:hAnsi="Arial"/>
          <w:sz w:val="13"/>
          <w:szCs w:val="13"/>
          <w:b w:val="1"/>
          <w:bCs w:val="1"/>
          <w:color w:val="auto"/>
        </w:rPr>
        <w:t>1180 Avenue of the Americas, Suite 210</w:t>
      </w:r>
    </w:p>
    <w:p>
      <w:pPr>
        <w:jc w:val="center"/>
        <w:spacing w:after="0"/>
        <w:rPr>
          <w:sz w:val="20"/>
          <w:szCs w:val="20"/>
          <w:color w:val="auto"/>
        </w:rPr>
      </w:pPr>
      <w:r>
        <w:rPr>
          <w:rFonts w:ascii="Arial" w:cs="Arial" w:eastAsia="Arial" w:hAnsi="Arial"/>
          <w:sz w:val="13"/>
          <w:szCs w:val="13"/>
          <w:b w:val="1"/>
          <w:bCs w:val="1"/>
          <w:color w:val="auto"/>
        </w:rPr>
        <w:t>New York, New York 10036</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Telephone, E-mail and/or Facsimile number and Address of Agent for Service)</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3440" w:type="dxa"/>
            <w:vAlign w:val="bottom"/>
          </w:tcPr>
          <w:p>
            <w:pPr>
              <w:jc w:val="center"/>
              <w:ind w:right="955"/>
              <w:spacing w:after="0"/>
              <w:rPr>
                <w:sz w:val="20"/>
                <w:szCs w:val="20"/>
                <w:color w:val="auto"/>
              </w:rPr>
            </w:pPr>
            <w:r>
              <w:rPr>
                <w:rFonts w:ascii="Arial" w:cs="Arial" w:eastAsia="Arial" w:hAnsi="Arial"/>
                <w:sz w:val="13"/>
                <w:szCs w:val="13"/>
                <w:b w:val="1"/>
                <w:bCs w:val="1"/>
                <w:color w:val="auto"/>
                <w:w w:val="92"/>
              </w:rPr>
              <w:t>Dr Megan Baldwin +61 3 9826 0399</w:t>
            </w:r>
          </w:p>
        </w:tc>
        <w:tc>
          <w:tcPr>
            <w:tcW w:w="3380" w:type="dxa"/>
            <w:vAlign w:val="bottom"/>
          </w:tcPr>
          <w:p>
            <w:pPr>
              <w:spacing w:after="0"/>
              <w:rPr>
                <w:sz w:val="14"/>
                <w:szCs w:val="14"/>
                <w:color w:val="auto"/>
              </w:rPr>
            </w:pPr>
          </w:p>
        </w:tc>
      </w:tr>
      <w:tr>
        <w:trPr>
          <w:trHeight w:val="195"/>
        </w:trPr>
        <w:tc>
          <w:tcPr>
            <w:tcW w:w="4420" w:type="dxa"/>
            <w:vAlign w:val="bottom"/>
          </w:tcPr>
          <w:p>
            <w:pPr>
              <w:spacing w:after="0"/>
              <w:rPr>
                <w:sz w:val="16"/>
                <w:szCs w:val="16"/>
                <w:color w:val="auto"/>
              </w:rPr>
            </w:pPr>
          </w:p>
        </w:tc>
        <w:tc>
          <w:tcPr>
            <w:tcW w:w="3440" w:type="dxa"/>
            <w:vAlign w:val="bottom"/>
          </w:tcPr>
          <w:p>
            <w:pPr>
              <w:jc w:val="center"/>
              <w:ind w:right="955"/>
              <w:spacing w:after="0"/>
              <w:rPr>
                <w:sz w:val="20"/>
                <w:szCs w:val="20"/>
                <w:color w:val="auto"/>
              </w:rPr>
            </w:pPr>
            <w:r>
              <w:rPr>
                <w:rFonts w:ascii="Arial" w:cs="Arial" w:eastAsia="Arial" w:hAnsi="Arial"/>
                <w:sz w:val="13"/>
                <w:szCs w:val="13"/>
                <w:b w:val="1"/>
                <w:bCs w:val="1"/>
                <w:color w:val="auto"/>
                <w:w w:val="89"/>
              </w:rPr>
              <w:t>info@opthea.com</w:t>
            </w:r>
          </w:p>
        </w:tc>
        <w:tc>
          <w:tcPr>
            <w:tcW w:w="3380" w:type="dxa"/>
            <w:vAlign w:val="bottom"/>
          </w:tcPr>
          <w:p>
            <w:pPr>
              <w:spacing w:after="0"/>
              <w:rPr>
                <w:sz w:val="16"/>
                <w:szCs w:val="16"/>
                <w:color w:val="auto"/>
              </w:rPr>
            </w:pPr>
          </w:p>
        </w:tc>
      </w:tr>
      <w:tr>
        <w:trPr>
          <w:trHeight w:val="195"/>
        </w:trPr>
        <w:tc>
          <w:tcPr>
            <w:tcW w:w="7860" w:type="dxa"/>
            <w:vAlign w:val="bottom"/>
            <w:gridSpan w:val="2"/>
          </w:tcPr>
          <w:p>
            <w:pPr>
              <w:jc w:val="center"/>
              <w:ind w:left="3315"/>
              <w:spacing w:after="0"/>
              <w:rPr>
                <w:sz w:val="20"/>
                <w:szCs w:val="20"/>
                <w:color w:val="auto"/>
              </w:rPr>
            </w:pPr>
            <w:r>
              <w:rPr>
                <w:rFonts w:ascii="Arial" w:cs="Arial" w:eastAsia="Arial" w:hAnsi="Arial"/>
                <w:sz w:val="13"/>
                <w:szCs w:val="13"/>
                <w:b w:val="1"/>
                <w:bCs w:val="1"/>
                <w:color w:val="auto"/>
                <w:w w:val="88"/>
              </w:rPr>
              <w:t>Securities registered or to be registered pursuant to Section 12(b) of the Act.</w:t>
            </w:r>
          </w:p>
        </w:tc>
        <w:tc>
          <w:tcPr>
            <w:tcW w:w="3380" w:type="dxa"/>
            <w:vAlign w:val="bottom"/>
          </w:tcPr>
          <w:p>
            <w:pPr>
              <w:spacing w:after="0"/>
              <w:rPr>
                <w:sz w:val="16"/>
                <w:szCs w:val="16"/>
                <w:color w:val="auto"/>
              </w:rPr>
            </w:pPr>
          </w:p>
        </w:tc>
      </w:tr>
      <w:tr>
        <w:trPr>
          <w:trHeight w:val="208"/>
        </w:trPr>
        <w:tc>
          <w:tcPr>
            <w:tcW w:w="4420" w:type="dxa"/>
            <w:vAlign w:val="bottom"/>
            <w:tcBorders>
              <w:bottom w:val="single" w:sz="8" w:color="auto"/>
            </w:tcBorders>
          </w:tcPr>
          <w:p>
            <w:pPr>
              <w:jc w:val="center"/>
              <w:ind w:left="355"/>
              <w:spacing w:after="0"/>
              <w:rPr>
                <w:sz w:val="20"/>
                <w:szCs w:val="20"/>
                <w:color w:val="auto"/>
              </w:rPr>
            </w:pPr>
            <w:r>
              <w:rPr>
                <w:rFonts w:ascii="Arial" w:cs="Arial" w:eastAsia="Arial" w:hAnsi="Arial"/>
                <w:sz w:val="13"/>
                <w:szCs w:val="13"/>
                <w:b w:val="1"/>
                <w:bCs w:val="1"/>
                <w:color w:val="auto"/>
                <w:w w:val="85"/>
              </w:rPr>
              <w:t>Title of each class</w:t>
            </w:r>
          </w:p>
        </w:tc>
        <w:tc>
          <w:tcPr>
            <w:tcW w:w="3440" w:type="dxa"/>
            <w:vAlign w:val="bottom"/>
            <w:tcBorders>
              <w:bottom w:val="single" w:sz="8" w:color="auto"/>
            </w:tcBorders>
          </w:tcPr>
          <w:p>
            <w:pPr>
              <w:jc w:val="center"/>
              <w:ind w:right="235"/>
              <w:spacing w:after="0"/>
              <w:rPr>
                <w:sz w:val="20"/>
                <w:szCs w:val="20"/>
                <w:color w:val="auto"/>
              </w:rPr>
            </w:pPr>
            <w:r>
              <w:rPr>
                <w:rFonts w:ascii="Arial" w:cs="Arial" w:eastAsia="Arial" w:hAnsi="Arial"/>
                <w:sz w:val="13"/>
                <w:szCs w:val="13"/>
                <w:b w:val="1"/>
                <w:bCs w:val="1"/>
                <w:color w:val="auto"/>
                <w:w w:val="91"/>
              </w:rPr>
              <w:t>Trading Symbol</w:t>
            </w:r>
          </w:p>
        </w:tc>
        <w:tc>
          <w:tcPr>
            <w:tcW w:w="3380" w:type="dxa"/>
            <w:vAlign w:val="bottom"/>
            <w:tcBorders>
              <w:bottom w:val="single" w:sz="8" w:color="auto"/>
            </w:tcBorders>
          </w:tcPr>
          <w:p>
            <w:pPr>
              <w:jc w:val="center"/>
              <w:ind w:right="635"/>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128"/>
        </w:trPr>
        <w:tc>
          <w:tcPr>
            <w:tcW w:w="4420" w:type="dxa"/>
            <w:vAlign w:val="bottom"/>
          </w:tcPr>
          <w:p>
            <w:pPr>
              <w:jc w:val="center"/>
              <w:ind w:left="355"/>
              <w:spacing w:after="0" w:line="128" w:lineRule="exact"/>
              <w:rPr>
                <w:sz w:val="20"/>
                <w:szCs w:val="20"/>
                <w:color w:val="auto"/>
              </w:rPr>
            </w:pPr>
            <w:r>
              <w:rPr>
                <w:rFonts w:ascii="Arial" w:cs="Arial" w:eastAsia="Arial" w:hAnsi="Arial"/>
                <w:sz w:val="13"/>
                <w:szCs w:val="13"/>
                <w:color w:val="auto"/>
                <w:w w:val="89"/>
              </w:rPr>
              <w:t>American Depositary Shares, each representing eight ordinary shares</w:t>
            </w:r>
          </w:p>
        </w:tc>
        <w:tc>
          <w:tcPr>
            <w:tcW w:w="3440" w:type="dxa"/>
            <w:vAlign w:val="bottom"/>
          </w:tcPr>
          <w:p>
            <w:pPr>
              <w:jc w:val="center"/>
              <w:ind w:right="215"/>
              <w:spacing w:after="0" w:line="128" w:lineRule="exact"/>
              <w:rPr>
                <w:sz w:val="20"/>
                <w:szCs w:val="20"/>
                <w:color w:val="auto"/>
              </w:rPr>
            </w:pPr>
            <w:r>
              <w:rPr>
                <w:rFonts w:ascii="Arial" w:cs="Arial" w:eastAsia="Arial" w:hAnsi="Arial"/>
                <w:sz w:val="13"/>
                <w:szCs w:val="13"/>
                <w:color w:val="auto"/>
                <w:w w:val="89"/>
              </w:rPr>
              <w:t>OPT</w:t>
            </w:r>
          </w:p>
        </w:tc>
        <w:tc>
          <w:tcPr>
            <w:tcW w:w="3380" w:type="dxa"/>
            <w:vAlign w:val="bottom"/>
          </w:tcPr>
          <w:p>
            <w:pPr>
              <w:jc w:val="center"/>
              <w:ind w:right="635"/>
              <w:spacing w:after="0" w:line="128" w:lineRule="exact"/>
              <w:rPr>
                <w:sz w:val="20"/>
                <w:szCs w:val="20"/>
                <w:color w:val="auto"/>
              </w:rPr>
            </w:pPr>
            <w:r>
              <w:rPr>
                <w:rFonts w:ascii="Arial" w:cs="Arial" w:eastAsia="Arial" w:hAnsi="Arial"/>
                <w:sz w:val="13"/>
                <w:szCs w:val="13"/>
                <w:color w:val="auto"/>
                <w:w w:val="90"/>
              </w:rPr>
              <w:t>The Nasdaq Global Select Market</w:t>
            </w:r>
          </w:p>
        </w:tc>
      </w:tr>
      <w:tr>
        <w:trPr>
          <w:trHeight w:val="153"/>
        </w:trPr>
        <w:tc>
          <w:tcPr>
            <w:tcW w:w="4420" w:type="dxa"/>
            <w:vAlign w:val="bottom"/>
          </w:tcPr>
          <w:p>
            <w:pPr>
              <w:jc w:val="center"/>
              <w:ind w:left="355"/>
              <w:spacing w:after="0"/>
              <w:rPr>
                <w:sz w:val="20"/>
                <w:szCs w:val="20"/>
                <w:color w:val="auto"/>
              </w:rPr>
            </w:pPr>
            <w:r>
              <w:rPr>
                <w:rFonts w:ascii="Arial" w:cs="Arial" w:eastAsia="Arial" w:hAnsi="Arial"/>
                <w:sz w:val="13"/>
                <w:szCs w:val="13"/>
                <w:color w:val="auto"/>
                <w:w w:val="90"/>
              </w:rPr>
              <w:t>Ordinary shares, no par value*</w:t>
            </w:r>
          </w:p>
        </w:tc>
        <w:tc>
          <w:tcPr>
            <w:tcW w:w="3440" w:type="dxa"/>
            <w:vAlign w:val="bottom"/>
          </w:tcPr>
          <w:p>
            <w:pPr>
              <w:jc w:val="center"/>
              <w:ind w:right="235"/>
              <w:spacing w:after="0"/>
              <w:rPr>
                <w:sz w:val="20"/>
                <w:szCs w:val="20"/>
                <w:color w:val="auto"/>
              </w:rPr>
            </w:pPr>
            <w:r>
              <w:rPr>
                <w:rFonts w:ascii="Arial" w:cs="Arial" w:eastAsia="Arial" w:hAnsi="Arial"/>
                <w:sz w:val="13"/>
                <w:szCs w:val="13"/>
                <w:color w:val="auto"/>
              </w:rPr>
              <w:t>*</w:t>
            </w:r>
          </w:p>
        </w:tc>
        <w:tc>
          <w:tcPr>
            <w:tcW w:w="3380" w:type="dxa"/>
            <w:vAlign w:val="bottom"/>
          </w:tcPr>
          <w:p>
            <w:pPr>
              <w:jc w:val="center"/>
              <w:ind w:right="635"/>
              <w:spacing w:after="0"/>
              <w:rPr>
                <w:sz w:val="20"/>
                <w:szCs w:val="20"/>
                <w:color w:val="auto"/>
              </w:rPr>
            </w:pPr>
            <w:r>
              <w:rPr>
                <w:rFonts w:ascii="Arial" w:cs="Arial" w:eastAsia="Arial" w:hAnsi="Arial"/>
                <w:sz w:val="13"/>
                <w:szCs w:val="13"/>
                <w:color w:val="auto"/>
                <w:w w:val="91"/>
              </w:rPr>
              <w:t>The Nasdaq Global Select Market*</w:t>
            </w:r>
          </w:p>
        </w:tc>
      </w:tr>
    </w:tbl>
    <w:p>
      <w:pPr>
        <w:ind w:left="180" w:hanging="94"/>
        <w:spacing w:after="0" w:line="229" w:lineRule="auto"/>
        <w:tabs>
          <w:tab w:leader="none" w:pos="18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Not for trading, but only in connection with the registration of the American Depositary</w:t>
      </w:r>
    </w:p>
    <w:p>
      <w:pPr>
        <w:ind w:left="2240"/>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Shares.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2700655</wp:posOffset>
            </wp:positionH>
            <wp:positionV relativeFrom="paragraph">
              <wp:posOffset>3810</wp:posOffset>
            </wp:positionV>
            <wp:extent cx="1741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38" w:lineRule="exact"/>
        <w:rPr>
          <w:sz w:val="24"/>
          <w:szCs w:val="24"/>
          <w:color w:val="auto"/>
        </w:rPr>
      </w:pPr>
    </w:p>
    <w:p>
      <w:pPr>
        <w:spacing w:after="0" w:line="254" w:lineRule="auto"/>
        <w:rPr>
          <w:sz w:val="20"/>
          <w:szCs w:val="20"/>
          <w:color w:val="auto"/>
        </w:rPr>
      </w:pPr>
      <w:r>
        <w:rPr>
          <w:rFonts w:ascii="Arial" w:cs="Arial" w:eastAsia="Arial" w:hAnsi="Arial"/>
          <w:sz w:val="13"/>
          <w:szCs w:val="13"/>
          <w:color w:val="auto"/>
        </w:rPr>
        <w:t xml:space="preserve">Indicate the number of outstanding shares of each of the issuer’s classes of capital or common stock as of the close of the period covered by the annual report. </w:t>
      </w:r>
      <w:r>
        <w:rPr>
          <w:rFonts w:ascii="Arial" w:cs="Arial" w:eastAsia="Arial" w:hAnsi="Arial"/>
          <w:sz w:val="13"/>
          <w:szCs w:val="13"/>
          <w:b w:val="1"/>
          <w:bCs w:val="1"/>
          <w:color w:val="auto"/>
        </w:rPr>
        <w:t>351,003,541</w:t>
      </w:r>
      <w:r>
        <w:rPr>
          <w:rFonts w:ascii="Arial" w:cs="Arial" w:eastAsia="Arial" w:hAnsi="Arial"/>
          <w:sz w:val="13"/>
          <w:szCs w:val="13"/>
          <w:color w:val="auto"/>
        </w:rPr>
        <w:t xml:space="preserve"> Ordinary Shares (including shares underlying American Depositary Shares). 12,717,119 American Depositary Shares.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5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74" w:lineRule="exact"/>
        <w:rPr>
          <w:sz w:val="24"/>
          <w:szCs w:val="24"/>
          <w:color w:val="auto"/>
        </w:rPr>
      </w:pP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w:t>
      </w:r>
    </w:p>
    <w:p>
      <w:pPr>
        <w:spacing w:after="0" w:line="22" w:lineRule="exact"/>
        <w:rPr>
          <w:sz w:val="24"/>
          <w:szCs w:val="24"/>
          <w:color w:val="auto"/>
        </w:rPr>
      </w:pPr>
    </w:p>
    <w:p>
      <w:pPr>
        <w:spacing w:after="0" w:line="150" w:lineRule="exact"/>
        <w:tabs>
          <w:tab w:leader="none" w:pos="5520" w:val="left"/>
        </w:tabs>
        <w:rPr>
          <w:sz w:val="20"/>
          <w:szCs w:val="20"/>
          <w:color w:val="auto"/>
        </w:rPr>
      </w:pPr>
      <w:r>
        <w:rPr>
          <w:rFonts w:ascii="Arial" w:cs="Arial" w:eastAsia="Arial" w:hAnsi="Arial"/>
          <w:sz w:val="13"/>
          <w:szCs w:val="13"/>
          <w:color w:val="auto"/>
        </w:rPr>
        <w:t xml:space="preserve">12 months (or for such shorter period that the registrant was required to submit such files).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0" w:lineRule="exact"/>
        <w:rPr>
          <w:sz w:val="24"/>
          <w:szCs w:val="24"/>
          <w:color w:val="auto"/>
        </w:rPr>
      </w:pPr>
    </w:p>
    <w:p>
      <w:pPr>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w:t>
      </w:r>
    </w:p>
    <w:p>
      <w:pPr>
        <w:spacing w:after="0" w:line="12" w:lineRule="exact"/>
        <w:rPr>
          <w:sz w:val="24"/>
          <w:szCs w:val="24"/>
          <w:color w:val="auto"/>
        </w:rPr>
      </w:pPr>
    </w:p>
    <w:p>
      <w:pPr>
        <w:ind w:left="760"/>
        <w:spacing w:after="0" w:line="150" w:lineRule="exact"/>
        <w:tabs>
          <w:tab w:leader="none" w:pos="3700" w:val="left"/>
          <w:tab w:leader="none" w:pos="6400" w:val="left"/>
          <w:tab w:leader="none" w:pos="90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70" w:lineRule="exact"/>
        <w:rPr>
          <w:sz w:val="24"/>
          <w:szCs w:val="24"/>
          <w:color w:val="auto"/>
        </w:rPr>
      </w:pPr>
    </w:p>
    <w:p>
      <w:pPr>
        <w:spacing w:after="0" w:line="161"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820" w:type="dxa"/>
            <w:vAlign w:val="bottom"/>
          </w:tcPr>
          <w:p>
            <w:pPr>
              <w:spacing w:after="0"/>
              <w:rPr>
                <w:sz w:val="12"/>
                <w:szCs w:val="12"/>
                <w:color w:val="auto"/>
              </w:rPr>
            </w:pPr>
          </w:p>
        </w:tc>
        <w:tc>
          <w:tcPr>
            <w:tcW w:w="720" w:type="dxa"/>
            <w:vAlign w:val="bottom"/>
            <w:vMerge w:val="restart"/>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4780" w:type="dxa"/>
            <w:vAlign w:val="bottom"/>
          </w:tcPr>
          <w:p>
            <w:pPr>
              <w:ind w:left="320"/>
              <w:spacing w:after="0"/>
              <w:rPr>
                <w:sz w:val="20"/>
                <w:szCs w:val="20"/>
                <w:color w:val="auto"/>
              </w:rPr>
            </w:pPr>
            <w:r>
              <w:rPr>
                <w:rFonts w:ascii="Arial" w:cs="Arial" w:eastAsia="Arial" w:hAnsi="Arial"/>
                <w:sz w:val="11"/>
                <w:szCs w:val="11"/>
                <w:color w:val="auto"/>
              </w:rPr>
              <w:t>International Financial Reporting Standards as issued by the International</w:t>
            </w:r>
          </w:p>
        </w:tc>
        <w:tc>
          <w:tcPr>
            <w:tcW w:w="1780" w:type="dxa"/>
            <w:vAlign w:val="bottom"/>
            <w:vMerge w:val="restart"/>
          </w:tcPr>
          <w:p>
            <w:pPr>
              <w:ind w:left="1160"/>
              <w:spacing w:after="0" w:line="111" w:lineRule="exact"/>
              <w:rPr>
                <w:sz w:val="20"/>
                <w:szCs w:val="20"/>
                <w:color w:val="auto"/>
              </w:rPr>
            </w:pPr>
            <w:r>
              <w:rPr>
                <w:rFonts w:ascii="MS PGothic" w:cs="MS PGothic" w:eastAsia="MS PGothic" w:hAnsi="MS PGothic"/>
                <w:sz w:val="11"/>
                <w:szCs w:val="11"/>
                <w:color w:val="auto"/>
              </w:rPr>
              <w:t>☒</w:t>
            </w:r>
          </w:p>
        </w:tc>
        <w:tc>
          <w:tcPr>
            <w:tcW w:w="940" w:type="dxa"/>
            <w:vAlign w:val="bottom"/>
            <w:vMerge w:val="restart"/>
          </w:tcPr>
          <w:p>
            <w:pPr>
              <w:ind w:left="540"/>
              <w:spacing w:after="0" w:line="127" w:lineRule="exact"/>
              <w:rPr>
                <w:sz w:val="20"/>
                <w:szCs w:val="20"/>
                <w:color w:val="auto"/>
              </w:rPr>
            </w:pPr>
            <w:r>
              <w:rPr>
                <w:rFonts w:ascii="Arial" w:cs="Arial" w:eastAsia="Arial" w:hAnsi="Arial"/>
                <w:sz w:val="11"/>
                <w:szCs w:val="11"/>
                <w:color w:val="auto"/>
                <w:w w:val="91"/>
              </w:rPr>
              <w:t xml:space="preserve">Other </w:t>
            </w:r>
            <w:r>
              <w:rPr>
                <w:rFonts w:ascii="MS PGothic" w:cs="MS PGothic" w:eastAsia="MS PGothic" w:hAnsi="MS PGothic"/>
                <w:sz w:val="11"/>
                <w:szCs w:val="11"/>
                <w:color w:val="auto"/>
                <w:w w:val="91"/>
              </w:rPr>
              <w:t>☐</w:t>
            </w:r>
          </w:p>
        </w:tc>
        <w:tc>
          <w:tcPr>
            <w:tcW w:w="0" w:type="dxa"/>
            <w:vAlign w:val="bottom"/>
          </w:tcPr>
          <w:p>
            <w:pPr>
              <w:spacing w:after="0"/>
              <w:rPr>
                <w:sz w:val="1"/>
                <w:szCs w:val="1"/>
                <w:color w:val="auto"/>
              </w:rPr>
            </w:pPr>
          </w:p>
        </w:tc>
      </w:tr>
      <w:tr>
        <w:trPr>
          <w:trHeight w:val="170"/>
        </w:trPr>
        <w:tc>
          <w:tcPr>
            <w:tcW w:w="820" w:type="dxa"/>
            <w:vAlign w:val="bottom"/>
          </w:tcPr>
          <w:p>
            <w:pPr>
              <w:spacing w:after="0"/>
              <w:rPr>
                <w:sz w:val="20"/>
                <w:szCs w:val="20"/>
                <w:color w:val="auto"/>
              </w:rPr>
            </w:pPr>
            <w:r>
              <w:rPr>
                <w:rFonts w:ascii="Arial" w:cs="Arial" w:eastAsia="Arial" w:hAnsi="Arial"/>
                <w:sz w:val="11"/>
                <w:szCs w:val="11"/>
                <w:color w:val="auto"/>
              </w:rPr>
              <w:t>U.S. GAAP</w:t>
            </w:r>
          </w:p>
        </w:tc>
        <w:tc>
          <w:tcPr>
            <w:tcW w:w="720" w:type="dxa"/>
            <w:vAlign w:val="bottom"/>
            <w:vMerge w:val="continue"/>
          </w:tcPr>
          <w:p>
            <w:pPr>
              <w:spacing w:after="0"/>
              <w:rPr>
                <w:sz w:val="14"/>
                <w:szCs w:val="14"/>
                <w:color w:val="auto"/>
              </w:rPr>
            </w:pPr>
          </w:p>
        </w:tc>
        <w:tc>
          <w:tcPr>
            <w:tcW w:w="4780" w:type="dxa"/>
            <w:vAlign w:val="bottom"/>
          </w:tcPr>
          <w:p>
            <w:pPr>
              <w:ind w:left="320"/>
              <w:spacing w:after="0"/>
              <w:rPr>
                <w:sz w:val="20"/>
                <w:szCs w:val="20"/>
                <w:color w:val="auto"/>
              </w:rPr>
            </w:pPr>
            <w:r>
              <w:rPr>
                <w:rFonts w:ascii="Arial" w:cs="Arial" w:eastAsia="Arial" w:hAnsi="Arial"/>
                <w:sz w:val="11"/>
                <w:szCs w:val="11"/>
                <w:color w:val="auto"/>
              </w:rPr>
              <w:t>Accounting Standards Board</w:t>
            </w:r>
          </w:p>
        </w:tc>
        <w:tc>
          <w:tcPr>
            <w:tcW w:w="17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spacing w:after="0"/>
        <w:rPr>
          <w:sz w:val="20"/>
          <w:szCs w:val="20"/>
          <w:color w:val="auto"/>
        </w:rPr>
      </w:pPr>
      <w:r>
        <w:rPr>
          <w:rFonts w:ascii="Arial" w:cs="Arial" w:eastAsia="Arial" w:hAnsi="Arial"/>
          <w:sz w:val="13"/>
          <w:szCs w:val="13"/>
          <w:color w:val="auto"/>
        </w:rPr>
        <w:t>If “Other” has been checked in response to the previous question, indicate by check mark which financial statement item the registrant has elected to follow.</w:t>
      </w:r>
    </w:p>
    <w:p>
      <w:pPr>
        <w:spacing w:after="0" w:line="21" w:lineRule="exact"/>
        <w:rPr>
          <w:sz w:val="24"/>
          <w:szCs w:val="24"/>
          <w:color w:val="auto"/>
        </w:rPr>
      </w:pPr>
    </w:p>
    <w:p>
      <w:pPr>
        <w:spacing w:after="0" w:line="150" w:lineRule="exact"/>
        <w:tabs>
          <w:tab w:leader="none" w:pos="1160" w:val="left"/>
        </w:tabs>
        <w:rPr>
          <w:sz w:val="20"/>
          <w:szCs w:val="20"/>
          <w:color w:val="auto"/>
        </w:rPr>
      </w:pPr>
      <w:r>
        <w:rPr>
          <w:rFonts w:ascii="Arial" w:cs="Arial" w:eastAsia="Arial" w:hAnsi="Arial"/>
          <w:sz w:val="13"/>
          <w:szCs w:val="13"/>
          <w:color w:val="auto"/>
        </w:rPr>
        <w:t xml:space="preserve">Item 17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Item 18 </w:t>
      </w:r>
      <w:r>
        <w:rPr>
          <w:rFonts w:ascii="MS PGothic" w:cs="MS PGothic" w:eastAsia="MS PGothic" w:hAnsi="MS PGothic"/>
          <w:sz w:val="11"/>
          <w:szCs w:val="11"/>
          <w:color w:val="auto"/>
        </w:rPr>
        <w:t>☐</w:t>
      </w:r>
    </w:p>
    <w:p>
      <w:pPr>
        <w:spacing w:after="0" w:line="4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this is an annual report, 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37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31115</wp:posOffset>
            </wp:positionV>
            <wp:extent cx="713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175260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80" w:type="dxa"/>
            <w:vAlign w:val="bottom"/>
            <w:gridSpan w:val="8"/>
          </w:tcPr>
          <w:p>
            <w:pPr>
              <w:ind w:left="20"/>
              <w:spacing w:after="0"/>
              <w:rPr>
                <w:sz w:val="20"/>
                <w:szCs w:val="20"/>
                <w:color w:val="auto"/>
              </w:rPr>
            </w:pPr>
            <w:r>
              <w:rPr>
                <w:rFonts w:ascii="Arial" w:cs="Arial" w:eastAsia="Arial" w:hAnsi="Arial"/>
                <w:sz w:val="17"/>
                <w:szCs w:val="17"/>
                <w:b w:val="1"/>
                <w:bCs w:val="1"/>
                <w:color w:val="auto"/>
              </w:rPr>
              <w:t>TABLE OF CONTENTS</w:t>
            </w:r>
          </w:p>
        </w:tc>
        <w:tc>
          <w:tcPr>
            <w:tcW w:w="2480" w:type="dxa"/>
            <w:vAlign w:val="bottom"/>
          </w:tcPr>
          <w:p>
            <w:pPr>
              <w:spacing w:after="0"/>
              <w:rPr>
                <w:sz w:val="19"/>
                <w:szCs w:val="19"/>
                <w:color w:val="auto"/>
              </w:rPr>
            </w:pPr>
          </w:p>
        </w:tc>
      </w:tr>
      <w:tr>
        <w:trPr>
          <w:trHeight w:val="377"/>
        </w:trPr>
        <w:tc>
          <w:tcPr>
            <w:tcW w:w="4780" w:type="dxa"/>
            <w:vAlign w:val="bottom"/>
            <w:tcBorders>
              <w:bottom w:val="single" w:sz="8" w:color="0000EE"/>
            </w:tcBorders>
            <w:gridSpan w:val="41"/>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PRESENTATION OF FINANCIAL AND OTHER INFORMATION</w:t>
              </w:r>
            </w:hyperlink>
          </w:p>
        </w:tc>
        <w:tc>
          <w:tcPr>
            <w:tcW w:w="398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92"/>
        </w:trPr>
        <w:tc>
          <w:tcPr>
            <w:tcW w:w="8760" w:type="dxa"/>
            <w:vAlign w:val="bottom"/>
            <w:gridSpan w:val="4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ENFORCMENT OF CIVIL LIABILITIES</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92"/>
        </w:trPr>
        <w:tc>
          <w:tcPr>
            <w:tcW w:w="2980" w:type="dxa"/>
            <w:vAlign w:val="bottom"/>
            <w:tcBorders>
              <w:top w:val="single" w:sz="8" w:color="0000EE"/>
            </w:tcBorders>
            <w:gridSpan w:val="14"/>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FORWARD-LOOKING STATEMENTS</w:t>
              </w:r>
            </w:hyperlink>
          </w:p>
        </w:tc>
        <w:tc>
          <w:tcPr>
            <w:tcW w:w="5780" w:type="dxa"/>
            <w:vAlign w:val="bottom"/>
            <w:gridSpan w:val="34"/>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92"/>
        </w:trPr>
        <w:tc>
          <w:tcPr>
            <w:tcW w:w="1700" w:type="dxa"/>
            <w:vAlign w:val="bottom"/>
            <w:tcBorders>
              <w:top w:val="single" w:sz="8" w:color="0000EE"/>
            </w:tcBorders>
            <w:gridSpan w:val="2"/>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PART I</w:t>
              </w:r>
            </w:hyperlink>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5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92"/>
        </w:trPr>
        <w:tc>
          <w:tcPr>
            <w:tcW w:w="1700" w:type="dxa"/>
            <w:vAlign w:val="bottom"/>
            <w:gridSpan w:val="2"/>
          </w:tcPr>
          <w:p>
            <w:pPr>
              <w:ind w:left="460"/>
              <w:spacing w:after="0"/>
              <w:rPr>
                <w:sz w:val="20"/>
                <w:szCs w:val="20"/>
                <w:color w:val="auto"/>
              </w:rPr>
            </w:pPr>
            <w:r>
              <w:rPr>
                <w:rFonts w:ascii="Arial" w:cs="Arial" w:eastAsia="Arial" w:hAnsi="Arial"/>
                <w:sz w:val="17"/>
                <w:szCs w:val="17"/>
                <w:color w:val="auto"/>
              </w:rPr>
              <w:t>Item 1.</w:t>
            </w:r>
          </w:p>
        </w:tc>
        <w:tc>
          <w:tcPr>
            <w:tcW w:w="7060" w:type="dxa"/>
            <w:vAlign w:val="bottom"/>
            <w:gridSpan w:val="46"/>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Identity of Directors, Senior Management</w:t>
              </w:r>
            </w:hyperlink>
          </w:p>
        </w:tc>
        <w:tc>
          <w:tcPr>
            <w:tcW w:w="24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2.</w:t>
            </w:r>
          </w:p>
        </w:tc>
        <w:tc>
          <w:tcPr>
            <w:tcW w:w="2900" w:type="dxa"/>
            <w:vAlign w:val="bottom"/>
            <w:tcBorders>
              <w:top w:val="single" w:sz="8" w:color="0000EE"/>
            </w:tcBorders>
            <w:gridSpan w:val="37"/>
          </w:tcPr>
          <w:p>
            <w:pPr>
              <w:spacing w:after="0" w:line="188" w:lineRule="exact"/>
              <w:rPr>
                <w:rFonts w:ascii="Arial" w:cs="Arial" w:eastAsia="Arial" w:hAnsi="Arial"/>
                <w:sz w:val="17"/>
                <w:szCs w:val="17"/>
                <w:color w:val="0000EE"/>
                <w:w w:val="96"/>
              </w:rPr>
            </w:pPr>
            <w:hyperlink w:anchor="page9">
              <w:r>
                <w:rPr>
                  <w:rFonts w:ascii="Arial" w:cs="Arial" w:eastAsia="Arial" w:hAnsi="Arial"/>
                  <w:sz w:val="17"/>
                  <w:szCs w:val="17"/>
                  <w:color w:val="0000EE"/>
                  <w:w w:val="96"/>
                </w:rPr>
                <w:t>Offer Statistics and Expected Timetable</w:t>
              </w:r>
            </w:hyperlink>
          </w:p>
        </w:tc>
        <w:tc>
          <w:tcPr>
            <w:tcW w:w="4160" w:type="dxa"/>
            <w:vAlign w:val="bottom"/>
            <w:gridSpan w:val="9"/>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9</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3.</w:t>
            </w:r>
          </w:p>
        </w:tc>
        <w:tc>
          <w:tcPr>
            <w:tcW w:w="2760" w:type="dxa"/>
            <w:vAlign w:val="bottom"/>
            <w:tcBorders>
              <w:top w:val="single" w:sz="8" w:color="0000EE"/>
            </w:tcBorders>
            <w:gridSpan w:val="35"/>
          </w:tcPr>
          <w:p>
            <w:pPr>
              <w:spacing w:after="0" w:line="188" w:lineRule="exact"/>
              <w:rPr>
                <w:rFonts w:ascii="Arial" w:cs="Arial" w:eastAsia="Arial" w:hAnsi="Arial"/>
                <w:sz w:val="17"/>
                <w:szCs w:val="17"/>
                <w:color w:val="0000EE"/>
              </w:rPr>
            </w:pPr>
            <w:hyperlink w:anchor="page9">
              <w:r>
                <w:rPr>
                  <w:rFonts w:ascii="Arial" w:cs="Arial" w:eastAsia="Arial" w:hAnsi="Arial"/>
                  <w:sz w:val="17"/>
                  <w:szCs w:val="17"/>
                  <w:color w:val="0000EE"/>
                </w:rPr>
                <w:t>Key Information</w:t>
              </w:r>
            </w:hyperlink>
          </w:p>
        </w:tc>
        <w:tc>
          <w:tcPr>
            <w:tcW w:w="4300" w:type="dxa"/>
            <w:vAlign w:val="bottom"/>
            <w:gridSpan w:val="11"/>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9</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3A.</w:t>
            </w:r>
          </w:p>
        </w:tc>
        <w:tc>
          <w:tcPr>
            <w:tcW w:w="1660" w:type="dxa"/>
            <w:vAlign w:val="bottom"/>
            <w:tcBorders>
              <w:bottom w:val="single" w:sz="8" w:color="0000EE"/>
            </w:tcBorders>
            <w:gridSpan w:val="22"/>
          </w:tcPr>
          <w:p>
            <w:pPr>
              <w:spacing w:after="0" w:line="188" w:lineRule="exact"/>
              <w:rPr>
                <w:rFonts w:ascii="Arial" w:cs="Arial" w:eastAsia="Arial" w:hAnsi="Arial"/>
                <w:sz w:val="17"/>
                <w:szCs w:val="17"/>
                <w:color w:val="0000EE"/>
                <w:w w:val="91"/>
              </w:rPr>
            </w:pPr>
            <w:hyperlink w:anchor="page9">
              <w:r>
                <w:rPr>
                  <w:rFonts w:ascii="Arial" w:cs="Arial" w:eastAsia="Arial" w:hAnsi="Arial"/>
                  <w:sz w:val="17"/>
                  <w:szCs w:val="17"/>
                  <w:color w:val="0000EE"/>
                  <w:w w:val="91"/>
                </w:rPr>
                <w:t>Selected Financial Data</w:t>
              </w:r>
            </w:hyperlink>
          </w:p>
        </w:tc>
        <w:tc>
          <w:tcPr>
            <w:tcW w:w="5400" w:type="dxa"/>
            <w:vAlign w:val="bottom"/>
            <w:gridSpan w:val="24"/>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9</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3B.</w:t>
            </w:r>
          </w:p>
        </w:tc>
        <w:tc>
          <w:tcPr>
            <w:tcW w:w="2220" w:type="dxa"/>
            <w:vAlign w:val="bottom"/>
            <w:tcBorders>
              <w:bottom w:val="single" w:sz="8" w:color="0000EE"/>
            </w:tcBorders>
            <w:gridSpan w:val="31"/>
          </w:tcPr>
          <w:p>
            <w:pPr>
              <w:spacing w:after="0" w:line="188" w:lineRule="exact"/>
              <w:rPr>
                <w:rFonts w:ascii="Arial" w:cs="Arial" w:eastAsia="Arial" w:hAnsi="Arial"/>
                <w:sz w:val="17"/>
                <w:szCs w:val="17"/>
                <w:color w:val="0000EE"/>
                <w:w w:val="90"/>
              </w:rPr>
            </w:pPr>
            <w:hyperlink w:anchor="page9">
              <w:r>
                <w:rPr>
                  <w:rFonts w:ascii="Arial" w:cs="Arial" w:eastAsia="Arial" w:hAnsi="Arial"/>
                  <w:sz w:val="17"/>
                  <w:szCs w:val="17"/>
                  <w:color w:val="0000EE"/>
                  <w:w w:val="90"/>
                </w:rPr>
                <w:t>Capitalization and Indebtedness</w:t>
              </w:r>
            </w:hyperlink>
          </w:p>
        </w:tc>
        <w:tc>
          <w:tcPr>
            <w:tcW w:w="4840" w:type="dxa"/>
            <w:vAlign w:val="bottom"/>
            <w:gridSpan w:val="15"/>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9</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3C.</w:t>
            </w:r>
          </w:p>
        </w:tc>
        <w:tc>
          <w:tcPr>
            <w:tcW w:w="2880" w:type="dxa"/>
            <w:vAlign w:val="bottom"/>
            <w:tcBorders>
              <w:bottom w:val="single" w:sz="8" w:color="0000EE"/>
            </w:tcBorders>
            <w:gridSpan w:val="36"/>
          </w:tcPr>
          <w:p>
            <w:pPr>
              <w:spacing w:after="0" w:line="188" w:lineRule="exact"/>
              <w:rPr>
                <w:rFonts w:ascii="Arial" w:cs="Arial" w:eastAsia="Arial" w:hAnsi="Arial"/>
                <w:sz w:val="17"/>
                <w:szCs w:val="17"/>
                <w:color w:val="0000EE"/>
                <w:w w:val="90"/>
              </w:rPr>
            </w:pPr>
            <w:hyperlink w:anchor="page9">
              <w:r>
                <w:rPr>
                  <w:rFonts w:ascii="Arial" w:cs="Arial" w:eastAsia="Arial" w:hAnsi="Arial"/>
                  <w:sz w:val="17"/>
                  <w:szCs w:val="17"/>
                  <w:color w:val="0000EE"/>
                  <w:w w:val="90"/>
                </w:rPr>
                <w:t>Reasons for the offer and use of proceeds</w:t>
              </w:r>
            </w:hyperlink>
          </w:p>
        </w:tc>
        <w:tc>
          <w:tcPr>
            <w:tcW w:w="4180" w:type="dxa"/>
            <w:vAlign w:val="bottom"/>
            <w:gridSpan w:val="10"/>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9</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3D.</w:t>
            </w:r>
          </w:p>
        </w:tc>
        <w:tc>
          <w:tcPr>
            <w:tcW w:w="880" w:type="dxa"/>
            <w:vAlign w:val="bottom"/>
            <w:tcBorders>
              <w:bottom w:val="single" w:sz="8" w:color="0000EE"/>
            </w:tcBorders>
            <w:gridSpan w:val="5"/>
          </w:tcPr>
          <w:p>
            <w:pPr>
              <w:spacing w:after="0" w:line="188" w:lineRule="exact"/>
              <w:rPr>
                <w:rFonts w:ascii="Arial" w:cs="Arial" w:eastAsia="Arial" w:hAnsi="Arial"/>
                <w:sz w:val="17"/>
                <w:szCs w:val="17"/>
                <w:color w:val="0000EE"/>
                <w:w w:val="90"/>
              </w:rPr>
            </w:pPr>
            <w:hyperlink w:anchor="page9">
              <w:r>
                <w:rPr>
                  <w:rFonts w:ascii="Arial" w:cs="Arial" w:eastAsia="Arial" w:hAnsi="Arial"/>
                  <w:sz w:val="17"/>
                  <w:szCs w:val="17"/>
                  <w:color w:val="0000EE"/>
                  <w:w w:val="90"/>
                </w:rPr>
                <w:t>Risk Factors</w:t>
              </w:r>
            </w:hyperlink>
          </w:p>
        </w:tc>
        <w:tc>
          <w:tcPr>
            <w:tcW w:w="6180" w:type="dxa"/>
            <w:vAlign w:val="bottom"/>
            <w:gridSpan w:val="41"/>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9</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4.</w:t>
            </w:r>
          </w:p>
        </w:tc>
        <w:tc>
          <w:tcPr>
            <w:tcW w:w="7060" w:type="dxa"/>
            <w:vAlign w:val="bottom"/>
            <w:gridSpan w:val="46"/>
          </w:tcPr>
          <w:p>
            <w:pPr>
              <w:spacing w:after="0" w:line="188" w:lineRule="exact"/>
              <w:rPr>
                <w:rFonts w:ascii="Arial" w:cs="Arial" w:eastAsia="Arial" w:hAnsi="Arial"/>
                <w:sz w:val="17"/>
                <w:szCs w:val="17"/>
                <w:color w:val="0000EE"/>
              </w:rPr>
            </w:pPr>
            <w:hyperlink w:anchor="page64">
              <w:r>
                <w:rPr>
                  <w:rFonts w:ascii="Arial" w:cs="Arial" w:eastAsia="Arial" w:hAnsi="Arial"/>
                  <w:sz w:val="17"/>
                  <w:szCs w:val="17"/>
                  <w:color w:val="0000EE"/>
                </w:rPr>
                <w:t>Information on the Company</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64</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4A.</w:t>
            </w:r>
          </w:p>
        </w:tc>
        <w:tc>
          <w:tcPr>
            <w:tcW w:w="7060" w:type="dxa"/>
            <w:vAlign w:val="bottom"/>
            <w:gridSpan w:val="46"/>
          </w:tcPr>
          <w:p>
            <w:pPr>
              <w:spacing w:after="0" w:line="188" w:lineRule="exact"/>
              <w:rPr>
                <w:rFonts w:ascii="Arial" w:cs="Arial" w:eastAsia="Arial" w:hAnsi="Arial"/>
                <w:sz w:val="17"/>
                <w:szCs w:val="17"/>
                <w:color w:val="0000EE"/>
              </w:rPr>
            </w:pPr>
            <w:hyperlink w:anchor="page64">
              <w:r>
                <w:rPr>
                  <w:rFonts w:ascii="Arial" w:cs="Arial" w:eastAsia="Arial" w:hAnsi="Arial"/>
                  <w:sz w:val="17"/>
                  <w:szCs w:val="17"/>
                  <w:color w:val="0000EE"/>
                </w:rPr>
                <w:t>History and Development of Opthea</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64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4B.</w:t>
            </w:r>
          </w:p>
        </w:tc>
        <w:tc>
          <w:tcPr>
            <w:tcW w:w="2520" w:type="dxa"/>
            <w:vAlign w:val="bottom"/>
            <w:tcBorders>
              <w:top w:val="single" w:sz="8" w:color="0000EE"/>
            </w:tcBorders>
            <w:gridSpan w:val="34"/>
          </w:tcPr>
          <w:p>
            <w:pPr>
              <w:spacing w:after="0" w:line="188" w:lineRule="exact"/>
              <w:rPr>
                <w:rFonts w:ascii="Arial" w:cs="Arial" w:eastAsia="Arial" w:hAnsi="Arial"/>
                <w:sz w:val="17"/>
                <w:szCs w:val="17"/>
                <w:color w:val="0000EE"/>
              </w:rPr>
            </w:pPr>
            <w:hyperlink w:anchor="page64">
              <w:r>
                <w:rPr>
                  <w:rFonts w:ascii="Arial" w:cs="Arial" w:eastAsia="Arial" w:hAnsi="Arial"/>
                  <w:sz w:val="17"/>
                  <w:szCs w:val="17"/>
                  <w:color w:val="0000EE"/>
                </w:rPr>
                <w:t>Business Overview</w:t>
              </w:r>
            </w:hyperlink>
          </w:p>
        </w:tc>
        <w:tc>
          <w:tcPr>
            <w:tcW w:w="4540" w:type="dxa"/>
            <w:vAlign w:val="bottom"/>
            <w:gridSpan w:val="12"/>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64</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4C.</w:t>
            </w:r>
          </w:p>
        </w:tc>
        <w:tc>
          <w:tcPr>
            <w:tcW w:w="1720" w:type="dxa"/>
            <w:vAlign w:val="bottom"/>
            <w:tcBorders>
              <w:bottom w:val="single" w:sz="8" w:color="0000EE"/>
            </w:tcBorders>
            <w:gridSpan w:val="23"/>
          </w:tcPr>
          <w:p>
            <w:pPr>
              <w:spacing w:after="0" w:line="188" w:lineRule="exact"/>
              <w:rPr>
                <w:rFonts w:ascii="Arial" w:cs="Arial" w:eastAsia="Arial" w:hAnsi="Arial"/>
                <w:sz w:val="17"/>
                <w:szCs w:val="17"/>
                <w:color w:val="0000EE"/>
                <w:w w:val="92"/>
              </w:rPr>
            </w:pPr>
            <w:hyperlink w:anchor="page114">
              <w:r>
                <w:rPr>
                  <w:rFonts w:ascii="Arial" w:cs="Arial" w:eastAsia="Arial" w:hAnsi="Arial"/>
                  <w:sz w:val="17"/>
                  <w:szCs w:val="17"/>
                  <w:color w:val="0000EE"/>
                  <w:w w:val="92"/>
                </w:rPr>
                <w:t>Organizational Structure</w:t>
              </w:r>
            </w:hyperlink>
          </w:p>
        </w:tc>
        <w:tc>
          <w:tcPr>
            <w:tcW w:w="5340" w:type="dxa"/>
            <w:vAlign w:val="bottom"/>
            <w:gridSpan w:val="23"/>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114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4D.</w:t>
            </w:r>
          </w:p>
        </w:tc>
        <w:tc>
          <w:tcPr>
            <w:tcW w:w="2200" w:type="dxa"/>
            <w:vAlign w:val="bottom"/>
            <w:tcBorders>
              <w:bottom w:val="single" w:sz="8" w:color="0000EE"/>
            </w:tcBorders>
            <w:gridSpan w:val="30"/>
          </w:tcPr>
          <w:p>
            <w:pPr>
              <w:spacing w:after="0" w:line="188" w:lineRule="exact"/>
              <w:rPr>
                <w:rFonts w:ascii="Arial" w:cs="Arial" w:eastAsia="Arial" w:hAnsi="Arial"/>
                <w:sz w:val="17"/>
                <w:szCs w:val="17"/>
                <w:color w:val="0000EE"/>
                <w:w w:val="90"/>
              </w:rPr>
            </w:pPr>
            <w:hyperlink w:anchor="page115">
              <w:r>
                <w:rPr>
                  <w:rFonts w:ascii="Arial" w:cs="Arial" w:eastAsia="Arial" w:hAnsi="Arial"/>
                  <w:sz w:val="17"/>
                  <w:szCs w:val="17"/>
                  <w:color w:val="0000EE"/>
                  <w:w w:val="90"/>
                </w:rPr>
                <w:t>Property, Plants and Equipment</w:t>
              </w:r>
            </w:hyperlink>
          </w:p>
        </w:tc>
        <w:tc>
          <w:tcPr>
            <w:tcW w:w="4860" w:type="dxa"/>
            <w:vAlign w:val="bottom"/>
            <w:gridSpan w:val="16"/>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115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4E..</w:t>
            </w:r>
          </w:p>
        </w:tc>
        <w:tc>
          <w:tcPr>
            <w:tcW w:w="2020" w:type="dxa"/>
            <w:vAlign w:val="bottom"/>
            <w:tcBorders>
              <w:bottom w:val="single" w:sz="8" w:color="0000EE"/>
            </w:tcBorders>
            <w:gridSpan w:val="27"/>
          </w:tcPr>
          <w:p>
            <w:pPr>
              <w:spacing w:after="0" w:line="188" w:lineRule="exact"/>
              <w:rPr>
                <w:rFonts w:ascii="Arial" w:cs="Arial" w:eastAsia="Arial" w:hAnsi="Arial"/>
                <w:sz w:val="17"/>
                <w:szCs w:val="17"/>
                <w:color w:val="0000EE"/>
                <w:w w:val="93"/>
              </w:rPr>
            </w:pPr>
            <w:hyperlink w:anchor="page115">
              <w:r>
                <w:rPr>
                  <w:rFonts w:ascii="Arial" w:cs="Arial" w:eastAsia="Arial" w:hAnsi="Arial"/>
                  <w:sz w:val="17"/>
                  <w:szCs w:val="17"/>
                  <w:color w:val="0000EE"/>
                  <w:w w:val="93"/>
                </w:rPr>
                <w:t>Unresolved Staff Comments</w:t>
              </w:r>
            </w:hyperlink>
          </w:p>
        </w:tc>
        <w:tc>
          <w:tcPr>
            <w:tcW w:w="5040" w:type="dxa"/>
            <w:vAlign w:val="bottom"/>
            <w:gridSpan w:val="19"/>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115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5.</w:t>
            </w:r>
          </w:p>
        </w:tc>
        <w:tc>
          <w:tcPr>
            <w:tcW w:w="3260" w:type="dxa"/>
            <w:vAlign w:val="bottom"/>
            <w:tcBorders>
              <w:bottom w:val="single" w:sz="8" w:color="0000EE"/>
            </w:tcBorders>
            <w:gridSpan w:val="41"/>
          </w:tcPr>
          <w:p>
            <w:pPr>
              <w:spacing w:after="0" w:line="188" w:lineRule="exact"/>
              <w:rPr>
                <w:rFonts w:ascii="Arial" w:cs="Arial" w:eastAsia="Arial" w:hAnsi="Arial"/>
                <w:sz w:val="17"/>
                <w:szCs w:val="17"/>
                <w:color w:val="0000EE"/>
                <w:w w:val="91"/>
              </w:rPr>
            </w:pPr>
            <w:hyperlink w:anchor="page115">
              <w:r>
                <w:rPr>
                  <w:rFonts w:ascii="Arial" w:cs="Arial" w:eastAsia="Arial" w:hAnsi="Arial"/>
                  <w:sz w:val="17"/>
                  <w:szCs w:val="17"/>
                  <w:color w:val="0000EE"/>
                  <w:w w:val="91"/>
                </w:rPr>
                <w:t>Operating and Financial Review and Prospects</w:t>
              </w:r>
            </w:hyperlink>
          </w:p>
        </w:tc>
        <w:tc>
          <w:tcPr>
            <w:tcW w:w="3800" w:type="dxa"/>
            <w:vAlign w:val="bottom"/>
            <w:gridSpan w:val="5"/>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115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5A.</w:t>
            </w:r>
          </w:p>
        </w:tc>
        <w:tc>
          <w:tcPr>
            <w:tcW w:w="1260" w:type="dxa"/>
            <w:vAlign w:val="bottom"/>
            <w:tcBorders>
              <w:bottom w:val="single" w:sz="8" w:color="0000EE"/>
            </w:tcBorders>
            <w:gridSpan w:val="11"/>
          </w:tcPr>
          <w:p>
            <w:pPr>
              <w:spacing w:after="0" w:line="188" w:lineRule="exact"/>
              <w:rPr>
                <w:rFonts w:ascii="Arial" w:cs="Arial" w:eastAsia="Arial" w:hAnsi="Arial"/>
                <w:sz w:val="17"/>
                <w:szCs w:val="17"/>
                <w:color w:val="0000EE"/>
                <w:w w:val="91"/>
              </w:rPr>
            </w:pPr>
            <w:hyperlink w:anchor="page116">
              <w:r>
                <w:rPr>
                  <w:rFonts w:ascii="Arial" w:cs="Arial" w:eastAsia="Arial" w:hAnsi="Arial"/>
                  <w:sz w:val="17"/>
                  <w:szCs w:val="17"/>
                  <w:color w:val="0000EE"/>
                  <w:w w:val="91"/>
                </w:rPr>
                <w:t>Operating Results</w:t>
              </w:r>
            </w:hyperlink>
          </w:p>
        </w:tc>
        <w:tc>
          <w:tcPr>
            <w:tcW w:w="5800" w:type="dxa"/>
            <w:vAlign w:val="bottom"/>
            <w:gridSpan w:val="35"/>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116</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5B.</w:t>
            </w:r>
          </w:p>
        </w:tc>
        <w:tc>
          <w:tcPr>
            <w:tcW w:w="7060" w:type="dxa"/>
            <w:vAlign w:val="bottom"/>
            <w:gridSpan w:val="46"/>
          </w:tcPr>
          <w:p>
            <w:pPr>
              <w:spacing w:after="0" w:line="188" w:lineRule="exact"/>
              <w:rPr>
                <w:rFonts w:ascii="Arial" w:cs="Arial" w:eastAsia="Arial" w:hAnsi="Arial"/>
                <w:sz w:val="17"/>
                <w:szCs w:val="17"/>
                <w:color w:val="0000EE"/>
              </w:rPr>
            </w:pPr>
            <w:hyperlink w:anchor="page122">
              <w:r>
                <w:rPr>
                  <w:rFonts w:ascii="Arial" w:cs="Arial" w:eastAsia="Arial" w:hAnsi="Arial"/>
                  <w:sz w:val="17"/>
                  <w:szCs w:val="17"/>
                  <w:color w:val="0000EE"/>
                </w:rPr>
                <w:t>Liquidity and Capital Resources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122</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5C.</w:t>
            </w:r>
          </w:p>
        </w:tc>
        <w:tc>
          <w:tcPr>
            <w:tcW w:w="3440" w:type="dxa"/>
            <w:vAlign w:val="bottom"/>
            <w:tcBorders>
              <w:bottom w:val="single" w:sz="8" w:color="0000EE"/>
            </w:tcBorders>
            <w:gridSpan w:val="42"/>
          </w:tcPr>
          <w:p>
            <w:pPr>
              <w:spacing w:after="0" w:line="188" w:lineRule="exact"/>
              <w:rPr>
                <w:rFonts w:ascii="Arial" w:cs="Arial" w:eastAsia="Arial" w:hAnsi="Arial"/>
                <w:sz w:val="17"/>
                <w:szCs w:val="17"/>
                <w:color w:val="0000EE"/>
                <w:w w:val="89"/>
              </w:rPr>
            </w:pPr>
            <w:hyperlink w:anchor="page124">
              <w:r>
                <w:rPr>
                  <w:rFonts w:ascii="Arial" w:cs="Arial" w:eastAsia="Arial" w:hAnsi="Arial"/>
                  <w:sz w:val="17"/>
                  <w:szCs w:val="17"/>
                  <w:color w:val="0000EE"/>
                  <w:w w:val="89"/>
                </w:rPr>
                <w:t>Research and Development, Patents and Licenses</w:t>
              </w:r>
            </w:hyperlink>
          </w:p>
        </w:tc>
        <w:tc>
          <w:tcPr>
            <w:tcW w:w="3620" w:type="dxa"/>
            <w:vAlign w:val="bottom"/>
            <w:gridSpan w:val="4"/>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124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5D.</w:t>
            </w:r>
          </w:p>
        </w:tc>
        <w:tc>
          <w:tcPr>
            <w:tcW w:w="7060" w:type="dxa"/>
            <w:vAlign w:val="bottom"/>
            <w:gridSpan w:val="46"/>
          </w:tcPr>
          <w:p>
            <w:pPr>
              <w:spacing w:after="0" w:line="188" w:lineRule="exact"/>
              <w:rPr>
                <w:rFonts w:ascii="Arial" w:cs="Arial" w:eastAsia="Arial" w:hAnsi="Arial"/>
                <w:sz w:val="17"/>
                <w:szCs w:val="17"/>
                <w:color w:val="0000EE"/>
              </w:rPr>
            </w:pPr>
            <w:hyperlink w:anchor="page124">
              <w:r>
                <w:rPr>
                  <w:rFonts w:ascii="Arial" w:cs="Arial" w:eastAsia="Arial" w:hAnsi="Arial"/>
                  <w:sz w:val="17"/>
                  <w:szCs w:val="17"/>
                  <w:color w:val="0000EE"/>
                </w:rPr>
                <w:t>Trend Information</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124</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5E.</w:t>
            </w:r>
          </w:p>
        </w:tc>
        <w:tc>
          <w:tcPr>
            <w:tcW w:w="2100" w:type="dxa"/>
            <w:vAlign w:val="bottom"/>
            <w:tcBorders>
              <w:bottom w:val="single" w:sz="8" w:color="0000EE"/>
            </w:tcBorders>
            <w:gridSpan w:val="29"/>
          </w:tcPr>
          <w:p>
            <w:pPr>
              <w:spacing w:after="0" w:line="188" w:lineRule="exact"/>
              <w:rPr>
                <w:rFonts w:ascii="Arial" w:cs="Arial" w:eastAsia="Arial" w:hAnsi="Arial"/>
                <w:sz w:val="17"/>
                <w:szCs w:val="17"/>
                <w:color w:val="0000EE"/>
                <w:w w:val="94"/>
              </w:rPr>
            </w:pPr>
            <w:hyperlink w:anchor="page124">
              <w:r>
                <w:rPr>
                  <w:rFonts w:ascii="Arial" w:cs="Arial" w:eastAsia="Arial" w:hAnsi="Arial"/>
                  <w:sz w:val="17"/>
                  <w:szCs w:val="17"/>
                  <w:color w:val="0000EE"/>
                  <w:w w:val="94"/>
                </w:rPr>
                <w:t>Critical Accounting Estimates</w:t>
              </w:r>
            </w:hyperlink>
          </w:p>
        </w:tc>
        <w:tc>
          <w:tcPr>
            <w:tcW w:w="4960" w:type="dxa"/>
            <w:vAlign w:val="bottom"/>
            <w:gridSpan w:val="17"/>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124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5F.</w:t>
            </w:r>
          </w:p>
        </w:tc>
        <w:tc>
          <w:tcPr>
            <w:tcW w:w="7060" w:type="dxa"/>
            <w:vAlign w:val="bottom"/>
            <w:gridSpan w:val="46"/>
          </w:tcPr>
          <w:p>
            <w:pPr>
              <w:spacing w:after="0" w:line="188" w:lineRule="exact"/>
              <w:rPr>
                <w:rFonts w:ascii="Arial" w:cs="Arial" w:eastAsia="Arial" w:hAnsi="Arial"/>
                <w:sz w:val="17"/>
                <w:szCs w:val="17"/>
                <w:color w:val="0000EE"/>
              </w:rPr>
            </w:pPr>
            <w:hyperlink w:anchor="page129">
              <w:r>
                <w:rPr>
                  <w:rFonts w:ascii="Arial" w:cs="Arial" w:eastAsia="Arial" w:hAnsi="Arial"/>
                  <w:sz w:val="17"/>
                  <w:szCs w:val="17"/>
                  <w:color w:val="0000EE"/>
                </w:rPr>
                <w:t>Contractual Obligations and Commitments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129</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6.</w:t>
            </w:r>
          </w:p>
        </w:tc>
        <w:tc>
          <w:tcPr>
            <w:tcW w:w="7060" w:type="dxa"/>
            <w:vAlign w:val="bottom"/>
            <w:gridSpan w:val="46"/>
          </w:tcPr>
          <w:p>
            <w:pPr>
              <w:spacing w:after="0" w:line="188" w:lineRule="exact"/>
              <w:rPr>
                <w:rFonts w:ascii="Arial" w:cs="Arial" w:eastAsia="Arial" w:hAnsi="Arial"/>
                <w:sz w:val="17"/>
                <w:szCs w:val="17"/>
                <w:color w:val="0000EE"/>
              </w:rPr>
            </w:pPr>
            <w:hyperlink w:anchor="page131">
              <w:r>
                <w:rPr>
                  <w:rFonts w:ascii="Arial" w:cs="Arial" w:eastAsia="Arial" w:hAnsi="Arial"/>
                  <w:sz w:val="17"/>
                  <w:szCs w:val="17"/>
                  <w:color w:val="0000EE"/>
                </w:rPr>
                <w:t>Directors, Senior Management and Employees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131</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6A.</w:t>
            </w:r>
          </w:p>
        </w:tc>
        <w:tc>
          <w:tcPr>
            <w:tcW w:w="3240" w:type="dxa"/>
            <w:vAlign w:val="bottom"/>
            <w:tcBorders>
              <w:top w:val="single" w:sz="8" w:color="0000EE"/>
            </w:tcBorders>
            <w:gridSpan w:val="40"/>
          </w:tcPr>
          <w:p>
            <w:pPr>
              <w:spacing w:after="0" w:line="188" w:lineRule="exact"/>
              <w:rPr>
                <w:rFonts w:ascii="Arial" w:cs="Arial" w:eastAsia="Arial" w:hAnsi="Arial"/>
                <w:sz w:val="17"/>
                <w:szCs w:val="17"/>
                <w:color w:val="0000EE"/>
              </w:rPr>
            </w:pPr>
            <w:hyperlink w:anchor="page131">
              <w:r>
                <w:rPr>
                  <w:rFonts w:ascii="Arial" w:cs="Arial" w:eastAsia="Arial" w:hAnsi="Arial"/>
                  <w:sz w:val="17"/>
                  <w:szCs w:val="17"/>
                  <w:color w:val="0000EE"/>
                </w:rPr>
                <w:t>Key Management Personnel</w:t>
              </w:r>
            </w:hyperlink>
          </w:p>
        </w:tc>
        <w:tc>
          <w:tcPr>
            <w:tcW w:w="3820" w:type="dxa"/>
            <w:vAlign w:val="bottom"/>
            <w:gridSpan w:val="6"/>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131</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6B.</w:t>
            </w:r>
          </w:p>
        </w:tc>
        <w:tc>
          <w:tcPr>
            <w:tcW w:w="1960" w:type="dxa"/>
            <w:vAlign w:val="bottom"/>
            <w:tcBorders>
              <w:top w:val="single" w:sz="8" w:color="0000EE"/>
            </w:tcBorders>
            <w:gridSpan w:val="26"/>
          </w:tcPr>
          <w:p>
            <w:pPr>
              <w:spacing w:after="0" w:line="188" w:lineRule="exact"/>
              <w:rPr>
                <w:rFonts w:ascii="Arial" w:cs="Arial" w:eastAsia="Arial" w:hAnsi="Arial"/>
                <w:sz w:val="17"/>
                <w:szCs w:val="17"/>
                <w:color w:val="0000EE"/>
              </w:rPr>
            </w:pPr>
            <w:hyperlink w:anchor="page133">
              <w:r>
                <w:rPr>
                  <w:rFonts w:ascii="Arial" w:cs="Arial" w:eastAsia="Arial" w:hAnsi="Arial"/>
                  <w:sz w:val="17"/>
                  <w:szCs w:val="17"/>
                  <w:color w:val="0000EE"/>
                </w:rPr>
                <w:t>Compensation</w:t>
              </w:r>
            </w:hyperlink>
          </w:p>
        </w:tc>
        <w:tc>
          <w:tcPr>
            <w:tcW w:w="5100" w:type="dxa"/>
            <w:vAlign w:val="bottom"/>
            <w:gridSpan w:val="20"/>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133</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6C.</w:t>
            </w:r>
          </w:p>
        </w:tc>
        <w:tc>
          <w:tcPr>
            <w:tcW w:w="1100" w:type="dxa"/>
            <w:vAlign w:val="bottom"/>
            <w:tcBorders>
              <w:bottom w:val="single" w:sz="8" w:color="0000EE"/>
            </w:tcBorders>
            <w:gridSpan w:val="7"/>
          </w:tcPr>
          <w:p>
            <w:pPr>
              <w:spacing w:after="0" w:line="188" w:lineRule="exact"/>
              <w:rPr>
                <w:rFonts w:ascii="Arial" w:cs="Arial" w:eastAsia="Arial" w:hAnsi="Arial"/>
                <w:sz w:val="17"/>
                <w:szCs w:val="17"/>
                <w:color w:val="0000EE"/>
                <w:w w:val="89"/>
              </w:rPr>
            </w:pPr>
            <w:hyperlink w:anchor="page137">
              <w:r>
                <w:rPr>
                  <w:rFonts w:ascii="Arial" w:cs="Arial" w:eastAsia="Arial" w:hAnsi="Arial"/>
                  <w:sz w:val="17"/>
                  <w:szCs w:val="17"/>
                  <w:color w:val="0000EE"/>
                  <w:w w:val="89"/>
                </w:rPr>
                <w:t>Board Practices</w:t>
              </w:r>
            </w:hyperlink>
          </w:p>
        </w:tc>
        <w:tc>
          <w:tcPr>
            <w:tcW w:w="5960" w:type="dxa"/>
            <w:vAlign w:val="bottom"/>
            <w:gridSpan w:val="39"/>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137</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6D.</w:t>
            </w:r>
          </w:p>
        </w:tc>
        <w:tc>
          <w:tcPr>
            <w:tcW w:w="780" w:type="dxa"/>
            <w:vAlign w:val="bottom"/>
            <w:tcBorders>
              <w:bottom w:val="single" w:sz="8" w:color="0000EE"/>
            </w:tcBorders>
            <w:gridSpan w:val="3"/>
          </w:tcPr>
          <w:p>
            <w:pPr>
              <w:spacing w:after="0" w:line="188" w:lineRule="exact"/>
              <w:rPr>
                <w:rFonts w:ascii="Arial" w:cs="Arial" w:eastAsia="Arial" w:hAnsi="Arial"/>
                <w:sz w:val="17"/>
                <w:szCs w:val="17"/>
                <w:color w:val="0000EE"/>
                <w:w w:val="90"/>
              </w:rPr>
            </w:pPr>
            <w:hyperlink w:anchor="page140">
              <w:r>
                <w:rPr>
                  <w:rFonts w:ascii="Arial" w:cs="Arial" w:eastAsia="Arial" w:hAnsi="Arial"/>
                  <w:sz w:val="17"/>
                  <w:szCs w:val="17"/>
                  <w:color w:val="0000EE"/>
                  <w:w w:val="90"/>
                </w:rPr>
                <w:t>Employees</w:t>
              </w:r>
            </w:hyperlink>
          </w:p>
        </w:tc>
        <w:tc>
          <w:tcPr>
            <w:tcW w:w="6280" w:type="dxa"/>
            <w:vAlign w:val="bottom"/>
            <w:gridSpan w:val="43"/>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140</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6E.</w:t>
            </w:r>
          </w:p>
        </w:tc>
        <w:tc>
          <w:tcPr>
            <w:tcW w:w="7060" w:type="dxa"/>
            <w:vAlign w:val="bottom"/>
            <w:gridSpan w:val="46"/>
          </w:tcPr>
          <w:p>
            <w:pPr>
              <w:spacing w:after="0" w:line="188" w:lineRule="exact"/>
              <w:rPr>
                <w:rFonts w:ascii="Arial" w:cs="Arial" w:eastAsia="Arial" w:hAnsi="Arial"/>
                <w:sz w:val="17"/>
                <w:szCs w:val="17"/>
                <w:color w:val="0000EE"/>
              </w:rPr>
            </w:pPr>
            <w:hyperlink w:anchor="page140">
              <w:r>
                <w:rPr>
                  <w:rFonts w:ascii="Arial" w:cs="Arial" w:eastAsia="Arial" w:hAnsi="Arial"/>
                  <w:sz w:val="17"/>
                  <w:szCs w:val="17"/>
                  <w:color w:val="0000EE"/>
                </w:rPr>
                <w:t>Share Ownership</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140</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7.</w:t>
            </w:r>
          </w:p>
        </w:tc>
        <w:tc>
          <w:tcPr>
            <w:tcW w:w="3580" w:type="dxa"/>
            <w:vAlign w:val="bottom"/>
            <w:tcBorders>
              <w:bottom w:val="single" w:sz="8" w:color="0000EE"/>
            </w:tcBorders>
            <w:gridSpan w:val="43"/>
          </w:tcPr>
          <w:p>
            <w:pPr>
              <w:spacing w:after="0" w:line="188" w:lineRule="exact"/>
              <w:rPr>
                <w:rFonts w:ascii="Arial" w:cs="Arial" w:eastAsia="Arial" w:hAnsi="Arial"/>
                <w:sz w:val="17"/>
                <w:szCs w:val="17"/>
                <w:color w:val="0000EE"/>
                <w:w w:val="91"/>
              </w:rPr>
            </w:pPr>
            <w:hyperlink w:anchor="page141">
              <w:r>
                <w:rPr>
                  <w:rFonts w:ascii="Arial" w:cs="Arial" w:eastAsia="Arial" w:hAnsi="Arial"/>
                  <w:sz w:val="17"/>
                  <w:szCs w:val="17"/>
                  <w:color w:val="0000EE"/>
                  <w:w w:val="91"/>
                </w:rPr>
                <w:t>Major Shareholders and Related Party Transactions</w:t>
              </w:r>
            </w:hyperlink>
          </w:p>
        </w:tc>
        <w:tc>
          <w:tcPr>
            <w:tcW w:w="3480" w:type="dxa"/>
            <w:vAlign w:val="bottom"/>
            <w:gridSpan w:val="3"/>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141</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7A.</w:t>
            </w:r>
          </w:p>
        </w:tc>
        <w:tc>
          <w:tcPr>
            <w:tcW w:w="1400" w:type="dxa"/>
            <w:vAlign w:val="bottom"/>
            <w:tcBorders>
              <w:bottom w:val="single" w:sz="8" w:color="0000EE"/>
            </w:tcBorders>
            <w:gridSpan w:val="15"/>
          </w:tcPr>
          <w:p>
            <w:pPr>
              <w:spacing w:after="0" w:line="188" w:lineRule="exact"/>
              <w:rPr>
                <w:rFonts w:ascii="Arial" w:cs="Arial" w:eastAsia="Arial" w:hAnsi="Arial"/>
                <w:sz w:val="17"/>
                <w:szCs w:val="17"/>
                <w:color w:val="0000EE"/>
                <w:w w:val="91"/>
              </w:rPr>
            </w:pPr>
            <w:hyperlink w:anchor="page141">
              <w:r>
                <w:rPr>
                  <w:rFonts w:ascii="Arial" w:cs="Arial" w:eastAsia="Arial" w:hAnsi="Arial"/>
                  <w:sz w:val="17"/>
                  <w:szCs w:val="17"/>
                  <w:color w:val="0000EE"/>
                  <w:w w:val="91"/>
                </w:rPr>
                <w:t>Major Shareholders</w:t>
              </w:r>
            </w:hyperlink>
          </w:p>
        </w:tc>
        <w:tc>
          <w:tcPr>
            <w:tcW w:w="5660" w:type="dxa"/>
            <w:vAlign w:val="bottom"/>
            <w:gridSpan w:val="31"/>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141</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7B.</w:t>
            </w:r>
          </w:p>
        </w:tc>
        <w:tc>
          <w:tcPr>
            <w:tcW w:w="7060" w:type="dxa"/>
            <w:vAlign w:val="bottom"/>
            <w:gridSpan w:val="46"/>
          </w:tcPr>
          <w:p>
            <w:pPr>
              <w:spacing w:after="0" w:line="188" w:lineRule="exact"/>
              <w:rPr>
                <w:rFonts w:ascii="Arial" w:cs="Arial" w:eastAsia="Arial" w:hAnsi="Arial"/>
                <w:sz w:val="17"/>
                <w:szCs w:val="17"/>
                <w:color w:val="0000EE"/>
              </w:rPr>
            </w:pPr>
            <w:hyperlink w:anchor="page143">
              <w:r>
                <w:rPr>
                  <w:rFonts w:ascii="Arial" w:cs="Arial" w:eastAsia="Arial" w:hAnsi="Arial"/>
                  <w:sz w:val="17"/>
                  <w:szCs w:val="17"/>
                  <w:color w:val="0000EE"/>
                </w:rPr>
                <w:t>Related Party Transactions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143</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7C.</w:t>
            </w:r>
          </w:p>
        </w:tc>
        <w:tc>
          <w:tcPr>
            <w:tcW w:w="2260" w:type="dxa"/>
            <w:vAlign w:val="bottom"/>
            <w:tcBorders>
              <w:bottom w:val="single" w:sz="8" w:color="0000EE"/>
            </w:tcBorders>
            <w:gridSpan w:val="33"/>
          </w:tcPr>
          <w:p>
            <w:pPr>
              <w:spacing w:after="0" w:line="188" w:lineRule="exact"/>
              <w:rPr>
                <w:rFonts w:ascii="Arial" w:cs="Arial" w:eastAsia="Arial" w:hAnsi="Arial"/>
                <w:sz w:val="17"/>
                <w:szCs w:val="17"/>
                <w:color w:val="0000EE"/>
                <w:w w:val="90"/>
              </w:rPr>
            </w:pPr>
            <w:hyperlink w:anchor="page144">
              <w:r>
                <w:rPr>
                  <w:rFonts w:ascii="Arial" w:cs="Arial" w:eastAsia="Arial" w:hAnsi="Arial"/>
                  <w:sz w:val="17"/>
                  <w:szCs w:val="17"/>
                  <w:color w:val="0000EE"/>
                  <w:w w:val="90"/>
                </w:rPr>
                <w:t>Interests of Experts and Counsel</w:t>
              </w:r>
            </w:hyperlink>
          </w:p>
        </w:tc>
        <w:tc>
          <w:tcPr>
            <w:tcW w:w="4800" w:type="dxa"/>
            <w:vAlign w:val="bottom"/>
            <w:gridSpan w:val="13"/>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8.</w:t>
            </w:r>
          </w:p>
        </w:tc>
        <w:tc>
          <w:tcPr>
            <w:tcW w:w="1540" w:type="dxa"/>
            <w:vAlign w:val="bottom"/>
            <w:tcBorders>
              <w:bottom w:val="single" w:sz="8" w:color="0000EE"/>
            </w:tcBorders>
            <w:gridSpan w:val="19"/>
          </w:tcPr>
          <w:p>
            <w:pPr>
              <w:spacing w:after="0" w:line="188" w:lineRule="exact"/>
              <w:rPr>
                <w:rFonts w:ascii="Arial" w:cs="Arial" w:eastAsia="Arial" w:hAnsi="Arial"/>
                <w:sz w:val="17"/>
                <w:szCs w:val="17"/>
                <w:color w:val="0000EE"/>
                <w:w w:val="96"/>
              </w:rPr>
            </w:pPr>
            <w:hyperlink w:anchor="page144">
              <w:r>
                <w:rPr>
                  <w:rFonts w:ascii="Arial" w:cs="Arial" w:eastAsia="Arial" w:hAnsi="Arial"/>
                  <w:sz w:val="17"/>
                  <w:szCs w:val="17"/>
                  <w:color w:val="0000EE"/>
                  <w:w w:val="96"/>
                </w:rPr>
                <w:t>Financial Information</w:t>
              </w:r>
            </w:hyperlink>
          </w:p>
        </w:tc>
        <w:tc>
          <w:tcPr>
            <w:tcW w:w="5520" w:type="dxa"/>
            <w:vAlign w:val="bottom"/>
            <w:gridSpan w:val="27"/>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8A.</w:t>
            </w:r>
          </w:p>
        </w:tc>
        <w:tc>
          <w:tcPr>
            <w:tcW w:w="4020" w:type="dxa"/>
            <w:vAlign w:val="bottom"/>
            <w:tcBorders>
              <w:bottom w:val="single" w:sz="8" w:color="0000EE"/>
            </w:tcBorders>
            <w:gridSpan w:val="44"/>
          </w:tcPr>
          <w:p>
            <w:pPr>
              <w:spacing w:after="0" w:line="188" w:lineRule="exact"/>
              <w:rPr>
                <w:rFonts w:ascii="Arial" w:cs="Arial" w:eastAsia="Arial" w:hAnsi="Arial"/>
                <w:sz w:val="17"/>
                <w:szCs w:val="17"/>
                <w:color w:val="0000EE"/>
                <w:w w:val="92"/>
              </w:rPr>
            </w:pPr>
            <w:hyperlink w:anchor="page144">
              <w:r>
                <w:rPr>
                  <w:rFonts w:ascii="Arial" w:cs="Arial" w:eastAsia="Arial" w:hAnsi="Arial"/>
                  <w:sz w:val="17"/>
                  <w:szCs w:val="17"/>
                  <w:color w:val="0000EE"/>
                  <w:w w:val="92"/>
                </w:rPr>
                <w:t>Consolidated Statements and Other Financial Information</w:t>
              </w:r>
            </w:hyperlink>
          </w:p>
        </w:tc>
        <w:tc>
          <w:tcPr>
            <w:tcW w:w="3040" w:type="dxa"/>
            <w:vAlign w:val="bottom"/>
            <w:gridSpan w:val="2"/>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8B.</w:t>
            </w:r>
          </w:p>
        </w:tc>
        <w:tc>
          <w:tcPr>
            <w:tcW w:w="7060" w:type="dxa"/>
            <w:vAlign w:val="bottom"/>
            <w:gridSpan w:val="46"/>
          </w:tcPr>
          <w:p>
            <w:pPr>
              <w:spacing w:after="0" w:line="188" w:lineRule="exact"/>
              <w:rPr>
                <w:rFonts w:ascii="Arial" w:cs="Arial" w:eastAsia="Arial" w:hAnsi="Arial"/>
                <w:sz w:val="17"/>
                <w:szCs w:val="17"/>
                <w:color w:val="0000EE"/>
              </w:rPr>
            </w:pPr>
            <w:hyperlink w:anchor="page144">
              <w:r>
                <w:rPr>
                  <w:rFonts w:ascii="Arial" w:cs="Arial" w:eastAsia="Arial" w:hAnsi="Arial"/>
                  <w:sz w:val="17"/>
                  <w:szCs w:val="17"/>
                  <w:color w:val="0000EE"/>
                </w:rPr>
                <w:t>Significant Changes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144</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9.</w:t>
            </w:r>
          </w:p>
        </w:tc>
        <w:tc>
          <w:tcPr>
            <w:tcW w:w="1520" w:type="dxa"/>
            <w:vAlign w:val="bottom"/>
            <w:tcBorders>
              <w:bottom w:val="single" w:sz="8" w:color="0000EE"/>
            </w:tcBorders>
            <w:gridSpan w:val="18"/>
          </w:tcPr>
          <w:p>
            <w:pPr>
              <w:spacing w:after="0" w:line="188"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The Offer and Listing</w:t>
              </w:r>
            </w:hyperlink>
          </w:p>
        </w:tc>
        <w:tc>
          <w:tcPr>
            <w:tcW w:w="5540" w:type="dxa"/>
            <w:vAlign w:val="bottom"/>
            <w:gridSpan w:val="28"/>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9A.</w:t>
            </w:r>
          </w:p>
        </w:tc>
        <w:tc>
          <w:tcPr>
            <w:tcW w:w="1740" w:type="dxa"/>
            <w:vAlign w:val="bottom"/>
            <w:tcBorders>
              <w:bottom w:val="single" w:sz="8" w:color="0000EE"/>
            </w:tcBorders>
            <w:gridSpan w:val="24"/>
          </w:tcPr>
          <w:p>
            <w:pPr>
              <w:spacing w:after="0" w:line="188"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Offer and Listing Details</w:t>
              </w:r>
            </w:hyperlink>
          </w:p>
        </w:tc>
        <w:tc>
          <w:tcPr>
            <w:tcW w:w="5320" w:type="dxa"/>
            <w:vAlign w:val="bottom"/>
            <w:gridSpan w:val="22"/>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9B.</w:t>
            </w:r>
          </w:p>
        </w:tc>
        <w:tc>
          <w:tcPr>
            <w:tcW w:w="7060" w:type="dxa"/>
            <w:vAlign w:val="bottom"/>
            <w:gridSpan w:val="4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Plan of Distribution</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9C.</w:t>
            </w:r>
          </w:p>
        </w:tc>
        <w:tc>
          <w:tcPr>
            <w:tcW w:w="580" w:type="dxa"/>
            <w:vAlign w:val="bottom"/>
            <w:tcBorders>
              <w:top w:val="single" w:sz="8" w:color="0000EE"/>
              <w:bottom w:val="single" w:sz="8" w:color="0000EE"/>
            </w:tcBorders>
          </w:tcPr>
          <w:p>
            <w:pPr>
              <w:spacing w:after="0" w:line="188" w:lineRule="exact"/>
              <w:rPr>
                <w:rFonts w:ascii="Arial" w:cs="Arial" w:eastAsia="Arial" w:hAnsi="Arial"/>
                <w:sz w:val="17"/>
                <w:szCs w:val="17"/>
                <w:color w:val="0000EE"/>
                <w:w w:val="92"/>
              </w:rPr>
            </w:pPr>
            <w:hyperlink w:anchor="page145">
              <w:r>
                <w:rPr>
                  <w:rFonts w:ascii="Arial" w:cs="Arial" w:eastAsia="Arial" w:hAnsi="Arial"/>
                  <w:sz w:val="17"/>
                  <w:szCs w:val="17"/>
                  <w:color w:val="0000EE"/>
                  <w:w w:val="92"/>
                </w:rPr>
                <w:t>Markets</w:t>
              </w:r>
            </w:hyperlink>
          </w:p>
        </w:tc>
        <w:tc>
          <w:tcPr>
            <w:tcW w:w="820" w:type="dxa"/>
            <w:vAlign w:val="bottom"/>
            <w:tcBorders>
              <w:top w:val="single" w:sz="8" w:color="0000EE"/>
            </w:tcBorders>
            <w:gridSpan w:val="14"/>
          </w:tcPr>
          <w:p>
            <w:pPr>
              <w:spacing w:after="0"/>
              <w:rPr>
                <w:sz w:val="16"/>
                <w:szCs w:val="16"/>
                <w:color w:val="auto"/>
              </w:rPr>
            </w:pPr>
          </w:p>
        </w:tc>
        <w:tc>
          <w:tcPr>
            <w:tcW w:w="5660" w:type="dxa"/>
            <w:vAlign w:val="bottom"/>
            <w:gridSpan w:val="31"/>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9D.</w:t>
            </w:r>
          </w:p>
        </w:tc>
        <w:tc>
          <w:tcPr>
            <w:tcW w:w="7060" w:type="dxa"/>
            <w:vAlign w:val="bottom"/>
            <w:gridSpan w:val="4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Selling Shareholders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9E.</w:t>
            </w:r>
          </w:p>
        </w:tc>
        <w:tc>
          <w:tcPr>
            <w:tcW w:w="1440" w:type="dxa"/>
            <w:vAlign w:val="bottom"/>
            <w:tcBorders>
              <w:top w:val="single" w:sz="8" w:color="0000EE"/>
            </w:tcBorders>
            <w:gridSpan w:val="1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Dilution</w:t>
              </w:r>
            </w:hyperlink>
          </w:p>
        </w:tc>
        <w:tc>
          <w:tcPr>
            <w:tcW w:w="5620" w:type="dxa"/>
            <w:vAlign w:val="bottom"/>
            <w:gridSpan w:val="30"/>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20"/>
        </w:trPr>
        <w:tc>
          <w:tcPr>
            <w:tcW w:w="17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9F.</w:t>
            </w:r>
          </w:p>
        </w:tc>
        <w:tc>
          <w:tcPr>
            <w:tcW w:w="7060" w:type="dxa"/>
            <w:vAlign w:val="bottom"/>
            <w:gridSpan w:val="4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Expenses of the Issue</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20"/>
        </w:trPr>
        <w:tc>
          <w:tcPr>
            <w:tcW w:w="17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10.</w:t>
            </w:r>
          </w:p>
        </w:tc>
        <w:tc>
          <w:tcPr>
            <w:tcW w:w="1620" w:type="dxa"/>
            <w:vAlign w:val="bottom"/>
            <w:tcBorders>
              <w:bottom w:val="single" w:sz="8" w:color="0000EE"/>
            </w:tcBorders>
            <w:gridSpan w:val="21"/>
          </w:tcPr>
          <w:p>
            <w:pPr>
              <w:spacing w:after="0" w:line="188" w:lineRule="exact"/>
              <w:rPr>
                <w:rFonts w:ascii="Arial" w:cs="Arial" w:eastAsia="Arial" w:hAnsi="Arial"/>
                <w:sz w:val="17"/>
                <w:szCs w:val="17"/>
                <w:color w:val="0000EE"/>
                <w:w w:val="97"/>
              </w:rPr>
            </w:pPr>
            <w:hyperlink w:anchor="page145">
              <w:r>
                <w:rPr>
                  <w:rFonts w:ascii="Arial" w:cs="Arial" w:eastAsia="Arial" w:hAnsi="Arial"/>
                  <w:sz w:val="17"/>
                  <w:szCs w:val="17"/>
                  <w:color w:val="0000EE"/>
                  <w:w w:val="97"/>
                </w:rPr>
                <w:t>Additional Information</w:t>
              </w:r>
            </w:hyperlink>
          </w:p>
        </w:tc>
        <w:tc>
          <w:tcPr>
            <w:tcW w:w="5440" w:type="dxa"/>
            <w:vAlign w:val="bottom"/>
            <w:gridSpan w:val="25"/>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10A.</w:t>
            </w:r>
          </w:p>
        </w:tc>
        <w:tc>
          <w:tcPr>
            <w:tcW w:w="7060" w:type="dxa"/>
            <w:vAlign w:val="bottom"/>
            <w:gridSpan w:val="4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Share Capital</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10B.</w:t>
            </w:r>
          </w:p>
        </w:tc>
        <w:tc>
          <w:tcPr>
            <w:tcW w:w="1000" w:type="dxa"/>
            <w:vAlign w:val="bottom"/>
            <w:tcBorders>
              <w:top w:val="single" w:sz="8" w:color="0000EE"/>
            </w:tcBorders>
            <w:gridSpan w:val="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Constitution</w:t>
              </w:r>
            </w:hyperlink>
          </w:p>
        </w:tc>
        <w:tc>
          <w:tcPr>
            <w:tcW w:w="6060" w:type="dxa"/>
            <w:vAlign w:val="bottom"/>
            <w:gridSpan w:val="40"/>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20"/>
        </w:trPr>
        <w:tc>
          <w:tcPr>
            <w:tcW w:w="17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10C.</w:t>
            </w:r>
          </w:p>
        </w:tc>
        <w:tc>
          <w:tcPr>
            <w:tcW w:w="1300" w:type="dxa"/>
            <w:vAlign w:val="bottom"/>
            <w:tcBorders>
              <w:bottom w:val="single" w:sz="8" w:color="0000EE"/>
            </w:tcBorders>
            <w:gridSpan w:val="13"/>
          </w:tcPr>
          <w:p>
            <w:pPr>
              <w:spacing w:after="0" w:line="188" w:lineRule="exact"/>
              <w:rPr>
                <w:rFonts w:ascii="Arial" w:cs="Arial" w:eastAsia="Arial" w:hAnsi="Arial"/>
                <w:sz w:val="17"/>
                <w:szCs w:val="17"/>
                <w:color w:val="0000EE"/>
                <w:w w:val="92"/>
              </w:rPr>
            </w:pPr>
            <w:hyperlink w:anchor="page145">
              <w:r>
                <w:rPr>
                  <w:rFonts w:ascii="Arial" w:cs="Arial" w:eastAsia="Arial" w:hAnsi="Arial"/>
                  <w:sz w:val="17"/>
                  <w:szCs w:val="17"/>
                  <w:color w:val="0000EE"/>
                  <w:w w:val="92"/>
                </w:rPr>
                <w:t>Material Contracts</w:t>
              </w:r>
            </w:hyperlink>
          </w:p>
        </w:tc>
        <w:tc>
          <w:tcPr>
            <w:tcW w:w="5760" w:type="dxa"/>
            <w:vAlign w:val="bottom"/>
            <w:gridSpan w:val="33"/>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10D.</w:t>
            </w:r>
          </w:p>
        </w:tc>
        <w:tc>
          <w:tcPr>
            <w:tcW w:w="7060" w:type="dxa"/>
            <w:vAlign w:val="bottom"/>
            <w:gridSpan w:val="46"/>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Exchange Controls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10E.</w:t>
            </w:r>
          </w:p>
        </w:tc>
        <w:tc>
          <w:tcPr>
            <w:tcW w:w="1340" w:type="dxa"/>
            <w:vAlign w:val="bottom"/>
            <w:tcBorders>
              <w:top w:val="single" w:sz="8" w:color="0000EE"/>
            </w:tcBorders>
            <w:gridSpan w:val="14"/>
          </w:tcPr>
          <w:p>
            <w:pPr>
              <w:spacing w:after="0" w:line="188" w:lineRule="exact"/>
              <w:rPr>
                <w:rFonts w:ascii="Arial" w:cs="Arial" w:eastAsia="Arial" w:hAnsi="Arial"/>
                <w:sz w:val="17"/>
                <w:szCs w:val="17"/>
                <w:color w:val="0000EE"/>
              </w:rPr>
            </w:pPr>
            <w:hyperlink w:anchor="page145">
              <w:r>
                <w:rPr>
                  <w:rFonts w:ascii="Arial" w:cs="Arial" w:eastAsia="Arial" w:hAnsi="Arial"/>
                  <w:sz w:val="17"/>
                  <w:szCs w:val="17"/>
                  <w:color w:val="0000EE"/>
                </w:rPr>
                <w:t>Taxation</w:t>
              </w:r>
            </w:hyperlink>
          </w:p>
        </w:tc>
        <w:tc>
          <w:tcPr>
            <w:tcW w:w="5720" w:type="dxa"/>
            <w:vAlign w:val="bottom"/>
            <w:gridSpan w:val="32"/>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145</w:t>
            </w:r>
          </w:p>
        </w:tc>
      </w:tr>
      <w:tr>
        <w:trPr>
          <w:trHeight w:val="20"/>
        </w:trPr>
        <w:tc>
          <w:tcPr>
            <w:tcW w:w="17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100" w:type="dxa"/>
            <w:vAlign w:val="bottom"/>
            <w:gridSpan w:val="17"/>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10F.</w:t>
            </w:r>
          </w:p>
        </w:tc>
        <w:tc>
          <w:tcPr>
            <w:tcW w:w="7060" w:type="dxa"/>
            <w:vAlign w:val="bottom"/>
            <w:gridSpan w:val="46"/>
          </w:tcPr>
          <w:p>
            <w:pPr>
              <w:spacing w:after="0" w:line="188" w:lineRule="exact"/>
              <w:rPr>
                <w:rFonts w:ascii="Arial" w:cs="Arial" w:eastAsia="Arial" w:hAnsi="Arial"/>
                <w:sz w:val="17"/>
                <w:szCs w:val="17"/>
                <w:color w:val="0000EE"/>
              </w:rPr>
            </w:pPr>
            <w:hyperlink w:anchor="page154">
              <w:r>
                <w:rPr>
                  <w:rFonts w:ascii="Arial" w:cs="Arial" w:eastAsia="Arial" w:hAnsi="Arial"/>
                  <w:sz w:val="17"/>
                  <w:szCs w:val="17"/>
                  <w:color w:val="0000EE"/>
                </w:rPr>
                <w:t>Dividends and Paying Agents</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154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10G.</w:t>
            </w:r>
          </w:p>
        </w:tc>
        <w:tc>
          <w:tcPr>
            <w:tcW w:w="2060" w:type="dxa"/>
            <w:vAlign w:val="bottom"/>
            <w:tcBorders>
              <w:top w:val="single" w:sz="8" w:color="0000EE"/>
            </w:tcBorders>
            <w:gridSpan w:val="28"/>
          </w:tcPr>
          <w:p>
            <w:pPr>
              <w:spacing w:after="0" w:line="188" w:lineRule="exact"/>
              <w:rPr>
                <w:rFonts w:ascii="Arial" w:cs="Arial" w:eastAsia="Arial" w:hAnsi="Arial"/>
                <w:sz w:val="17"/>
                <w:szCs w:val="17"/>
                <w:color w:val="0000EE"/>
              </w:rPr>
            </w:pPr>
            <w:hyperlink w:anchor="page154">
              <w:r>
                <w:rPr>
                  <w:rFonts w:ascii="Arial" w:cs="Arial" w:eastAsia="Arial" w:hAnsi="Arial"/>
                  <w:sz w:val="17"/>
                  <w:szCs w:val="17"/>
                  <w:color w:val="0000EE"/>
                </w:rPr>
                <w:t>Statement by Experts</w:t>
              </w:r>
            </w:hyperlink>
          </w:p>
        </w:tc>
        <w:tc>
          <w:tcPr>
            <w:tcW w:w="5000" w:type="dxa"/>
            <w:vAlign w:val="bottom"/>
            <w:gridSpan w:val="18"/>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154</w:t>
            </w:r>
          </w:p>
        </w:tc>
      </w:tr>
      <w:tr>
        <w:trPr>
          <w:trHeight w:val="20"/>
        </w:trPr>
        <w:tc>
          <w:tcPr>
            <w:tcW w:w="1700" w:type="dxa"/>
            <w:vAlign w:val="bottom"/>
            <w:gridSpan w:val="2"/>
          </w:tcPr>
          <w:p>
            <w:pPr>
              <w:spacing w:after="0" w:line="20" w:lineRule="exact"/>
              <w:rPr>
                <w:sz w:val="1"/>
                <w:szCs w:val="1"/>
                <w:color w:val="auto"/>
              </w:rPr>
            </w:pPr>
          </w:p>
        </w:tc>
        <w:tc>
          <w:tcPr>
            <w:tcW w:w="1480" w:type="dxa"/>
            <w:vAlign w:val="bottom"/>
            <w:gridSpan w:val="17"/>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24"/>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10H.</w:t>
            </w:r>
          </w:p>
        </w:tc>
        <w:tc>
          <w:tcPr>
            <w:tcW w:w="1600" w:type="dxa"/>
            <w:vAlign w:val="bottom"/>
            <w:tcBorders>
              <w:bottom w:val="single" w:sz="8" w:color="0000EE"/>
            </w:tcBorders>
            <w:gridSpan w:val="20"/>
          </w:tcPr>
          <w:p>
            <w:pPr>
              <w:spacing w:after="0" w:line="188" w:lineRule="exact"/>
              <w:rPr>
                <w:rFonts w:ascii="Arial" w:cs="Arial" w:eastAsia="Arial" w:hAnsi="Arial"/>
                <w:sz w:val="17"/>
                <w:szCs w:val="17"/>
                <w:color w:val="0000EE"/>
                <w:w w:val="92"/>
              </w:rPr>
            </w:pPr>
            <w:hyperlink w:anchor="page154">
              <w:r>
                <w:rPr>
                  <w:rFonts w:ascii="Arial" w:cs="Arial" w:eastAsia="Arial" w:hAnsi="Arial"/>
                  <w:sz w:val="17"/>
                  <w:szCs w:val="17"/>
                  <w:color w:val="0000EE"/>
                  <w:w w:val="92"/>
                </w:rPr>
                <w:t>Documents on Display</w:t>
              </w:r>
            </w:hyperlink>
          </w:p>
        </w:tc>
        <w:tc>
          <w:tcPr>
            <w:tcW w:w="5460" w:type="dxa"/>
            <w:vAlign w:val="bottom"/>
            <w:gridSpan w:val="26"/>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154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10I.</w:t>
            </w:r>
          </w:p>
        </w:tc>
        <w:tc>
          <w:tcPr>
            <w:tcW w:w="1620" w:type="dxa"/>
            <w:vAlign w:val="bottom"/>
            <w:tcBorders>
              <w:bottom w:val="single" w:sz="8" w:color="0000EE"/>
            </w:tcBorders>
            <w:gridSpan w:val="21"/>
          </w:tcPr>
          <w:p>
            <w:pPr>
              <w:spacing w:after="0" w:line="188" w:lineRule="exact"/>
              <w:rPr>
                <w:rFonts w:ascii="Arial" w:cs="Arial" w:eastAsia="Arial" w:hAnsi="Arial"/>
                <w:sz w:val="17"/>
                <w:szCs w:val="17"/>
                <w:color w:val="0000EE"/>
                <w:w w:val="94"/>
              </w:rPr>
            </w:pPr>
            <w:hyperlink w:anchor="page154">
              <w:r>
                <w:rPr>
                  <w:rFonts w:ascii="Arial" w:cs="Arial" w:eastAsia="Arial" w:hAnsi="Arial"/>
                  <w:sz w:val="17"/>
                  <w:szCs w:val="17"/>
                  <w:color w:val="0000EE"/>
                  <w:w w:val="94"/>
                </w:rPr>
                <w:t>Subsidiary Information</w:t>
              </w:r>
            </w:hyperlink>
          </w:p>
        </w:tc>
        <w:tc>
          <w:tcPr>
            <w:tcW w:w="5440" w:type="dxa"/>
            <w:vAlign w:val="bottom"/>
            <w:gridSpan w:val="25"/>
          </w:tcPr>
          <w:p>
            <w:pPr>
              <w:spacing w:after="0"/>
              <w:rPr>
                <w:sz w:val="16"/>
                <w:szCs w:val="16"/>
                <w:color w:val="auto"/>
              </w:rPr>
            </w:pPr>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154</w:t>
            </w:r>
          </w:p>
        </w:tc>
      </w:tr>
      <w:tr>
        <w:trPr>
          <w:trHeight w:val="188"/>
        </w:trPr>
        <w:tc>
          <w:tcPr>
            <w:tcW w:w="170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Item 11.</w:t>
            </w:r>
          </w:p>
        </w:tc>
        <w:tc>
          <w:tcPr>
            <w:tcW w:w="7060" w:type="dxa"/>
            <w:vAlign w:val="bottom"/>
            <w:gridSpan w:val="46"/>
          </w:tcPr>
          <w:p>
            <w:pPr>
              <w:spacing w:after="0" w:line="188" w:lineRule="exact"/>
              <w:rPr>
                <w:rFonts w:ascii="Arial" w:cs="Arial" w:eastAsia="Arial" w:hAnsi="Arial"/>
                <w:sz w:val="17"/>
                <w:szCs w:val="17"/>
                <w:color w:val="0000EE"/>
              </w:rPr>
            </w:pPr>
            <w:hyperlink w:anchor="page155">
              <w:r>
                <w:rPr>
                  <w:rFonts w:ascii="Arial" w:cs="Arial" w:eastAsia="Arial" w:hAnsi="Arial"/>
                  <w:sz w:val="17"/>
                  <w:szCs w:val="17"/>
                  <w:color w:val="0000EE"/>
                </w:rPr>
                <w:t>Quantitative and Qualitative Disclosures about Market Risk</w:t>
              </w:r>
            </w:hyperlink>
          </w:p>
        </w:tc>
        <w:tc>
          <w:tcPr>
            <w:tcW w:w="2480" w:type="dxa"/>
            <w:vAlign w:val="bottom"/>
          </w:tcPr>
          <w:p>
            <w:pPr>
              <w:jc w:val="right"/>
              <w:spacing w:after="0" w:line="188" w:lineRule="exact"/>
              <w:rPr>
                <w:sz w:val="20"/>
                <w:szCs w:val="20"/>
                <w:color w:val="auto"/>
              </w:rPr>
            </w:pPr>
            <w:r>
              <w:rPr>
                <w:rFonts w:ascii="Arial" w:cs="Arial" w:eastAsia="Arial" w:hAnsi="Arial"/>
                <w:sz w:val="17"/>
                <w:szCs w:val="17"/>
                <w:color w:val="auto"/>
              </w:rPr>
              <w:t>155</w:t>
            </w:r>
          </w:p>
        </w:tc>
      </w:tr>
      <w:tr>
        <w:trPr>
          <w:trHeight w:val="435"/>
        </w:trPr>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20" w:type="dxa"/>
            <w:vAlign w:val="bottom"/>
            <w:tcBorders>
              <w:top w:val="single" w:sz="8" w:color="0000EE"/>
            </w:tcBorders>
            <w:gridSpan w:val="44"/>
          </w:tcPr>
          <w:p>
            <w:pPr>
              <w:ind w:left="3880"/>
              <w:spacing w:after="0"/>
              <w:rPr>
                <w:sz w:val="20"/>
                <w:szCs w:val="20"/>
                <w:color w:val="auto"/>
              </w:rPr>
            </w:pPr>
            <w:r>
              <w:rPr>
                <w:rFonts w:ascii="Arial" w:cs="Arial" w:eastAsia="Arial" w:hAnsi="Arial"/>
                <w:sz w:val="17"/>
                <w:szCs w:val="17"/>
                <w:color w:val="auto"/>
              </w:rPr>
              <w:t>2</w:t>
            </w:r>
          </w:p>
        </w:tc>
        <w:tc>
          <w:tcPr>
            <w:tcW w:w="14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10"/>
        </w:trPr>
        <w:tc>
          <w:tcPr>
            <w:tcW w:w="5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gridSpan w:val="8"/>
          </w:tcPr>
          <w:p>
            <w:pPr>
              <w:ind w:left="240"/>
              <w:spacing w:after="0"/>
              <w:rPr>
                <w:sz w:val="20"/>
                <w:szCs w:val="20"/>
                <w:color w:val="auto"/>
              </w:rPr>
            </w:pPr>
            <w:r>
              <w:rPr>
                <w:rFonts w:ascii="Arial" w:cs="Arial" w:eastAsia="Arial" w:hAnsi="Arial"/>
                <w:sz w:val="17"/>
                <w:szCs w:val="17"/>
                <w:b w:val="1"/>
                <w:bCs w:val="1"/>
                <w:color w:val="auto"/>
              </w:rPr>
              <w:t>TABLE OF CONTENTS</w:t>
            </w:r>
          </w:p>
        </w:tc>
        <w:tc>
          <w:tcPr>
            <w:tcW w:w="2200" w:type="dxa"/>
            <w:vAlign w:val="bottom"/>
          </w:tcPr>
          <w:p>
            <w:pPr>
              <w:spacing w:after="0"/>
              <w:rPr>
                <w:sz w:val="19"/>
                <w:szCs w:val="19"/>
                <w:color w:val="auto"/>
              </w:rPr>
            </w:pPr>
          </w:p>
        </w:tc>
      </w:tr>
      <w:tr>
        <w:trPr>
          <w:trHeight w:val="377"/>
        </w:trPr>
        <w:tc>
          <w:tcPr>
            <w:tcW w:w="1700" w:type="dxa"/>
            <w:vAlign w:val="bottom"/>
            <w:gridSpan w:val="3"/>
          </w:tcPr>
          <w:p>
            <w:pPr>
              <w:ind w:left="460"/>
              <w:spacing w:after="0"/>
              <w:rPr>
                <w:sz w:val="20"/>
                <w:szCs w:val="20"/>
                <w:color w:val="auto"/>
              </w:rPr>
            </w:pPr>
            <w:r>
              <w:rPr>
                <w:rFonts w:ascii="Arial" w:cs="Arial" w:eastAsia="Arial" w:hAnsi="Arial"/>
                <w:sz w:val="17"/>
                <w:szCs w:val="17"/>
                <w:color w:val="auto"/>
              </w:rPr>
              <w:t>Item 12.</w:t>
            </w:r>
          </w:p>
        </w:tc>
        <w:tc>
          <w:tcPr>
            <w:tcW w:w="3740" w:type="dxa"/>
            <w:vAlign w:val="bottom"/>
            <w:tcBorders>
              <w:bottom w:val="single" w:sz="8" w:color="0000EE"/>
            </w:tcBorders>
            <w:gridSpan w:val="13"/>
          </w:tcPr>
          <w:p>
            <w:pPr>
              <w:spacing w:after="0"/>
              <w:rPr>
                <w:rFonts w:ascii="Arial" w:cs="Arial" w:eastAsia="Arial" w:hAnsi="Arial"/>
                <w:sz w:val="17"/>
                <w:szCs w:val="17"/>
                <w:color w:val="0000EE"/>
                <w:w w:val="93"/>
              </w:rPr>
            </w:pPr>
            <w:hyperlink w:anchor="page155">
              <w:r>
                <w:rPr>
                  <w:rFonts w:ascii="Arial" w:cs="Arial" w:eastAsia="Arial" w:hAnsi="Arial"/>
                  <w:sz w:val="17"/>
                  <w:szCs w:val="17"/>
                  <w:color w:val="0000EE"/>
                  <w:w w:val="93"/>
                </w:rPr>
                <w:t>Description of Securities Other than Equity Securities</w:t>
              </w:r>
            </w:hyperlink>
          </w:p>
        </w:tc>
        <w:tc>
          <w:tcPr>
            <w:tcW w:w="3600" w:type="dxa"/>
            <w:vAlign w:val="bottom"/>
            <w:gridSpan w:val="5"/>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12A.</w:t>
            </w:r>
          </w:p>
        </w:tc>
        <w:tc>
          <w:tcPr>
            <w:tcW w:w="7340" w:type="dxa"/>
            <w:vAlign w:val="bottom"/>
            <w:gridSpan w:val="18"/>
          </w:tcPr>
          <w:p>
            <w:pPr>
              <w:spacing w:after="0" w:line="188" w:lineRule="exact"/>
              <w:rPr>
                <w:rFonts w:ascii="Arial" w:cs="Arial" w:eastAsia="Arial" w:hAnsi="Arial"/>
                <w:sz w:val="17"/>
                <w:szCs w:val="17"/>
                <w:color w:val="0000EE"/>
              </w:rPr>
            </w:pPr>
            <w:hyperlink w:anchor="page155">
              <w:r>
                <w:rPr>
                  <w:rFonts w:ascii="Arial" w:cs="Arial" w:eastAsia="Arial" w:hAnsi="Arial"/>
                  <w:sz w:val="17"/>
                  <w:szCs w:val="17"/>
                  <w:color w:val="0000EE"/>
                </w:rPr>
                <w:t>Debt Securities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12B.</w:t>
            </w:r>
          </w:p>
        </w:tc>
        <w:tc>
          <w:tcPr>
            <w:tcW w:w="1420" w:type="dxa"/>
            <w:vAlign w:val="bottom"/>
            <w:tcBorders>
              <w:bottom w:val="single" w:sz="8" w:color="0000EE"/>
            </w:tcBorders>
            <w:gridSpan w:val="3"/>
          </w:tcPr>
          <w:p>
            <w:pPr>
              <w:spacing w:after="0" w:line="188" w:lineRule="exact"/>
              <w:rPr>
                <w:rFonts w:ascii="Arial" w:cs="Arial" w:eastAsia="Arial" w:hAnsi="Arial"/>
                <w:sz w:val="17"/>
                <w:szCs w:val="17"/>
                <w:color w:val="0000EE"/>
                <w:w w:val="90"/>
              </w:rPr>
            </w:pPr>
            <w:hyperlink w:anchor="page155">
              <w:r>
                <w:rPr>
                  <w:rFonts w:ascii="Arial" w:cs="Arial" w:eastAsia="Arial" w:hAnsi="Arial"/>
                  <w:sz w:val="17"/>
                  <w:szCs w:val="17"/>
                  <w:color w:val="0000EE"/>
                  <w:w w:val="90"/>
                </w:rPr>
                <w:t>Warrants and Rights</w:t>
              </w:r>
            </w:hyperlink>
          </w:p>
        </w:tc>
        <w:tc>
          <w:tcPr>
            <w:tcW w:w="5920" w:type="dxa"/>
            <w:vAlign w:val="bottom"/>
            <w:gridSpan w:val="15"/>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155</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12C.</w:t>
            </w:r>
          </w:p>
        </w:tc>
        <w:tc>
          <w:tcPr>
            <w:tcW w:w="7340" w:type="dxa"/>
            <w:vAlign w:val="bottom"/>
            <w:gridSpan w:val="18"/>
          </w:tcPr>
          <w:p>
            <w:pPr>
              <w:spacing w:after="0" w:line="188" w:lineRule="exact"/>
              <w:rPr>
                <w:rFonts w:ascii="Arial" w:cs="Arial" w:eastAsia="Arial" w:hAnsi="Arial"/>
                <w:sz w:val="17"/>
                <w:szCs w:val="17"/>
                <w:color w:val="0000EE"/>
              </w:rPr>
            </w:pPr>
            <w:hyperlink w:anchor="page155">
              <w:r>
                <w:rPr>
                  <w:rFonts w:ascii="Arial" w:cs="Arial" w:eastAsia="Arial" w:hAnsi="Arial"/>
                  <w:sz w:val="17"/>
                  <w:szCs w:val="17"/>
                  <w:color w:val="0000EE"/>
                </w:rPr>
                <w:t>Other Securities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12D.</w:t>
            </w:r>
          </w:p>
        </w:tc>
        <w:tc>
          <w:tcPr>
            <w:tcW w:w="7340" w:type="dxa"/>
            <w:vAlign w:val="bottom"/>
            <w:gridSpan w:val="18"/>
          </w:tcPr>
          <w:p>
            <w:pPr>
              <w:spacing w:after="0" w:line="188" w:lineRule="exact"/>
              <w:rPr>
                <w:rFonts w:ascii="Arial" w:cs="Arial" w:eastAsia="Arial" w:hAnsi="Arial"/>
                <w:sz w:val="17"/>
                <w:szCs w:val="17"/>
                <w:color w:val="0000EE"/>
              </w:rPr>
            </w:pPr>
            <w:hyperlink w:anchor="page155">
              <w:r>
                <w:rPr>
                  <w:rFonts w:ascii="Arial" w:cs="Arial" w:eastAsia="Arial" w:hAnsi="Arial"/>
                  <w:sz w:val="17"/>
                  <w:szCs w:val="17"/>
                  <w:color w:val="0000EE"/>
                </w:rPr>
                <w:t>American Depositary Shares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155</w:t>
            </w:r>
          </w:p>
        </w:tc>
      </w:tr>
      <w:tr>
        <w:trPr>
          <w:trHeight w:val="292"/>
        </w:trPr>
        <w:tc>
          <w:tcPr>
            <w:tcW w:w="580" w:type="dxa"/>
            <w:vAlign w:val="bottom"/>
            <w:tcBorders>
              <w:bottom w:val="single" w:sz="8" w:color="0000EE"/>
            </w:tcBorders>
          </w:tcPr>
          <w:p>
            <w:pPr>
              <w:spacing w:after="0"/>
              <w:rPr>
                <w:rFonts w:ascii="Arial" w:cs="Arial" w:eastAsia="Arial" w:hAnsi="Arial"/>
                <w:sz w:val="17"/>
                <w:szCs w:val="17"/>
                <w:color w:val="0000EE"/>
                <w:w w:val="94"/>
              </w:rPr>
            </w:pPr>
            <w:hyperlink w:anchor="page158">
              <w:r>
                <w:rPr>
                  <w:rFonts w:ascii="Arial" w:cs="Arial" w:eastAsia="Arial" w:hAnsi="Arial"/>
                  <w:sz w:val="17"/>
                  <w:szCs w:val="17"/>
                  <w:color w:val="0000EE"/>
                  <w:w w:val="94"/>
                </w:rPr>
                <w:t>PART II</w:t>
              </w:r>
            </w:hyperlink>
          </w:p>
        </w:tc>
        <w:tc>
          <w:tcPr>
            <w:tcW w:w="112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92"/>
        </w:trPr>
        <w:tc>
          <w:tcPr>
            <w:tcW w:w="1700" w:type="dxa"/>
            <w:vAlign w:val="bottom"/>
            <w:gridSpan w:val="3"/>
          </w:tcPr>
          <w:p>
            <w:pPr>
              <w:ind w:left="460"/>
              <w:spacing w:after="0"/>
              <w:rPr>
                <w:sz w:val="20"/>
                <w:szCs w:val="20"/>
                <w:color w:val="auto"/>
              </w:rPr>
            </w:pPr>
            <w:r>
              <w:rPr>
                <w:rFonts w:ascii="Arial" w:cs="Arial" w:eastAsia="Arial" w:hAnsi="Arial"/>
                <w:sz w:val="17"/>
                <w:szCs w:val="17"/>
                <w:color w:val="auto"/>
              </w:rPr>
              <w:t>Item 13.</w:t>
            </w:r>
          </w:p>
        </w:tc>
        <w:tc>
          <w:tcPr>
            <w:tcW w:w="3460" w:type="dxa"/>
            <w:vAlign w:val="bottom"/>
            <w:tcBorders>
              <w:bottom w:val="single" w:sz="8" w:color="0000EE"/>
            </w:tcBorders>
            <w:gridSpan w:val="12"/>
          </w:tcPr>
          <w:p>
            <w:pPr>
              <w:spacing w:after="0"/>
              <w:rPr>
                <w:rFonts w:ascii="Arial" w:cs="Arial" w:eastAsia="Arial" w:hAnsi="Arial"/>
                <w:sz w:val="17"/>
                <w:szCs w:val="17"/>
                <w:color w:val="0000EE"/>
                <w:w w:val="92"/>
              </w:rPr>
            </w:pPr>
            <w:hyperlink w:anchor="page158">
              <w:r>
                <w:rPr>
                  <w:rFonts w:ascii="Arial" w:cs="Arial" w:eastAsia="Arial" w:hAnsi="Arial"/>
                  <w:sz w:val="17"/>
                  <w:szCs w:val="17"/>
                  <w:color w:val="0000EE"/>
                  <w:w w:val="92"/>
                </w:rPr>
                <w:t>Defaults, Dividend Arrearages and Delinquencies</w:t>
              </w:r>
            </w:hyperlink>
          </w:p>
        </w:tc>
        <w:tc>
          <w:tcPr>
            <w:tcW w:w="3880" w:type="dxa"/>
            <w:vAlign w:val="bottom"/>
            <w:gridSpan w:val="6"/>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14.</w:t>
            </w:r>
          </w:p>
        </w:tc>
        <w:tc>
          <w:tcPr>
            <w:tcW w:w="5400" w:type="dxa"/>
            <w:vAlign w:val="bottom"/>
            <w:tcBorders>
              <w:bottom w:val="single" w:sz="8" w:color="0000EE"/>
            </w:tcBorders>
            <w:gridSpan w:val="17"/>
          </w:tcPr>
          <w:p>
            <w:pPr>
              <w:spacing w:after="0" w:line="188" w:lineRule="exact"/>
              <w:rPr>
                <w:rFonts w:ascii="Arial" w:cs="Arial" w:eastAsia="Arial" w:hAnsi="Arial"/>
                <w:sz w:val="17"/>
                <w:szCs w:val="17"/>
                <w:color w:val="0000EE"/>
                <w:w w:val="93"/>
              </w:rPr>
            </w:pPr>
            <w:hyperlink w:anchor="page158">
              <w:r>
                <w:rPr>
                  <w:rFonts w:ascii="Arial" w:cs="Arial" w:eastAsia="Arial" w:hAnsi="Arial"/>
                  <w:sz w:val="17"/>
                  <w:szCs w:val="17"/>
                  <w:color w:val="0000EE"/>
                  <w:w w:val="93"/>
                </w:rPr>
                <w:t>Material Modifications to the Rights of Security Holders and Use of Proceeds</w:t>
              </w:r>
            </w:hyperlink>
          </w:p>
        </w:tc>
        <w:tc>
          <w:tcPr>
            <w:tcW w:w="1940" w:type="dxa"/>
            <w:vAlign w:val="bottom"/>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158</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15.</w:t>
            </w:r>
          </w:p>
        </w:tc>
        <w:tc>
          <w:tcPr>
            <w:tcW w:w="7340" w:type="dxa"/>
            <w:vAlign w:val="bottom"/>
            <w:gridSpan w:val="18"/>
          </w:tcPr>
          <w:p>
            <w:pPr>
              <w:spacing w:after="0" w:line="188" w:lineRule="exact"/>
              <w:rPr>
                <w:rFonts w:ascii="Arial" w:cs="Arial" w:eastAsia="Arial" w:hAnsi="Arial"/>
                <w:sz w:val="17"/>
                <w:szCs w:val="17"/>
                <w:color w:val="0000EE"/>
              </w:rPr>
            </w:pPr>
            <w:hyperlink w:anchor="page158">
              <w:r>
                <w:rPr>
                  <w:rFonts w:ascii="Arial" w:cs="Arial" w:eastAsia="Arial" w:hAnsi="Arial"/>
                  <w:sz w:val="17"/>
                  <w:szCs w:val="17"/>
                  <w:color w:val="0000EE"/>
                </w:rPr>
                <w:t>Controls and Procedures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158</w:t>
            </w:r>
          </w:p>
        </w:tc>
      </w:tr>
      <w:tr>
        <w:trPr>
          <w:trHeight w:val="20"/>
        </w:trPr>
        <w:tc>
          <w:tcPr>
            <w:tcW w:w="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16A.</w:t>
            </w:r>
          </w:p>
        </w:tc>
        <w:tc>
          <w:tcPr>
            <w:tcW w:w="7340" w:type="dxa"/>
            <w:vAlign w:val="bottom"/>
            <w:gridSpan w:val="18"/>
          </w:tcPr>
          <w:p>
            <w:pPr>
              <w:spacing w:after="0" w:line="188" w:lineRule="exact"/>
              <w:rPr>
                <w:rFonts w:ascii="Arial" w:cs="Arial" w:eastAsia="Arial" w:hAnsi="Arial"/>
                <w:sz w:val="17"/>
                <w:szCs w:val="17"/>
                <w:color w:val="0000EE"/>
              </w:rPr>
            </w:pPr>
            <w:hyperlink w:anchor="page159">
              <w:r>
                <w:rPr>
                  <w:rFonts w:ascii="Arial" w:cs="Arial" w:eastAsia="Arial" w:hAnsi="Arial"/>
                  <w:sz w:val="17"/>
                  <w:szCs w:val="17"/>
                  <w:color w:val="0000EE"/>
                </w:rPr>
                <w:t>Audit Committee Financial Expert</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159</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16B.</w:t>
            </w:r>
          </w:p>
        </w:tc>
        <w:tc>
          <w:tcPr>
            <w:tcW w:w="1060" w:type="dxa"/>
            <w:vAlign w:val="bottom"/>
            <w:tcBorders>
              <w:top w:val="single" w:sz="8" w:color="0000EE"/>
              <w:bottom w:val="single" w:sz="8" w:color="0000EE"/>
            </w:tcBorders>
            <w:gridSpan w:val="2"/>
          </w:tcPr>
          <w:p>
            <w:pPr>
              <w:spacing w:after="0" w:line="188" w:lineRule="exact"/>
              <w:rPr>
                <w:rFonts w:ascii="Arial" w:cs="Arial" w:eastAsia="Arial" w:hAnsi="Arial"/>
                <w:sz w:val="17"/>
                <w:szCs w:val="17"/>
                <w:color w:val="0000EE"/>
                <w:w w:val="92"/>
              </w:rPr>
            </w:pPr>
            <w:hyperlink w:anchor="page159">
              <w:r>
                <w:rPr>
                  <w:rFonts w:ascii="Arial" w:cs="Arial" w:eastAsia="Arial" w:hAnsi="Arial"/>
                  <w:sz w:val="17"/>
                  <w:szCs w:val="17"/>
                  <w:color w:val="0000EE"/>
                  <w:w w:val="92"/>
                </w:rPr>
                <w:t>Code of Ethics</w:t>
              </w:r>
            </w:hyperlink>
          </w:p>
        </w:tc>
        <w:tc>
          <w:tcPr>
            <w:tcW w:w="1340" w:type="dxa"/>
            <w:vAlign w:val="bottom"/>
            <w:tcBorders>
              <w:top w:val="single" w:sz="8" w:color="0000EE"/>
            </w:tcBorders>
            <w:gridSpan w:val="7"/>
          </w:tcPr>
          <w:p>
            <w:pPr>
              <w:spacing w:after="0"/>
              <w:rPr>
                <w:sz w:val="16"/>
                <w:szCs w:val="16"/>
                <w:color w:val="auto"/>
              </w:rPr>
            </w:pPr>
          </w:p>
        </w:tc>
        <w:tc>
          <w:tcPr>
            <w:tcW w:w="4940" w:type="dxa"/>
            <w:vAlign w:val="bottom"/>
            <w:gridSpan w:val="9"/>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159</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16C.</w:t>
            </w:r>
          </w:p>
        </w:tc>
        <w:tc>
          <w:tcPr>
            <w:tcW w:w="2760" w:type="dxa"/>
            <w:vAlign w:val="bottom"/>
            <w:tcBorders>
              <w:bottom w:val="single" w:sz="8" w:color="0000EE"/>
            </w:tcBorders>
            <w:gridSpan w:val="10"/>
          </w:tcPr>
          <w:p>
            <w:pPr>
              <w:spacing w:after="0" w:line="188" w:lineRule="exact"/>
              <w:rPr>
                <w:rFonts w:ascii="Arial" w:cs="Arial" w:eastAsia="Arial" w:hAnsi="Arial"/>
                <w:sz w:val="17"/>
                <w:szCs w:val="17"/>
                <w:color w:val="0000EE"/>
                <w:w w:val="91"/>
              </w:rPr>
            </w:pPr>
            <w:hyperlink w:anchor="page159">
              <w:r>
                <w:rPr>
                  <w:rFonts w:ascii="Arial" w:cs="Arial" w:eastAsia="Arial" w:hAnsi="Arial"/>
                  <w:sz w:val="17"/>
                  <w:szCs w:val="17"/>
                  <w:color w:val="0000EE"/>
                  <w:w w:val="91"/>
                </w:rPr>
                <w:t>Principal Accountant Fees and Services</w:t>
              </w:r>
            </w:hyperlink>
          </w:p>
        </w:tc>
        <w:tc>
          <w:tcPr>
            <w:tcW w:w="4580" w:type="dxa"/>
            <w:vAlign w:val="bottom"/>
            <w:gridSpan w:val="8"/>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159</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16D.</w:t>
            </w:r>
          </w:p>
        </w:tc>
        <w:tc>
          <w:tcPr>
            <w:tcW w:w="4300" w:type="dxa"/>
            <w:vAlign w:val="bottom"/>
            <w:tcBorders>
              <w:bottom w:val="single" w:sz="8" w:color="0000EE"/>
            </w:tcBorders>
            <w:gridSpan w:val="14"/>
          </w:tcPr>
          <w:p>
            <w:pPr>
              <w:spacing w:after="0" w:line="188" w:lineRule="exact"/>
              <w:rPr>
                <w:rFonts w:ascii="Arial" w:cs="Arial" w:eastAsia="Arial" w:hAnsi="Arial"/>
                <w:sz w:val="17"/>
                <w:szCs w:val="17"/>
                <w:color w:val="0000EE"/>
                <w:w w:val="93"/>
              </w:rPr>
            </w:pPr>
            <w:hyperlink w:anchor="page160">
              <w:r>
                <w:rPr>
                  <w:rFonts w:ascii="Arial" w:cs="Arial" w:eastAsia="Arial" w:hAnsi="Arial"/>
                  <w:sz w:val="17"/>
                  <w:szCs w:val="17"/>
                  <w:color w:val="0000EE"/>
                  <w:w w:val="93"/>
                </w:rPr>
                <w:t>Exemptions from the Listing Standards for Audit Committees</w:t>
              </w:r>
            </w:hyperlink>
          </w:p>
        </w:tc>
        <w:tc>
          <w:tcPr>
            <w:tcW w:w="3040" w:type="dxa"/>
            <w:vAlign w:val="bottom"/>
            <w:gridSpan w:val="4"/>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160</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16E.</w:t>
            </w:r>
          </w:p>
        </w:tc>
        <w:tc>
          <w:tcPr>
            <w:tcW w:w="7340" w:type="dxa"/>
            <w:vAlign w:val="bottom"/>
            <w:gridSpan w:val="18"/>
          </w:tcPr>
          <w:p>
            <w:pPr>
              <w:spacing w:after="0" w:line="188" w:lineRule="exact"/>
              <w:rPr>
                <w:rFonts w:ascii="Arial" w:cs="Arial" w:eastAsia="Arial" w:hAnsi="Arial"/>
                <w:sz w:val="17"/>
                <w:szCs w:val="17"/>
                <w:color w:val="0000EE"/>
              </w:rPr>
            </w:pPr>
            <w:hyperlink w:anchor="page160">
              <w:r>
                <w:rPr>
                  <w:rFonts w:ascii="Arial" w:cs="Arial" w:eastAsia="Arial" w:hAnsi="Arial"/>
                  <w:sz w:val="17"/>
                  <w:szCs w:val="17"/>
                  <w:color w:val="0000EE"/>
                </w:rPr>
                <w:t>Purchases of Equity Securities by the Issuer and Affiliated Purchasers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160</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16F.</w:t>
            </w:r>
          </w:p>
        </w:tc>
        <w:tc>
          <w:tcPr>
            <w:tcW w:w="4840" w:type="dxa"/>
            <w:vAlign w:val="bottom"/>
            <w:tcBorders>
              <w:top w:val="single" w:sz="8" w:color="0000EE"/>
            </w:tcBorders>
            <w:gridSpan w:val="16"/>
          </w:tcPr>
          <w:p>
            <w:pPr>
              <w:spacing w:after="0" w:line="188" w:lineRule="exact"/>
              <w:rPr>
                <w:rFonts w:ascii="Arial" w:cs="Arial" w:eastAsia="Arial" w:hAnsi="Arial"/>
                <w:sz w:val="17"/>
                <w:szCs w:val="17"/>
                <w:color w:val="0000EE"/>
              </w:rPr>
            </w:pPr>
            <w:hyperlink w:anchor="page160">
              <w:r>
                <w:rPr>
                  <w:rFonts w:ascii="Arial" w:cs="Arial" w:eastAsia="Arial" w:hAnsi="Arial"/>
                  <w:sz w:val="17"/>
                  <w:szCs w:val="17"/>
                  <w:color w:val="0000EE"/>
                </w:rPr>
                <w:t>Change in Registrant’s Certifying Accountant</w:t>
              </w:r>
            </w:hyperlink>
          </w:p>
        </w:tc>
        <w:tc>
          <w:tcPr>
            <w:tcW w:w="2500" w:type="dxa"/>
            <w:vAlign w:val="bottom"/>
            <w:gridSpan w:val="2"/>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160</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16G.</w:t>
            </w:r>
          </w:p>
        </w:tc>
        <w:tc>
          <w:tcPr>
            <w:tcW w:w="1580" w:type="dxa"/>
            <w:vAlign w:val="bottom"/>
            <w:tcBorders>
              <w:top w:val="single" w:sz="8" w:color="0000EE"/>
              <w:bottom w:val="single" w:sz="8" w:color="0000EE"/>
            </w:tcBorders>
            <w:gridSpan w:val="6"/>
          </w:tcPr>
          <w:p>
            <w:pPr>
              <w:spacing w:after="0" w:line="188" w:lineRule="exact"/>
              <w:rPr>
                <w:rFonts w:ascii="Arial" w:cs="Arial" w:eastAsia="Arial" w:hAnsi="Arial"/>
                <w:sz w:val="17"/>
                <w:szCs w:val="17"/>
                <w:color w:val="0000EE"/>
                <w:w w:val="90"/>
              </w:rPr>
            </w:pPr>
            <w:hyperlink w:anchor="page160">
              <w:r>
                <w:rPr>
                  <w:rFonts w:ascii="Arial" w:cs="Arial" w:eastAsia="Arial" w:hAnsi="Arial"/>
                  <w:sz w:val="17"/>
                  <w:szCs w:val="17"/>
                  <w:color w:val="0000EE"/>
                  <w:w w:val="90"/>
                </w:rPr>
                <w:t>Corporate Governance</w:t>
              </w:r>
            </w:hyperlink>
          </w:p>
        </w:tc>
        <w:tc>
          <w:tcPr>
            <w:tcW w:w="1600" w:type="dxa"/>
            <w:vAlign w:val="bottom"/>
            <w:tcBorders>
              <w:top w:val="single" w:sz="8" w:color="0000EE"/>
            </w:tcBorders>
            <w:gridSpan w:val="5"/>
          </w:tcPr>
          <w:p>
            <w:pPr>
              <w:spacing w:after="0"/>
              <w:rPr>
                <w:sz w:val="16"/>
                <w:szCs w:val="16"/>
                <w:color w:val="auto"/>
              </w:rPr>
            </w:pPr>
          </w:p>
        </w:tc>
        <w:tc>
          <w:tcPr>
            <w:tcW w:w="4160" w:type="dxa"/>
            <w:vAlign w:val="bottom"/>
            <w:gridSpan w:val="7"/>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160</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16H.</w:t>
            </w:r>
          </w:p>
        </w:tc>
        <w:tc>
          <w:tcPr>
            <w:tcW w:w="7340" w:type="dxa"/>
            <w:vAlign w:val="bottom"/>
            <w:gridSpan w:val="18"/>
          </w:tcPr>
          <w:p>
            <w:pPr>
              <w:spacing w:after="0" w:line="188" w:lineRule="exact"/>
              <w:rPr>
                <w:rFonts w:ascii="Arial" w:cs="Arial" w:eastAsia="Arial" w:hAnsi="Arial"/>
                <w:sz w:val="17"/>
                <w:szCs w:val="17"/>
                <w:color w:val="0000EE"/>
              </w:rPr>
            </w:pPr>
            <w:hyperlink w:anchor="page161">
              <w:r>
                <w:rPr>
                  <w:rFonts w:ascii="Arial" w:cs="Arial" w:eastAsia="Arial" w:hAnsi="Arial"/>
                  <w:sz w:val="17"/>
                  <w:szCs w:val="17"/>
                  <w:color w:val="0000EE"/>
                </w:rPr>
                <w:t>Mine Safety Disclosure</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161</w:t>
            </w:r>
          </w:p>
        </w:tc>
      </w:tr>
      <w:tr>
        <w:trPr>
          <w:trHeight w:val="20"/>
        </w:trPr>
        <w:tc>
          <w:tcPr>
            <w:tcW w:w="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16I</w:t>
            </w:r>
          </w:p>
        </w:tc>
        <w:tc>
          <w:tcPr>
            <w:tcW w:w="7340" w:type="dxa"/>
            <w:vAlign w:val="bottom"/>
            <w:gridSpan w:val="18"/>
          </w:tcPr>
          <w:p>
            <w:pPr>
              <w:spacing w:after="0" w:line="188" w:lineRule="exact"/>
              <w:rPr>
                <w:rFonts w:ascii="Arial" w:cs="Arial" w:eastAsia="Arial" w:hAnsi="Arial"/>
                <w:sz w:val="17"/>
                <w:szCs w:val="17"/>
                <w:color w:val="0000EE"/>
              </w:rPr>
            </w:pPr>
            <w:hyperlink w:anchor="page161">
              <w:r>
                <w:rPr>
                  <w:rFonts w:ascii="Arial" w:cs="Arial" w:eastAsia="Arial" w:hAnsi="Arial"/>
                  <w:sz w:val="17"/>
                  <w:szCs w:val="17"/>
                  <w:color w:val="0000EE"/>
                </w:rPr>
                <w:t>Disclosure Regarding Foreign Jurisdictions that Prevent Inspections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161</w:t>
            </w:r>
          </w:p>
        </w:tc>
      </w:tr>
      <w:tr>
        <w:trPr>
          <w:trHeight w:val="292"/>
        </w:trPr>
        <w:tc>
          <w:tcPr>
            <w:tcW w:w="640" w:type="dxa"/>
            <w:vAlign w:val="bottom"/>
            <w:tcBorders>
              <w:bottom w:val="single" w:sz="8" w:color="0000EE"/>
            </w:tcBorders>
            <w:gridSpan w:val="2"/>
          </w:tcPr>
          <w:p>
            <w:pPr>
              <w:spacing w:after="0"/>
              <w:rPr>
                <w:rFonts w:ascii="Arial" w:cs="Arial" w:eastAsia="Arial" w:hAnsi="Arial"/>
                <w:sz w:val="17"/>
                <w:szCs w:val="17"/>
                <w:color w:val="0000EE"/>
                <w:w w:val="96"/>
              </w:rPr>
            </w:pPr>
            <w:hyperlink w:anchor="page162">
              <w:r>
                <w:rPr>
                  <w:rFonts w:ascii="Arial" w:cs="Arial" w:eastAsia="Arial" w:hAnsi="Arial"/>
                  <w:sz w:val="17"/>
                  <w:szCs w:val="17"/>
                  <w:color w:val="0000EE"/>
                  <w:w w:val="96"/>
                </w:rPr>
                <w:t>PART III</w:t>
              </w:r>
            </w:hyperlink>
          </w:p>
        </w:tc>
        <w:tc>
          <w:tcPr>
            <w:tcW w:w="106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92"/>
        </w:trPr>
        <w:tc>
          <w:tcPr>
            <w:tcW w:w="1700" w:type="dxa"/>
            <w:vAlign w:val="bottom"/>
            <w:gridSpan w:val="3"/>
          </w:tcPr>
          <w:p>
            <w:pPr>
              <w:ind w:left="460"/>
              <w:spacing w:after="0"/>
              <w:rPr>
                <w:sz w:val="20"/>
                <w:szCs w:val="20"/>
                <w:color w:val="auto"/>
              </w:rPr>
            </w:pPr>
            <w:r>
              <w:rPr>
                <w:rFonts w:ascii="Arial" w:cs="Arial" w:eastAsia="Arial" w:hAnsi="Arial"/>
                <w:sz w:val="17"/>
                <w:szCs w:val="17"/>
                <w:color w:val="auto"/>
              </w:rPr>
              <w:t>Item 17.</w:t>
            </w:r>
          </w:p>
        </w:tc>
        <w:tc>
          <w:tcPr>
            <w:tcW w:w="148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62">
              <w:r>
                <w:rPr>
                  <w:rFonts w:ascii="Arial" w:cs="Arial" w:eastAsia="Arial" w:hAnsi="Arial"/>
                  <w:sz w:val="17"/>
                  <w:szCs w:val="17"/>
                  <w:color w:val="0000EE"/>
                  <w:w w:val="91"/>
                </w:rPr>
                <w:t>Financial Statements</w:t>
              </w:r>
            </w:hyperlink>
          </w:p>
        </w:tc>
        <w:tc>
          <w:tcPr>
            <w:tcW w:w="5860" w:type="dxa"/>
            <w:vAlign w:val="bottom"/>
            <w:gridSpan w:val="13"/>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18.</w:t>
            </w:r>
          </w:p>
        </w:tc>
        <w:tc>
          <w:tcPr>
            <w:tcW w:w="1460" w:type="dxa"/>
            <w:vAlign w:val="bottom"/>
            <w:tcBorders>
              <w:bottom w:val="single" w:sz="8" w:color="0000EE"/>
            </w:tcBorders>
            <w:gridSpan w:val="4"/>
          </w:tcPr>
          <w:p>
            <w:pPr>
              <w:spacing w:after="0" w:line="188" w:lineRule="exact"/>
              <w:rPr>
                <w:rFonts w:ascii="Arial" w:cs="Arial" w:eastAsia="Arial" w:hAnsi="Arial"/>
                <w:sz w:val="17"/>
                <w:szCs w:val="17"/>
                <w:color w:val="0000EE"/>
                <w:w w:val="90"/>
              </w:rPr>
            </w:pPr>
            <w:hyperlink w:anchor="page162">
              <w:r>
                <w:rPr>
                  <w:rFonts w:ascii="Arial" w:cs="Arial" w:eastAsia="Arial" w:hAnsi="Arial"/>
                  <w:sz w:val="17"/>
                  <w:szCs w:val="17"/>
                  <w:color w:val="0000EE"/>
                  <w:w w:val="90"/>
                </w:rPr>
                <w:t>Financial Statements</w:t>
              </w:r>
            </w:hyperlink>
          </w:p>
        </w:tc>
        <w:tc>
          <w:tcPr>
            <w:tcW w:w="5880" w:type="dxa"/>
            <w:vAlign w:val="bottom"/>
            <w:gridSpan w:val="14"/>
          </w:tcPr>
          <w:p>
            <w:pPr>
              <w:spacing w:after="0"/>
              <w:rPr>
                <w:sz w:val="16"/>
                <w:szCs w:val="16"/>
                <w:color w:val="auto"/>
              </w:rPr>
            </w:pPr>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162</w:t>
            </w:r>
          </w:p>
        </w:tc>
      </w:tr>
      <w:tr>
        <w:trPr>
          <w:trHeight w:val="188"/>
        </w:trPr>
        <w:tc>
          <w:tcPr>
            <w:tcW w:w="1700" w:type="dxa"/>
            <w:vAlign w:val="bottom"/>
            <w:gridSpan w:val="3"/>
          </w:tcPr>
          <w:p>
            <w:pPr>
              <w:ind w:left="460"/>
              <w:spacing w:after="0" w:line="188" w:lineRule="exact"/>
              <w:rPr>
                <w:sz w:val="20"/>
                <w:szCs w:val="20"/>
                <w:color w:val="auto"/>
              </w:rPr>
            </w:pPr>
            <w:r>
              <w:rPr>
                <w:rFonts w:ascii="Arial" w:cs="Arial" w:eastAsia="Arial" w:hAnsi="Arial"/>
                <w:sz w:val="17"/>
                <w:szCs w:val="17"/>
                <w:color w:val="auto"/>
              </w:rPr>
              <w:t>Item 19.</w:t>
            </w:r>
          </w:p>
        </w:tc>
        <w:tc>
          <w:tcPr>
            <w:tcW w:w="7340" w:type="dxa"/>
            <w:vAlign w:val="bottom"/>
            <w:gridSpan w:val="18"/>
          </w:tcPr>
          <w:p>
            <w:pPr>
              <w:spacing w:after="0" w:line="188" w:lineRule="exact"/>
              <w:rPr>
                <w:rFonts w:ascii="Arial" w:cs="Arial" w:eastAsia="Arial" w:hAnsi="Arial"/>
                <w:sz w:val="17"/>
                <w:szCs w:val="17"/>
                <w:color w:val="0000EE"/>
              </w:rPr>
            </w:pPr>
            <w:hyperlink w:anchor="page162">
              <w:r>
                <w:rPr>
                  <w:rFonts w:ascii="Arial" w:cs="Arial" w:eastAsia="Arial" w:hAnsi="Arial"/>
                  <w:sz w:val="17"/>
                  <w:szCs w:val="17"/>
                  <w:color w:val="0000EE"/>
                </w:rPr>
                <w:t>Exhibits</w:t>
              </w:r>
            </w:hyperlink>
          </w:p>
        </w:tc>
        <w:tc>
          <w:tcPr>
            <w:tcW w:w="2200" w:type="dxa"/>
            <w:vAlign w:val="bottom"/>
          </w:tcPr>
          <w:p>
            <w:pPr>
              <w:jc w:val="right"/>
              <w:spacing w:after="0" w:line="188" w:lineRule="exact"/>
              <w:rPr>
                <w:sz w:val="20"/>
                <w:szCs w:val="20"/>
                <w:color w:val="auto"/>
              </w:rPr>
            </w:pPr>
            <w:r>
              <w:rPr>
                <w:rFonts w:ascii="Arial" w:cs="Arial" w:eastAsia="Arial" w:hAnsi="Arial"/>
                <w:sz w:val="17"/>
                <w:szCs w:val="17"/>
                <w:color w:val="auto"/>
              </w:rPr>
              <w:t>162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PRESENTATION OF FINANCIAL AND OTHER INFORMATION</w:t>
      </w:r>
    </w:p>
    <w:p>
      <w:pPr>
        <w:spacing w:after="0" w:line="22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Our reporting and functional currency is the U.S. dollar, and our financial statements included elsewhere in this Annual Report on Form 20-F, or annual report, are presented in U.S. dollars. The consolidated financial statements and related notes included elsewhere in this annual report have been prepared under the International Financial Reporting Standards, or IFRS, as issued by the International Accounting Standards Board, or IASB, which differs in certain significant respects from U.S. Generally Accepted Accounting Principles, or GAAP.</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where the context requires otherwise and for purposes of this annual report only:</w:t>
      </w:r>
    </w:p>
    <w:p>
      <w:pPr>
        <w:spacing w:after="0" w:line="220" w:lineRule="exact"/>
        <w:rPr>
          <w:sz w:val="20"/>
          <w:szCs w:val="20"/>
          <w:color w:val="auto"/>
        </w:rPr>
      </w:pPr>
    </w:p>
    <w:p>
      <w:pPr>
        <w:ind w:left="880" w:hanging="434"/>
        <w:spacing w:after="0" w:line="285" w:lineRule="auto"/>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“ADSs” refers to our American depositary shares, each of which represents eight of our ordinary shares, no par value, and “ADRs” refers to the American depositary receipts that evidence our ADSs.</w:t>
      </w:r>
    </w:p>
    <w:p>
      <w:pPr>
        <w:spacing w:after="0" w:line="159"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“Opthea,” “we,” “us” or “our” refer to Opthea Limited and its subsidiaries.</w:t>
      </w:r>
    </w:p>
    <w:p>
      <w:pPr>
        <w:spacing w:after="0" w:line="220"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“A$” or “Australian dollar” refers to the legal currency of Australia.</w:t>
      </w:r>
    </w:p>
    <w:p>
      <w:pPr>
        <w:spacing w:after="0" w:line="220"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“IFRS” refers to the International Financial Reporting Standards as issued by the International Accounting Standards Board, or IASB.</w:t>
      </w:r>
    </w:p>
    <w:p>
      <w:pPr>
        <w:spacing w:after="0" w:line="220" w:lineRule="exact"/>
        <w:rPr>
          <w:rFonts w:ascii="Arial" w:cs="Arial" w:eastAsia="Arial" w:hAnsi="Arial"/>
          <w:sz w:val="17"/>
          <w:szCs w:val="17"/>
          <w:color w:val="231F20"/>
        </w:rPr>
      </w:pPr>
    </w:p>
    <w:p>
      <w:pPr>
        <w:ind w:left="880" w:hanging="434"/>
        <w:spacing w:after="0" w:line="285" w:lineRule="auto"/>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“AIFRS” refers to the Australian equivalents to International Financial Reporting Standards as issued by the Australian Accounting Standards Board, or AASB.</w:t>
      </w:r>
    </w:p>
    <w:p>
      <w:pPr>
        <w:spacing w:after="0" w:line="159"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“U.S. GAAP” refers to the Generally Accepted Accounting Principles in the United States.</w:t>
      </w:r>
    </w:p>
    <w:p>
      <w:pPr>
        <w:spacing w:after="0" w:line="220"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“FDA” refers to the United States Food and Drug Administration.</w:t>
      </w:r>
    </w:p>
    <w:p>
      <w:pPr>
        <w:spacing w:after="0" w:line="220"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“US$” or “U.S. dollars” refers to the legal currency of the United States.</w:t>
      </w:r>
    </w:p>
    <w:p>
      <w:pPr>
        <w:spacing w:after="0" w:line="220" w:lineRule="exact"/>
        <w:rPr>
          <w:rFonts w:ascii="Arial" w:cs="Arial" w:eastAsia="Arial" w:hAnsi="Arial"/>
          <w:sz w:val="17"/>
          <w:szCs w:val="17"/>
          <w:color w:val="231F20"/>
        </w:rPr>
      </w:pPr>
    </w:p>
    <w:p>
      <w:pPr>
        <w:ind w:left="880" w:hanging="434"/>
        <w:spacing w:after="0"/>
        <w:tabs>
          <w:tab w:leader="none" w:pos="880" w:val="left"/>
        </w:tabs>
        <w:numPr>
          <w:ilvl w:val="0"/>
          <w:numId w:val="5"/>
        </w:numPr>
        <w:rPr>
          <w:rFonts w:ascii="Arial" w:cs="Arial" w:eastAsia="Arial" w:hAnsi="Arial"/>
          <w:sz w:val="17"/>
          <w:szCs w:val="17"/>
          <w:color w:val="231F20"/>
        </w:rPr>
      </w:pPr>
      <w:r>
        <w:rPr>
          <w:rFonts w:ascii="Arial" w:cs="Arial" w:eastAsia="Arial" w:hAnsi="Arial"/>
          <w:sz w:val="17"/>
          <w:szCs w:val="17"/>
          <w:color w:val="auto"/>
        </w:rPr>
        <w:t>“U.S.” or “United States” refers to the United States of America.</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231F20"/>
        </w:rPr>
        <w:t>Except with respect to U.S. dollar amounts presented as contractual terms, amounts denominated in U.S. dollars when received or paid and unless otherwise indicated, certain Australian dollar amounts contained in this annual report have been translated into U.S. dollars at the rate published by the Reserve Bank of Australia as of June 30, 2021. These translations should not be considered representations that any such amounts have been, could have been or could be converted into U.S. dollars or Australian dollars at that or any other exchange rate as of that or any other rate. We have made rounding adjustments to some of the figures included in this annual report. Accordingly, numerical figures shown as totals in some tables may not be an arithmetic aggregation of the figures that precede them.</w:t>
      </w:r>
    </w:p>
    <w:p>
      <w:pPr>
        <w:spacing w:after="0" w:line="180"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This annual report includes trademarks, tradenames and service marks, certain of which belong to us and others that are the property of other organizations. Solely for convenience, trademarks and tradenames referred to in this annual report appear without the ® and ™ symbols, but the absence of those references is not intended to indicate, in any way, that we will not assert our rights or that the applicable owner will not assert its rights to these trademarks and tradenames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63" w:lineRule="exact"/>
        <w:rPr>
          <w:sz w:val="20"/>
          <w:szCs w:val="20"/>
          <w:color w:val="auto"/>
        </w:rPr>
      </w:pPr>
    </w:p>
    <w:p>
      <w:pPr>
        <w:jc w:val="both"/>
        <w:ind w:firstLine="448"/>
        <w:spacing w:after="0" w:line="322" w:lineRule="auto"/>
        <w:rPr>
          <w:sz w:val="20"/>
          <w:szCs w:val="20"/>
          <w:color w:val="auto"/>
        </w:rPr>
      </w:pPr>
      <w:r>
        <w:rPr>
          <w:rFonts w:ascii="Arial" w:cs="Arial" w:eastAsia="Arial" w:hAnsi="Arial"/>
          <w:sz w:val="15"/>
          <w:szCs w:val="15"/>
          <w:color w:val="auto"/>
        </w:rPr>
        <w:t>This annual report contains estimates and information concerning our industry and our business, including estimated market size and projected growth rates of the markets for our product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3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This information involves a number of assumptions and limitations. Although we are responsible for all of the disclosure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 w:name="page5"/>
    <w:bookmarkEnd w:id="4"/>
    <w:p>
      <w:pPr>
        <w:jc w:val="both"/>
        <w:spacing w:after="0" w:line="285" w:lineRule="auto"/>
        <w:rPr>
          <w:sz w:val="20"/>
          <w:szCs w:val="20"/>
          <w:color w:val="auto"/>
        </w:rPr>
      </w:pPr>
      <w:r>
        <w:rPr>
          <w:rFonts w:ascii="Arial" w:cs="Arial" w:eastAsia="Arial" w:hAnsi="Arial"/>
          <w:sz w:val="17"/>
          <w:szCs w:val="17"/>
          <w:color w:val="auto"/>
        </w:rPr>
        <w:t>degree of uncertainty and risk due to a variety of factors, including those described in “Risk Factors” and in “Forward-Looking Statements.” These and other factors could cause results to differ materially from those expressed in the estimates made by the independent parties and by 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Australian Disclosure Requirements</w:t>
      </w:r>
    </w:p>
    <w:p>
      <w:pPr>
        <w:spacing w:after="0" w:line="22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 xml:space="preserve">Our ordinary shares are primarily quoted on the Australian Securities Exchange (“ASX”) in addition to our listing of our ADSs on the Nasdaq Global Select Market, or Nasdaq. As part of our ASX listing, we are required to comply with various disclosure requirements as set out under the Australian </w:t>
      </w:r>
      <w:r>
        <w:rPr>
          <w:rFonts w:ascii="Arial" w:cs="Arial" w:eastAsia="Arial" w:hAnsi="Arial"/>
          <w:sz w:val="16"/>
          <w:szCs w:val="16"/>
          <w:i w:val="1"/>
          <w:iCs w:val="1"/>
          <w:color w:val="auto"/>
        </w:rPr>
        <w:t xml:space="preserve">Corporations Act 2001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ASX Listing Rules</w:t>
      </w:r>
      <w:r>
        <w:rPr>
          <w:rFonts w:ascii="Arial" w:cs="Arial" w:eastAsia="Arial" w:hAnsi="Arial"/>
          <w:sz w:val="16"/>
          <w:szCs w:val="16"/>
          <w:color w:val="auto"/>
        </w:rPr>
        <w:t>. Information furnished under the sub-heading “Australian Disclosure Requirements” is intended to comply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ASX listing and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disclosure requirements and is not intended to fulfill information required by this annual report.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ENFORCEMENT OF CIVIL LIABILITIES</w:t>
      </w:r>
    </w:p>
    <w:p>
      <w:pPr>
        <w:spacing w:after="0" w:line="226" w:lineRule="exact"/>
        <w:rPr>
          <w:sz w:val="20"/>
          <w:szCs w:val="20"/>
          <w:color w:val="auto"/>
        </w:rPr>
      </w:pPr>
    </w:p>
    <w:p>
      <w:pPr>
        <w:ind w:firstLine="448"/>
        <w:spacing w:after="0" w:line="285" w:lineRule="auto"/>
        <w:rPr>
          <w:sz w:val="20"/>
          <w:szCs w:val="20"/>
          <w:color w:val="auto"/>
        </w:rPr>
      </w:pPr>
      <w:r>
        <w:rPr>
          <w:rFonts w:ascii="Arial" w:cs="Arial" w:eastAsia="Arial" w:hAnsi="Arial"/>
          <w:sz w:val="17"/>
          <w:szCs w:val="17"/>
          <w:color w:val="auto"/>
        </w:rPr>
        <w:t>We are a public limited company incorporated under the laws of Australia. Certain of our directors are non-residents of the United States and substantially all of their assets are located outside the United States. As a result, it may not be possible or practicable for you to:</w:t>
      </w:r>
    </w:p>
    <w:p>
      <w:pPr>
        <w:spacing w:after="0" w:line="159" w:lineRule="exact"/>
        <w:rPr>
          <w:sz w:val="20"/>
          <w:szCs w:val="20"/>
          <w:color w:val="auto"/>
        </w:rPr>
      </w:pPr>
    </w:p>
    <w:p>
      <w:pPr>
        <w:ind w:left="880" w:hanging="434"/>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 service of process within the United States upon our non-U.S. resident directors or on us;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enforce in U.S. courts judgments obtained against our non-U.S. resident directors or us in the United States courts in any action, including actions under the civil liability provisions of U.S. securities laws;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bring an original action in an Australian court to enforce liabilities against our non-U.S. resident directors or us based solely upon U.S. securities laws.</w:t>
      </w:r>
    </w:p>
    <w:p>
      <w:pPr>
        <w:spacing w:after="0" w:line="15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You may also have difficulties enforcing in courts outside the United States judgments that are obtained in U.S. courts against any of our non-U.S. resident directors or us, including actions under the civil liability provisions of the U.S. securities laws.</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spacing w:after="0" w:line="172"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have appointed Corporation Service Company as our agent to receive service of process with respect to any action brought against us under the federal securities laws of the United States.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This annual report contains forward-looking statements about us and our industry that involve substantial risks and uncertainties. All statements other than statements of historical facts contained in this annual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63"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annual report, regarding, among other things:</w:t>
      </w:r>
    </w:p>
    <w:p>
      <w:pPr>
        <w:spacing w:after="0" w:line="176" w:lineRule="exact"/>
        <w:rPr>
          <w:sz w:val="20"/>
          <w:szCs w:val="20"/>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and clinical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expectations about the timing or likelihood of achieving regulatory approval and the cost of our development programs;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reliance on the success of OPT-302 as our only product candidate;</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commercialization of our product candidates;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plans to research, develop and commercialize our product candidates;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expand, protect and enforce our intellectual property portfolio;</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operate our business without infringing, misappropriating or otherwise violating the intellectual property rights of third parties;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attract collaborators with development, regulatory and commercialization expertise;</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business disruptions affecting the initiation, patient enrollment, development and operation of our clinical trials, including as a result of a public health emergency, such as the global outbreak of the COVID-19 pandemic;</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regulatory developments in the United States, Australia, Europe and other jurisdictions;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 w:name="page8"/>
    <w:bookmarkEnd w:id="7"/>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JOBS Act;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future trading price of the ADSs and impact of securities analysts’ reports on these prices;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potential impact of the current COVID-19 pandemic on our business or operations;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“Risk Factors.”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These risks are not exhaustive. Other sections of this annual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7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67"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You should read this annual report and the documents that we reference in this annual report and have filed as exhibits to this annual report with the understanding that our actual future results, levels of activity, performance and achievements may be different from what we expect. We qualify all of our forward-looking statements by these cautionary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1.Identity of Directors, Senior Management</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2.Offer Statistics and Expected Timetable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3.Key Information</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3A.</w:t>
      </w:r>
      <w:r>
        <w:rPr>
          <w:sz w:val="20"/>
          <w:szCs w:val="20"/>
          <w:color w:val="auto"/>
        </w:rPr>
        <w:tab/>
      </w:r>
      <w:r>
        <w:rPr>
          <w:rFonts w:ascii="Arial" w:cs="Arial" w:eastAsia="Arial" w:hAnsi="Arial"/>
          <w:sz w:val="15"/>
          <w:szCs w:val="15"/>
          <w:b w:val="1"/>
          <w:bCs w:val="1"/>
          <w:color w:val="auto"/>
        </w:rPr>
        <w:t>Selected Financial Data</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Reserved.</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3B.</w:t>
        <w:tab/>
        <w:t>Capitalization and Indebtedness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3C.</w:t>
      </w:r>
      <w:r>
        <w:rPr>
          <w:sz w:val="20"/>
          <w:szCs w:val="20"/>
          <w:color w:val="auto"/>
        </w:rPr>
        <w:tab/>
      </w:r>
      <w:r>
        <w:rPr>
          <w:rFonts w:ascii="Arial" w:cs="Arial" w:eastAsia="Arial" w:hAnsi="Arial"/>
          <w:sz w:val="15"/>
          <w:szCs w:val="15"/>
          <w:b w:val="1"/>
          <w:bCs w:val="1"/>
          <w:color w:val="auto"/>
        </w:rPr>
        <w:t>Reasons for the offer and use of proceeds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3D.</w:t>
      </w:r>
      <w:r>
        <w:rPr>
          <w:sz w:val="20"/>
          <w:szCs w:val="20"/>
          <w:color w:val="auto"/>
        </w:rPr>
        <w:tab/>
      </w:r>
      <w:r>
        <w:rPr>
          <w:rFonts w:ascii="Arial" w:cs="Arial" w:eastAsia="Arial" w:hAnsi="Arial"/>
          <w:sz w:val="15"/>
          <w:szCs w:val="15"/>
          <w:b w:val="1"/>
          <w:bCs w:val="1"/>
          <w:color w:val="auto"/>
        </w:rPr>
        <w:t>Risk Factors</w:t>
      </w:r>
    </w:p>
    <w:p>
      <w:pPr>
        <w:spacing w:after="0" w:line="22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Investing in our securities involves a high degree of risk. You should consider and read carefully all of the risks and uncertainties described below, as well as other information included in this annual report, including our consolidated financial statements and related notes included elsewhere in this annual report, before making an investment decision. If any of the following risks actually occur, it could harm our business, prospects, results of operations and financial condition. In such event, the trading price of the ADSs could decline and you might lose all or part of your investment. You should not interpret our disclosure of any of the following risks to imply that such risks have not already materialized.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22"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Our business is subject to a number of risks and uncertainties, including those risks discussed at-length below this summary. These risks include, among others, the following: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Financial Position and Need for Capital</w:t>
      </w:r>
    </w:p>
    <w:p>
      <w:pPr>
        <w:spacing w:after="0" w:line="220" w:lineRule="exact"/>
        <w:rPr>
          <w:sz w:val="20"/>
          <w:szCs w:val="20"/>
          <w:color w:val="auto"/>
        </w:rPr>
      </w:pPr>
    </w:p>
    <w:p>
      <w:pPr>
        <w:jc w:val="both"/>
        <w:ind w:left="880" w:hanging="434"/>
        <w:spacing w:after="0" w:line="270"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not received approval for any product candidate for commercial sale and, as a result, we have never generated any revenue, have incurred significant financial losses and expect to continue to incur significant financial losses in the future, which makes it difficult to assess our future viability.</w:t>
      </w:r>
    </w:p>
    <w:p>
      <w:pPr>
        <w:spacing w:after="0" w:line="171"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additional capital in the future, which may not be available to us on commercially favorable terms, or at all. Raising additional capital may cause dilution to holders of our ADSs.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Development and Commercialization of Our Product Candidate</w:t>
      </w:r>
    </w:p>
    <w:p>
      <w:pPr>
        <w:spacing w:after="0" w:line="220" w:lineRule="exact"/>
        <w:rPr>
          <w:sz w:val="20"/>
          <w:szCs w:val="20"/>
          <w:color w:val="auto"/>
        </w:rPr>
      </w:pPr>
    </w:p>
    <w:p>
      <w:pPr>
        <w:ind w:left="880" w:hanging="434"/>
        <w:spacing w:after="0" w:line="285"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Clinical trials being conducted to test our product candidate, OPT-302, may not obtain the desired safety and efficacy results or may be delayed or more costly than anticipated.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encounter difficulties in enrolling patients in our clinical trials.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OPT-302 may be shown to cause undesirable side effects or other adverse events that could delay or prevent its regulatory approval, limit its commercial profile or result in significant negative consequences following regulatory approval, if such approval is granted.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 w:name="page10"/>
    <w:bookmarkEnd w:id="9"/>
    <w:p>
      <w:pPr>
        <w:jc w:val="both"/>
        <w:ind w:left="880" w:hanging="434"/>
        <w:spacing w:after="0" w:line="270"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marketing approval process is expensive, time-consuming and uncertain, and even if OPT-302 receives marketing approval, we may not be successful in our commercialization efforts and OPT-302 may fail to achieve the degree of market acceptance by physicians, patients, healthcare payors and others in the medical community necessary for commercial success.</w:t>
      </w:r>
    </w:p>
    <w:p>
      <w:pPr>
        <w:spacing w:after="0" w:line="171"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face substantial competition, which may result in others discovering, developing or commercializing competing products before or more successfully than us.</w:t>
      </w:r>
    </w:p>
    <w:p>
      <w:pPr>
        <w:spacing w:after="0" w:line="159" w:lineRule="exact"/>
        <w:rPr>
          <w:rFonts w:ascii="Arial" w:cs="Arial" w:eastAsia="Arial" w:hAnsi="Arial"/>
          <w:sz w:val="17"/>
          <w:szCs w:val="17"/>
          <w:color w:val="auto"/>
        </w:rPr>
      </w:pPr>
    </w:p>
    <w:p>
      <w:pPr>
        <w:jc w:val="both"/>
        <w:ind w:left="880" w:hanging="434"/>
        <w:spacing w:after="0" w:line="355"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business could be negatively affected by the effects of health epidemics, including the evolving effects of the COVID-19 pandemic, in regions where we or third parties on which we rely have significant manufacturing facilities, concentrations of clinical trial sites or other business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Legal and Regulatory Compliance Matters</w:t>
      </w:r>
    </w:p>
    <w:p>
      <w:pPr>
        <w:spacing w:after="0" w:line="220" w:lineRule="exact"/>
        <w:rPr>
          <w:sz w:val="20"/>
          <w:szCs w:val="20"/>
          <w:color w:val="auto"/>
        </w:rPr>
      </w:pPr>
    </w:p>
    <w:p>
      <w:pPr>
        <w:ind w:left="880" w:hanging="434"/>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Disruptions at the FDA could delay or prevent new products from being developed, approved or commercialized.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U.S. healthcare law may impact our business in ways that we cannot currently predict.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subject to economic, political, regulatory and other risks associated with international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Reliance on Third Parties</w:t>
      </w:r>
    </w:p>
    <w:p>
      <w:pPr>
        <w:spacing w:after="0" w:line="220" w:lineRule="exact"/>
        <w:rPr>
          <w:sz w:val="20"/>
          <w:szCs w:val="20"/>
          <w:color w:val="auto"/>
        </w:rPr>
      </w:pPr>
    </w:p>
    <w:p>
      <w:pPr>
        <w:ind w:left="880" w:hanging="434"/>
        <w:spacing w:after="0" w:line="285"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rely on third-party manufacturers to produce OPT-302 or any future product candidates. If such manufacturers do not produce acceptable product candidates, this could have a material adverse effect on our business.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currently dependent on third parties to conduct clinical trials and some aspects of our research and development activities. Such third parties may not perform satisfactorily, including failing to meet deadlines for completion of such trial, research or testing.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Employee Matters and Managing Our Growth</w:t>
      </w:r>
    </w:p>
    <w:p>
      <w:pPr>
        <w:spacing w:after="0" w:line="220" w:lineRule="exact"/>
        <w:rPr>
          <w:sz w:val="20"/>
          <w:szCs w:val="20"/>
          <w:color w:val="auto"/>
        </w:rPr>
      </w:pPr>
    </w:p>
    <w:p>
      <w:pPr>
        <w:ind w:left="880" w:hanging="434"/>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attract, integrate, manage and retain qualified personnel or key employees.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increasing and expect to continue increasing the size of our organization. If we are unable to effectively manage the anticipated growth, our business, results of operations, cash flows, financial condition and/or prospects will be negatively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Intellectual Property</w:t>
      </w:r>
    </w:p>
    <w:p>
      <w:pPr>
        <w:spacing w:after="0" w:line="220" w:lineRule="exact"/>
        <w:rPr>
          <w:sz w:val="20"/>
          <w:szCs w:val="20"/>
          <w:color w:val="auto"/>
        </w:rPr>
      </w:pPr>
    </w:p>
    <w:p>
      <w:pPr>
        <w:ind w:left="880" w:hanging="434"/>
        <w:spacing w:after="0" w:line="285"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are unable to obtain and maintain intellectual property protection for our products and technologies, or if we are unable to protect our intellectual property rights, we may not be able to compete effectively in our markets.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become involved in lawsuits to protect or enforce our intellectual property, or third parties may initiate legal proceedings against us alleging that we infringe their intellectual property rights.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current intellectual property portfolio may not prove to be sufficient to protect our competitive advantage. Additional competitors could enter the market, including with biosimilar products, and sales of affected products may decline materially.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Ownership of the ADSs</w:t>
      </w:r>
    </w:p>
    <w:p>
      <w:pPr>
        <w:spacing w:after="0" w:line="220" w:lineRule="exact"/>
        <w:rPr>
          <w:sz w:val="20"/>
          <w:szCs w:val="20"/>
          <w:color w:val="auto"/>
        </w:rPr>
      </w:pPr>
    </w:p>
    <w:p>
      <w:pPr>
        <w:ind w:left="880" w:hanging="434"/>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rights of our shareholders may be different from the rights of shareholders in companies governed by the laws of U.S. jurisdictions.</w:t>
      </w:r>
    </w:p>
    <w:p>
      <w:pPr>
        <w:spacing w:after="0" w:line="22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 w:name="page11"/>
    <w:bookmarkEnd w:id="10"/>
    <w:p>
      <w:pPr>
        <w:jc w:val="both"/>
        <w:ind w:left="880" w:hanging="434"/>
        <w:spacing w:after="0" w:line="270"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a foreign private issuer and as permitted by the listing requirements of Nasdaq, we will rely on certain home country corporate governance practices rather than the corporate governance requirements of Nasdaq. We may lose our foreign private issuer status in the future, which could result in significant additional costs and expenses.</w:t>
      </w:r>
    </w:p>
    <w:p>
      <w:pPr>
        <w:spacing w:after="0" w:line="171" w:lineRule="exact"/>
        <w:rPr>
          <w:rFonts w:ascii="Arial" w:cs="Arial" w:eastAsia="Arial" w:hAnsi="Arial"/>
          <w:sz w:val="17"/>
          <w:szCs w:val="17"/>
          <w:color w:val="auto"/>
        </w:rPr>
      </w:pPr>
    </w:p>
    <w:p>
      <w:pPr>
        <w:jc w:val="both"/>
        <w:ind w:left="880" w:hanging="434"/>
        <w:spacing w:after="0" w:line="294"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Need for Capital</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are a clinical 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159"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6"/>
          <w:szCs w:val="16"/>
          <w:color w:val="auto"/>
        </w:rPr>
        <w:t>We are a clinical stage biopharmaceutical company with no products approved for commercial sale. To date, our operations have been limited to organizing and staffing our company, business planning, raising capital, developing our product candidate, OPT-302, and licensing certain related technology, conducting research and development activities, including preclinical studies and clinical trials, and providing general and administrative support for these operations.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not generated any revenue from product sales to date, and we continue to incur significant research and development and other expenses related to our ongoing operations. We are not profitable and have incurred net losses since our inception. Our total comprehensive losses were US$11.1 million and US$44.9 million for the years ended June 30, 2020 and 2021. As of June 30, 2021, we had an accumulated loss of US$124.1 million. We have spent, and expect to continue to spend, significant resources to fund research and development of, and seek regulatory approvals for, OPT-302 and any future product candidates. We expect to incur substantial and increasing operating losses over the next several years as our research, development, manufacturing and clinical trial activities increase. Additionally, if OPT-302 is approved for commercial sale, our commercialization expenses will increase significantly as we establish sales, marketing, distribution, manufacturing, supply chain and other commercial infrastructure. As a result, our accumulated losses will also increase significantly. We may encounter unforeseen expenses, difficulties, complications, delays and other unknown factors that may negatively affect our business. The size of our future net losses will depend, in part, on the rate of future growth of our expenses and our ability to generate revenue. Our prior losses and expected future losses have had and will continue to have a negative impact on our total (deficit) equity and working capital. The net losses we incur may fluctuate significantly from quarter-to-quarter such that a period-to-period comparison of our results of operations may not be a good indication of our future performance. Even if we eventually generate product revenue, we may never be profitable and, if we do achieve profitability, we may not be able to sustain or increase profitability on a quarterly or annual basis.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have no source of product revenue and may never become profitable.</w:t>
      </w:r>
    </w:p>
    <w:p>
      <w:pPr>
        <w:spacing w:after="0" w:line="22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OPT-302 has not been approved for commercial sale, and we expect it to be several years before OPT-302 is approved, if ever, and we are able to commence sales of OPT-302. To date, we have not generated any revenue from the licensing or commercialization of OPT-302 and do not expect to receive revenue from it for a number of years, if ever. We will not be able to generate product revenue unless and until OPT-302 or any future product candidate, alone or with future partners, successfully completes clinical trials, receives regulatory approval and is successfully commercialized. Although we may seek to obtain revenue from collaboration or licensing agreements with third parties, we currently have no such agreements that could provide us with material, ongoing future revenue and we may never enter into any such agreements. Our ability to generate future product revenue from OPT-302 or any future product candidates also depends on a number of additional factors, including our or our future partners’ ability to:</w:t>
      </w:r>
    </w:p>
    <w:p>
      <w:pPr>
        <w:spacing w:after="0" w:line="166" w:lineRule="exact"/>
        <w:rPr>
          <w:sz w:val="20"/>
          <w:szCs w:val="20"/>
          <w:color w:val="auto"/>
        </w:rPr>
      </w:pPr>
    </w:p>
    <w:p>
      <w:pPr>
        <w:ind w:left="880" w:hanging="434"/>
        <w:spacing w:after="0" w:line="285"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successfully complete research and clinical development of OPT-302 and any future product candidates and obtain regulatory approvals for commercialization;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 w:name="page12"/>
    <w:bookmarkEnd w:id="11"/>
    <w:p>
      <w:pPr>
        <w:jc w:val="both"/>
        <w:ind w:left="880" w:hanging="434"/>
        <w:spacing w:after="0" w:line="265"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maintain supply and manufacturing relationships with third parties, and ensure adequate and legally compliant manufacturing of bulk drug substances and drug products to maintain that supply, including any scale up of manufacturing processes for OPT-302 to support our planned Phase 3 clinical program of OPT-302 in combination with anti-vascular endothelial growth factor-A, or anti-VEGF-A, therapy for the treatment of wet age-related macular degeneration, or AMD;</w:t>
      </w:r>
    </w:p>
    <w:p>
      <w:pPr>
        <w:spacing w:after="0" w:line="176"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launch and commercialize future product candidates for which we obtain marketing approval, if any, and, if launched independently, successfully establish a sales force, marketing and distribution infrastructure;</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demonstrate the necessary safety data post-approval to ensure continued regulatory approval;</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 coverage and adequate product reimbursement from third-party payors, including government payors;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achieve market acceptance for our or our future partners’ products, if any;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maintain, protect and enforce our intellectual property rights;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220" w:lineRule="exact"/>
        <w:rPr>
          <w:sz w:val="20"/>
          <w:szCs w:val="20"/>
          <w:color w:val="auto"/>
        </w:rPr>
      </w:pPr>
    </w:p>
    <w:p>
      <w:pPr>
        <w:jc w:val="both"/>
        <w:ind w:firstLine="448"/>
        <w:spacing w:after="0" w:line="302" w:lineRule="auto"/>
        <w:rPr>
          <w:sz w:val="20"/>
          <w:szCs w:val="20"/>
          <w:color w:val="auto"/>
        </w:rPr>
      </w:pPr>
      <w:r>
        <w:rPr>
          <w:rFonts w:ascii="Arial" w:cs="Arial" w:eastAsia="Arial" w:hAnsi="Arial"/>
          <w:sz w:val="15"/>
          <w:szCs w:val="15"/>
          <w:color w:val="auto"/>
        </w:rPr>
        <w:t>In addition, because of the numerous risks and uncertainties associated with biologic product development, including that OPT-302 may not advance through development, achieve the endpoints of applicable clinical trials or receive approval for use in combination with one or more approved therapies, we are unable to predict the timing or amount of increased expenses, or if or when we will achieve or maintain profitability. In addition, our expenses could increase beyond expectations if we decide, or are required by the U.S. Food and Drug Administration, or the FDA, or comparable non-U.S. regulatory authorities, including the European Medicines Agency, or the EMA,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153"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Even if we generate revenue from the sale of any of our product candidates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will require substantial additional capital to finance our operations, which may not be available to us on acceptable terms, or at all. As a result, we may not complete the development and commercialization of OPT-302 or develop new product candidates.</w:t>
      </w:r>
    </w:p>
    <w:p>
      <w:pPr>
        <w:spacing w:after="0" w:line="159"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As a clinical-stage biopharmaceutical company, our operations have consumed significant amounts of cash since our inception. We expect our research and development expenses to increase substantially in connection with our ongoing activities, particularly as we continue our Phase 3 clinical trials of OPT-302 in combination with anti-VEGF-A therapy for the treatment of wet AMD in, continue clinical development of OPT-302 in combination with aflibercept for the treatment of persistent diabetic macular edema, or DME, and other retinal diseases, and commence commercialization plans. Even if we are able to obtain regulatory approval for OPT-302 and any future product candidates that we may develop, we will require substantial additional capital to commercialize such product candidates.</w:t>
      </w:r>
    </w:p>
    <w:p>
      <w:pPr>
        <w:spacing w:after="0" w:line="18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76" w:lineRule="exact"/>
        <w:rPr>
          <w:sz w:val="20"/>
          <w:szCs w:val="20"/>
          <w:color w:val="auto"/>
        </w:rPr>
      </w:pPr>
    </w:p>
    <w:p>
      <w:pPr>
        <w:jc w:val="both"/>
        <w:ind w:left="880" w:hanging="434"/>
        <w:spacing w:after="0" w:line="270"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clinical trials for OPT-302 and any future product candidates we may develop, including whether the FDA or comparable non-U.S. regulatory authorities require additional clinical trials beyond our Phase 3 clinical trials of OPT-302 in combination with anti-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 w:name="page13"/>
    <w:bookmarkEnd w:id="12"/>
    <w:p>
      <w:pPr>
        <w:ind w:left="880"/>
        <w:spacing w:after="0" w:line="285" w:lineRule="auto"/>
        <w:rPr>
          <w:sz w:val="20"/>
          <w:szCs w:val="20"/>
          <w:color w:val="auto"/>
        </w:rPr>
      </w:pPr>
      <w:r>
        <w:rPr>
          <w:rFonts w:ascii="Arial" w:cs="Arial" w:eastAsia="Arial" w:hAnsi="Arial"/>
          <w:sz w:val="17"/>
          <w:szCs w:val="17"/>
          <w:color w:val="auto"/>
        </w:rPr>
        <w:t>VEGF-A therapy for the treatment of wet AMD to support an approved label of OPT-302 in combination with multiple existing anti-VEGF-A therapies;</w:t>
      </w:r>
    </w:p>
    <w:p>
      <w:pPr>
        <w:spacing w:after="0" w:line="159" w:lineRule="exact"/>
        <w:rPr>
          <w:sz w:val="20"/>
          <w:szCs w:val="20"/>
          <w:color w:val="auto"/>
        </w:rPr>
      </w:pPr>
    </w:p>
    <w:p>
      <w:pPr>
        <w:jc w:val="both"/>
        <w:ind w:left="880" w:hanging="434"/>
        <w:spacing w:after="0" w:line="270"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additional clinical trials and studies to evaluate the potential for co-formulation of OPT-302 with approved and/or biosimilar forms of VEGF-A inhibitors to provide flexibility of treatment options for physicians and to reduce the frequency and number of injections for patients;</w:t>
      </w:r>
    </w:p>
    <w:p>
      <w:pPr>
        <w:spacing w:after="0" w:line="171" w:lineRule="exact"/>
        <w:rPr>
          <w:rFonts w:ascii="Arial" w:cs="Arial" w:eastAsia="Arial" w:hAnsi="Arial"/>
          <w:sz w:val="17"/>
          <w:szCs w:val="17"/>
          <w:color w:val="auto"/>
        </w:rPr>
      </w:pPr>
    </w:p>
    <w:p>
      <w:pPr>
        <w:ind w:left="880" w:hanging="43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FDA and comparable non-U.S. regulatory authorities;</w:t>
      </w:r>
    </w:p>
    <w:p>
      <w:pPr>
        <w:spacing w:after="0" w:line="231" w:lineRule="exact"/>
        <w:rPr>
          <w:rFonts w:ascii="Arial" w:cs="Arial" w:eastAsia="Arial" w:hAnsi="Arial"/>
          <w:sz w:val="16"/>
          <w:szCs w:val="16"/>
          <w:color w:val="auto"/>
        </w:rPr>
      </w:pPr>
    </w:p>
    <w:p>
      <w:pPr>
        <w:ind w:left="880" w:hanging="434"/>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OPT-302, or any other product candidate that receives regulatory approval;</w:t>
      </w:r>
    </w:p>
    <w:p>
      <w:pPr>
        <w:spacing w:after="0" w:line="220"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71" w:lineRule="exact"/>
        <w:rPr>
          <w:rFonts w:ascii="Arial" w:cs="Arial" w:eastAsia="Arial" w:hAnsi="Arial"/>
          <w:sz w:val="17"/>
          <w:szCs w:val="17"/>
          <w:color w:val="auto"/>
        </w:rPr>
      </w:pPr>
    </w:p>
    <w:p>
      <w:pPr>
        <w:ind w:left="880" w:hanging="43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capabilities and establish a commercial infrastructure;</w:t>
      </w:r>
    </w:p>
    <w:p>
      <w:pPr>
        <w:spacing w:after="0" w:line="231" w:lineRule="exact"/>
        <w:rPr>
          <w:rFonts w:ascii="Arial" w:cs="Arial" w:eastAsia="Arial" w:hAnsi="Arial"/>
          <w:sz w:val="16"/>
          <w:szCs w:val="16"/>
          <w:color w:val="auto"/>
        </w:rPr>
      </w:pPr>
    </w:p>
    <w:p>
      <w:pPr>
        <w:ind w:left="880" w:hanging="434"/>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 including product pricing and adequate reimbursement by third-party payors;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acquiring, licensing or investing in additional businesses, products, product candidates and technologies;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OPT-302 and any future product candidates for which we may receive regulatory approval and that we determine to commercialize ourselves or in collaboration with our future partners; and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of operating as a public company with securities listed in both Australia and the United States.</w:t>
      </w:r>
    </w:p>
    <w:p>
      <w:pPr>
        <w:spacing w:after="0" w:line="220" w:lineRule="exact"/>
        <w:rPr>
          <w:sz w:val="20"/>
          <w:szCs w:val="20"/>
          <w:color w:val="auto"/>
        </w:rPr>
      </w:pPr>
    </w:p>
    <w:p>
      <w:pPr>
        <w:jc w:val="both"/>
        <w:ind w:firstLine="448"/>
        <w:spacing w:after="0" w:line="276" w:lineRule="auto"/>
        <w:rPr>
          <w:sz w:val="20"/>
          <w:szCs w:val="20"/>
          <w:color w:val="auto"/>
        </w:rPr>
      </w:pPr>
      <w:r>
        <w:rPr>
          <w:rFonts w:ascii="Arial" w:cs="Arial" w:eastAsia="Arial" w:hAnsi="Arial"/>
          <w:sz w:val="16"/>
          <w:szCs w:val="16"/>
          <w:color w:val="auto"/>
        </w:rPr>
        <w:t>We will require additional capital to develop, obtain regulatory approval for and commercialize OPT-302 and any future product candidates, including to complete our ongoing Phase 3 clinical trials for OPT-302 for the treatment of wet AMD. In particular, we will require additional capital to progress our ongoing and future planned clinical trials without delays, including payments in connection with the achievement of certain regulatory milestones. We do not have any committed external source of funds. We expect to finance future cash needs through public or private equity or debt offerings or collaborations. We also intend to continue to apply for tax incentives under the Research and Development Tax Incentive scheme provided by the Australian government. See “—Risks Related to Development and Commercialization of Our Product Candidates—We have received tax credits under the Research and Development Tax Incentive scheme in Australia that may become repayable if we did not or do not comply with the rules of the scheme, or we may become ineligible for tax credits in our current or future tax years, which could harm our business, financial condition and results of operations.” Additional capital may not be available in sufficient amounts or on reasonable terms, if at all. If we are not able to raise additional capital, we may not be able to expand our operations or otherwise capitalize on our business opportunities, and our business and financial condition will be negatively impacted.</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Raising additional capital may cause dilution to holders of our ADSs, restrict our operations or require us to relinquish rights to our technologies or product candidates.</w:t>
      </w:r>
    </w:p>
    <w:p>
      <w:pPr>
        <w:spacing w:after="0" w:line="159"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Holders of our ADSs could suffer dilution or be negatively affected by fixed payment obligations we may incur if we raise additional funds through the issuance of additional equity securities or debt. Further, these securities may have rights senior to those of our ordinary shares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negatively impact our ability to conduct our business. If we need to secure additional financing, such additional fundraising efforts may divert our management and research efforts from our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day-to-day activities, which may negatively affect our ability to develop and commercialize OPT-302 and any future product candidates.</w:t>
      </w:r>
    </w:p>
    <w:p>
      <w:pPr>
        <w:spacing w:after="0" w:line="22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and financial condition.</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Global credit and financial markets have experienced extreme disruptions at various points over the last few decades,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harmed.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harm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Development and Commercialization of Our Product Candidates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business substantially depends on the success of OPT-302, our only product candidate under clinical development, which has not completed a pivotal Phase 3 clinical trial. If we are unable to obtain regulatory approval for and successfully commercialize OPT-302 or any future product candidates, or we experience significant delays in doing so, our business will be harmed.</w:t>
      </w:r>
    </w:p>
    <w:p>
      <w:pPr>
        <w:spacing w:after="0" w:line="172"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To date, the primary focus of our product development has been OPT-302 in combination with anti-VEGF-A therapy for the treatment of patients with wet AMD and DME. Currently, OPT-302 is our only product candidate under clinical development. This may make an investment in our company riskier than similar companies that have multiple product candidates in active development and that therefore may be able to better sustain a failure of a lead candidate. Successful continued development and ultimate regulatory approval of OPT-302 combination therapy for the treatment of wet AMD, DME or other indications is critical to the future success of our business. We have invested, and will continue to invest, a significant portion of our time and financial resources in the clinical development of OPT-302. If we cannot successfully develop, obtain regulatory approval for and commercialize OPT-302, we may not be able to continue our operations. The future regulatory and commercial success of OPT-302 is subject to a number of risks, including the following:</w:t>
      </w:r>
    </w:p>
    <w:p>
      <w:pPr>
        <w:spacing w:after="0" w:line="166" w:lineRule="exact"/>
        <w:rPr>
          <w:sz w:val="20"/>
          <w:szCs w:val="20"/>
          <w:color w:val="auto"/>
        </w:rPr>
      </w:pPr>
    </w:p>
    <w:p>
      <w:pPr>
        <w:ind w:left="880" w:hanging="434"/>
        <w:spacing w:after="0" w:line="28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have sufficient financial and other resources to complete the necessary clinical trials for OPT-302, including, but not limited to, the pivotal clinical trials needed to obtain drug approval;</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obtain adequate evidence from clinical trials of efficacy and safety for OPT-302 combination therapy for the treatment of wet AMD, DME or other indications;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our clinical trials for OPT-302, we may need to adjust our clinical trial procedures and may need additional clinical trial sites, which could delay our clinical trial progress;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or comparable non-U.S. regulatory authorities for marketing approval;</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standards implemented by clinical or regulatory agencies may change at any time and we cannot be certain what regulatory agencies may require in pivotal clinical trials for the approval of OPT-302;</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results of later stage clinical trials may not be as favorable as the results we have observed to date in our preclinical studies and early clinical trials;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 w:name="page15"/>
    <w:bookmarkEnd w:id="14"/>
    <w:p>
      <w:pPr>
        <w:ind w:left="880" w:hanging="434"/>
        <w:spacing w:after="0" w:line="285"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cannot be certain of the number and type of clinical trials and non-clinical studies that the FDA or comparable non-U.S. regulatory agencies will require in order to approve OPT-302 combination therapy</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the treatment of wet AMD, DME or any other indication, including an approved label for use of OPT-302 in combination with multiple anti-VEGF-A therapies for the treatment of wet AMD;</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obtaining and maintaining third-party coverage and adequate reimbursement;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products following approval, including when used in combination with existing therapies;</w:t>
      </w:r>
    </w:p>
    <w:p>
      <w:pPr>
        <w:spacing w:after="0" w:line="231" w:lineRule="exact"/>
        <w:rPr>
          <w:rFonts w:ascii="Arial" w:cs="Arial" w:eastAsia="Arial" w:hAnsi="Arial"/>
          <w:sz w:val="16"/>
          <w:szCs w:val="16"/>
          <w:color w:val="auto"/>
        </w:rPr>
      </w:pPr>
    </w:p>
    <w:p>
      <w:pPr>
        <w:ind w:left="880" w:hanging="43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Of the large number of drugs in development in the pharmaceutical industry, only a small percentage result in the submission of a new drug application or a biologics license application, or BLA, to the FDA and even fewer are approved for commercialization. Furthermore, even if we do receive regulatory approval to market OPT-302,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OPT-302. If we or any of our future development collaborators are unable to develop, or obtain regulatory approval for, or, if approved, successfully commercialize OPT-302, we may not be able to generate sufficient revenue to continue our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uncertain timelines and uncertain outcomes. Our clinical trials may fail to adequately demonstrate the safety and efficacy of OPT-302 or any future product candidates.</w:t>
      </w:r>
    </w:p>
    <w:p>
      <w:pPr>
        <w:spacing w:after="0" w:line="159"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OPT-302 and any future product candidates will be subject to rigorous and extensive clinical trials and extensive regulatory approval processes implemented by the FDA and comparable non-U.S. regulatory authorities before obtaining marketing approval from these regulatory authorities. The drug development and approval process is lengthy and expensive, and approval is never certain. For example, we do not expect to report topline data from our Phase 3 clinical trials of OPT-302 for the treatment of wet AMD until 2023, despite FDA Fast Track designation. Investigational new drugs, such as OPT-302, may not prove to be safe and effective in clinical trials. We may be unable to conduct clinical trials at preferred sites, enlist clinical investigators, enroll sufficient numbers of participants or begin or successfully complete clinical trials in a timely fashion, if at all. In addition, the design of a clinical trial can determine whether its results will support approval of a product, and flaws in the design of a clinical trial may not become apparent until the clinical trial is well advanced.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delays in clinical testing, our commercial prospects will be harmed, our costs may increase and our business may be harmed.</w:t>
      </w:r>
    </w:p>
    <w:p>
      <w:pPr>
        <w:spacing w:after="0" w:line="232"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Conducting clinical studies for any product candidates in the United States requires filing an investigational new drug application, or IND, and reaching agreement with the FDA on clinical protocols, finding appropriate clinical sites and clinical investigators, securing approvals for such studies from the institutional review board at each such site, manufacturing clinical quantities of product candidates and supplying drug product to clinical sites. Currently, we have an active IND with the FDA in the United States for OPT-302. If any such future IND is not approved by the FDA, our clinical development timeline may be negatively impacted and any future clinical programs may be delayed or terminated.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 w:name="page16"/>
    <w:bookmarkEnd w:id="15"/>
    <w:p>
      <w:pPr>
        <w:jc w:val="both"/>
        <w:ind w:firstLine="448"/>
        <w:spacing w:after="0" w:line="279" w:lineRule="auto"/>
        <w:rPr>
          <w:sz w:val="20"/>
          <w:szCs w:val="20"/>
          <w:color w:val="auto"/>
        </w:rPr>
      </w:pPr>
      <w:r>
        <w:rPr>
          <w:rFonts w:ascii="Arial" w:cs="Arial" w:eastAsia="Arial" w:hAnsi="Arial"/>
          <w:sz w:val="16"/>
          <w:szCs w:val="16"/>
          <w:color w:val="auto"/>
        </w:rPr>
        <w:t>We cannot guarantee that we will be able to successfully accomplish required regulatory activities or all of the other activities necessary to initiate and complete clinical trials. As a result, our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OPT-302 and any future product candidates or allow our competitors to bring products to market before we do, which would impair our ability to successfully commercialize OPT-302 or any future product candidates and may harm our business, results of operations and prospects. Events that may result in a delay or unsuccessful completion of clinical development include:</w:t>
      </w:r>
    </w:p>
    <w:p>
      <w:pPr>
        <w:spacing w:after="0" w:line="166" w:lineRule="exact"/>
        <w:rPr>
          <w:sz w:val="20"/>
          <w:szCs w:val="20"/>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unavailability of financial resources to commence and complete planned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trial sites;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revisions to labeling, including adding limitations on approved uses or the additions of additional warnings, contraindications or other safety information including boxed warnings;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ongoing discussions with the FDA or comparable non-U.S. regulatory authorities regarding the scope or design of our clinical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failures to conduct the trial in accordance with regulatory requirements;</w:t>
      </w:r>
    </w:p>
    <w:p>
      <w:pPr>
        <w:spacing w:after="0" w:line="231" w:lineRule="exact"/>
        <w:rPr>
          <w:rFonts w:ascii="Arial" w:cs="Arial" w:eastAsia="Arial" w:hAnsi="Arial"/>
          <w:sz w:val="16"/>
          <w:szCs w:val="16"/>
          <w:color w:val="auto"/>
        </w:rPr>
      </w:pPr>
    </w:p>
    <w:p>
      <w:pPr>
        <w:ind w:left="880" w:hanging="434"/>
        <w:spacing w:after="0" w:line="28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need to repeat clinical trials as a result of inconclusive or negative results or poorly executed testing or changes in required endpoints by the FDA or comparable non-U.S. authorities;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unfavorable FDA inspection and review of a clinical trial site or records of any clinical or preclinical investigation;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placement of a clinical hold on a clinical trial by the FDA or comparable non-U.S. authorities;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obtaining, or the inability to obtain, required approvals from institutional review boards or other governing entities at clinical sites selected for participation in our clinical trials;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of third parties, such as CROs, to satisfy their contractual duties to us or meet expected deadlines;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the testing, validation, manufacturing and delivery of the product candidates to the clinical sites;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insufficient supply or deficient quality of product candidate materials or other materials necessary to conduct our clinical trials, including of drugs to be used in the proposed combination therapy with our product candidates;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enrolling participants into our clinical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patients completing a trial or returning for post-treatment follow-up;</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caused by patients dropping out of a trial due to side effects, disease progression or otherwise;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serious and unexpected drug-related adverse effects experienced by participants in our clinical trials;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implementation of new, or changes to, guidance or interpretations from the FDA or comparable non-U.S. authorities with respect to approval pathways for any product candidates we are pursuing; and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government regulations or administrative actions or lack of adequate funding to continue the clinical trials.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6" w:name="page17"/>
    <w:bookmarkEnd w:id="16"/>
    <w:p>
      <w:pPr>
        <w:jc w:val="both"/>
        <w:ind w:firstLine="448"/>
        <w:spacing w:after="0" w:line="262" w:lineRule="auto"/>
        <w:rPr>
          <w:sz w:val="20"/>
          <w:szCs w:val="20"/>
          <w:color w:val="auto"/>
        </w:rPr>
      </w:pPr>
      <w:r>
        <w:rPr>
          <w:rFonts w:ascii="Arial" w:cs="Arial" w:eastAsia="Arial" w:hAnsi="Arial"/>
          <w:sz w:val="17"/>
          <w:szCs w:val="17"/>
          <w:color w:val="auto"/>
        </w:rPr>
        <w:t>Our or our future collaborators’ inability to timely complete clinical trials could result in additional costs to us as well as impair our ability to generate product revenue, continue development, commercialize OPT-302 and any future product candidates and receive royalties on product sales. In addition, if we make changes to a product candidate, we may need to conduct additional nonclinical studies or clinical trials to bridge or demonstrate the comparability of our modified product candidate to earlier versions, which could delay our clinical development plan or marketing approval for our current product candidate and any future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in enrolling patients in our clinical trials, our clinical development activities could be delayed or otherwise negatively affected.</w:t>
      </w:r>
    </w:p>
    <w:p>
      <w:pPr>
        <w:spacing w:after="0" w:line="243"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The timely completion of clinical trials largely depends on patient enrollment. We may encounter delays in enrolling, or be unable to enroll, a sufficient number of patients to complete any of our clinical trials, and even once enrolled, we may be unable to retain a sufficient number of patients to complete any of our trials. Many factors affect patient enrollment, including:</w:t>
      </w:r>
    </w:p>
    <w:p>
      <w:pPr>
        <w:spacing w:after="0" w:line="172" w:lineRule="exact"/>
        <w:rPr>
          <w:sz w:val="20"/>
          <w:szCs w:val="20"/>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size and nature of the patient population, which may be limited due to eligibility requirements;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and location of clinical sites;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competition with other companies for clinical sites or patients;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and amount of any patient stipend;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eligibility and exclusion criteria for the trial;</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design of the clinical trial;</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obtain and maintain patient consents;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adverse events or other side effects observed, if any;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 that enrolled participants will drop out before completion; and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addition, other companies are conducting clinical trials for the same indications and seek to enroll patients in their trials that may otherwise be eligible for our clinical studies or trials, which could lead to slow recruitment and delays in our clinical programs. Further,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sites.</w:t>
      </w:r>
    </w:p>
    <w:p>
      <w:pPr>
        <w:spacing w:after="0" w:line="17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or may require us to abandon one or more clinical trials altogether. If we are unable to enroll a sufficient number of patients that will complete clinical testing, we will be unable to seek or gain marketing approval for OPT-302 and any future product candidates and our business will be harmed. Even if we are able to enroll a sufficient number of patients in our clinical studies or trials, delays in patient enrollment may result in increased costs or may affect the timing or outcome of our clinical trials, which could prevent completion of these trials and negatively affect our ability to advance the development of OPT-302 and any future product candidates.</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OPT-302 and any future product candidates may cause undesirable side effects or have other properties that could delay or prevent their regulatory approval or limit the commercial profile of an approved label.</w:t>
      </w:r>
    </w:p>
    <w:p>
      <w:pPr>
        <w:spacing w:after="0" w:line="159"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Undesirable side effects caused by OPT-302 combination therapy or any future product candidates could cause us or regulatory authorities to interrupt, delay or halt clinical trials and could result in a more restrictive label or the delay or denial of regulatory approval by the FDA or other comparable non-U.S. regulatory authorities. Additional clinical studies may be required to evaluate the safety profile of OPT-302 combination therapy or 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7" w:name="page18"/>
    <w:bookmarkEnd w:id="17"/>
    <w:p>
      <w:pPr>
        <w:jc w:val="both"/>
        <w:spacing w:after="0" w:line="285" w:lineRule="auto"/>
        <w:rPr>
          <w:sz w:val="20"/>
          <w:szCs w:val="20"/>
          <w:color w:val="auto"/>
        </w:rPr>
      </w:pPr>
      <w:r>
        <w:rPr>
          <w:rFonts w:ascii="Arial" w:cs="Arial" w:eastAsia="Arial" w:hAnsi="Arial"/>
          <w:sz w:val="17"/>
          <w:szCs w:val="17"/>
          <w:color w:val="auto"/>
        </w:rPr>
        <w:t>future product candidates. We have no clinical safety data on patient exposure to OPT-302 administered in combination with an anti-VEGF-A therapy for longer than 24 weeks.</w:t>
      </w:r>
    </w:p>
    <w:p>
      <w:pPr>
        <w:spacing w:after="0" w:line="159"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5"/>
          <w:szCs w:val="15"/>
          <w:color w:val="auto"/>
        </w:rPr>
        <w:t>Future results of our trials could reveal a high and unacceptable severity and prevalence of side effects or unexpected characteristics, including, for example, immunogenicity. In such an event, we could suspend or terminate our trials or the FDA or comparable non-U.S. regulatory authorities could order us to cease clinical trials or deny approval of OPT-302 in combination with anti-VEGF-A therapy or any future product candidates for any or all targeted indications. Drug-related side effects could affect patient recruitment or the ability of enrolled subjects to complete the trial or result in potential product liability claims. Any of these occurrences could materially and negatively affect our business, financial condition, results of operations and prospects. While OPT-302 has been well tolerated in our completed clinical trials, dosed patients have experienced certain adverse events, including potentially treatment-related serious adverse events, or SAEs, of myocardial infarction, endophthalmitis and vitritis in our Phase 2b clinical trial of OPT-302 combination therapy for the treatment of wet AMD, and a potentially treatment-related SAE of stroke for one patient in our Phase 1b/2a clinical trial of OPT-302 combination therapy for the treatment of DME.</w:t>
      </w:r>
    </w:p>
    <w:p>
      <w:pPr>
        <w:spacing w:after="0" w:line="158"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It may be difficult to discern whether certain events or symptoms observed during our clinical trials or by patients using our approved products are related to OPT-302 or any future product candidates or approved products, including anti-VEGF-A therapies used in combination with OPT-302, or some other factor. As a result, we and our development programs may be negatively affected even if such events or symptoms are ultimately determined to be unlikely related to OPT-302 or any future product candidates or approved products. We are developing OPT-302 to complement existing VEGF-A inhibitors, including ranibizumab and aflibercept. There are some potential side effects associated with intravitreal anti-VEGF-A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Further, OPT-302 in combination with anti-VEGF-A therapies for the treatment of wet AMD is administered as sequential intravitreal injections over several weeks. There are risks inherent in the intravitreal injection procedure of drugs such as existing anti-VEGF-A therapies in combination with OPT-302 which can cause injury to the eye and other complications including conjunctival hemorrhage, punctate keratitis, eye pain, conjunctival hyperemia, which results in a discharge, intra-ocular inflammation and inflammation of the interior of the eye. For example, in our completed clinical trials, patients dosed with OPT-302 have experienced potentially treatment-related ocular adverse events such as eye pain, vitreous floaters, eye irritation and raised intraocular pressure.</w:t>
      </w:r>
    </w:p>
    <w:p>
      <w:pPr>
        <w:spacing w:after="0" w:line="173"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color w:val="auto"/>
        </w:rPr>
        <w:t>We cannot assure you that additional or more severe adverse side effects than those observed to date related to OPT-302 combination therapy or any future product candidates will not be observed in our clinical trials or in the commercial setting. If observed, such adverse side effects could delay or preclude regulatory approval of OPT-302 combination therapy or any future product candidates, limit commercial use or result in the withdrawal of previously granted marketing approvals. If we or others identify undesirable or unacceptable side effects caused by OPT-302 combination therapy or any future product candidates or products:</w:t>
      </w:r>
    </w:p>
    <w:p>
      <w:pPr>
        <w:spacing w:after="0" w:line="146" w:lineRule="exact"/>
        <w:rPr>
          <w:sz w:val="20"/>
          <w:szCs w:val="20"/>
          <w:color w:val="auto"/>
        </w:rPr>
      </w:pPr>
    </w:p>
    <w:p>
      <w:pPr>
        <w:ind w:left="880" w:hanging="4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modify, suspend or terminate our clinical trials;</w:t>
      </w:r>
    </w:p>
    <w:p>
      <w:pPr>
        <w:spacing w:after="0" w:line="220"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modify or include additional dosage and administration instructions, warnings and precautions, contraindications, boxed warnings, limitations, restrictions or other statements in the product label for our approved products, or issue field alerts to physicians and pharmacies;</w:t>
      </w:r>
    </w:p>
    <w:p>
      <w:pPr>
        <w:spacing w:after="0" w:line="171"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71" w:lineRule="exact"/>
        <w:rPr>
          <w:rFonts w:ascii="Arial" w:cs="Arial" w:eastAsia="Arial" w:hAnsi="Arial"/>
          <w:sz w:val="17"/>
          <w:szCs w:val="17"/>
          <w:color w:val="auto"/>
        </w:rPr>
      </w:pPr>
    </w:p>
    <w:p>
      <w:pPr>
        <w:ind w:left="880" w:hanging="4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conduct costly additional clinical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subject to limitations on how we may promote our approved products;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of our approved products may decrease significantly;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require us to take our approved products off the market;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8" w:name="page19"/>
    <w:bookmarkEnd w:id="18"/>
    <w:p>
      <w:pPr>
        <w:ind w:left="880" w:hanging="434"/>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subject to regulatory investigations, government enforcement actions, litigation or product liability claims;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products may become less competitive or our reputation may suffer.</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Any of these results could decrease or prevent any sales of our approved product or substantially increase the costs and expenses of commercializing and marketing our product.</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Even if we complete the necessary Phase 3 pivotal clinical trials, the marketing approval process is expensive, time-consuming and uncertain and may prevent us or any future collaboration partners from obtaining approvals for the commercialization of OPT-302 for the treatment of wet AMD or any other indication as well as for any other product candidate we develop.</w:t>
      </w:r>
    </w:p>
    <w:p>
      <w:pPr>
        <w:spacing w:after="0" w:line="172" w:lineRule="exact"/>
        <w:rPr>
          <w:sz w:val="20"/>
          <w:szCs w:val="20"/>
          <w:color w:val="auto"/>
        </w:rPr>
      </w:pPr>
    </w:p>
    <w:p>
      <w:pPr>
        <w:jc w:val="both"/>
        <w:ind w:firstLine="448"/>
        <w:spacing w:after="0" w:line="295" w:lineRule="auto"/>
        <w:rPr>
          <w:sz w:val="20"/>
          <w:szCs w:val="20"/>
          <w:color w:val="auto"/>
        </w:rPr>
      </w:pPr>
      <w:r>
        <w:rPr>
          <w:rFonts w:ascii="Arial" w:cs="Arial" w:eastAsia="Arial" w:hAnsi="Arial"/>
          <w:sz w:val="15"/>
          <w:szCs w:val="15"/>
          <w:color w:val="auto"/>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non-U.S.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While we expect to expand our internal regulatory function to support the marketing approval process for OPT-302, we have no prior experience in filing and supporting the applications necessary to gain marketing approvals and expect to rely in part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59"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If we experience delays in obtaining approval or if we fail to obtain approval of any product candidates we may develop, the commercial prospects for those product candidates, including for OPT-302 in other indications, may be harmed, and our ability to generate revenues will be materially impaired.</w:t>
      </w:r>
    </w:p>
    <w:p>
      <w:pPr>
        <w:spacing w:after="0" w:line="13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b w:val="1"/>
          <w:bCs w:val="1"/>
          <w:i w:val="1"/>
          <w:iCs w:val="1"/>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136"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Lack of efficacy, adverse events or undesirable side effects may emerge in clinical trials conducted by third parties developing product candidates for wet AMD or DME. In addition, other companies have developed products for wet AMD and DME, including product candidates administered in combination with anti-VEGF-A therapies, and have suffered setbacks and clinical trial failures in the past, including failures of primary endpoints in Phase 3 pivotal clinical trials following positive data from Phase 1 and 2 trials. Lack of efficacy, adverse events or undesirable side effects experienced by subjects in third party clinical trials currently being conducted or previously conducted could negatively affect our stock price, our ability to attract additional capital and our development of OPT-302 or even the viability of OPT-302 as a product candidate. In addition, any such adverse events or undesirable side effects may lead to increased regulatory requirements for, or additional regulatory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9" w:name="page20"/>
    <w:bookmarkEnd w:id="19"/>
    <w:p>
      <w:pPr>
        <w:jc w:val="both"/>
        <w:spacing w:after="0" w:line="285" w:lineRule="auto"/>
        <w:rPr>
          <w:sz w:val="20"/>
          <w:szCs w:val="20"/>
          <w:color w:val="auto"/>
        </w:rPr>
      </w:pPr>
      <w:r>
        <w:rPr>
          <w:rFonts w:ascii="Arial" w:cs="Arial" w:eastAsia="Arial" w:hAnsi="Arial"/>
          <w:sz w:val="17"/>
          <w:szCs w:val="17"/>
          <w:color w:val="auto"/>
        </w:rPr>
        <w:t>review of, OPT-302, which may result in delays in development and commercialization of OPT-302 and harm our business, financial condition and results of operations.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The results of completed clinical trials may not be predictive of future results. Data from our clinical trials to date may not be indicative of results obtained when these trials are completed or in later stage trials.</w:t>
      </w:r>
    </w:p>
    <w:p>
      <w:pPr>
        <w:spacing w:after="0" w:line="159"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There is a high failure rate for drugs and biologic products proceeding through clinical trials. Failure can occur at any time during the clinical trial process. The results of completed clinical trials of OPT-302 or any future product candidate may not be predictive of the results of later-stage clinical trials, including our Phase 3 trials of OPT-302 in combination with anti-VEGF-A therapy for the treatment of wet AMD, and the results of trials in certain patients may not be predictive of those obtained in another. In fact, many companies in the pharmaceutical and biotechnology industries have suffered significant setbacks in late stage clinical trials even after achieving promising results in earlier stage clinical trials. In addition, data obtained from clinical activities is subject to varying interpretations, which may delay, limit or prevent regulatory approval.</w:t>
      </w:r>
    </w:p>
    <w:p>
      <w:pPr>
        <w:spacing w:after="0" w:line="18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The results of our Phase 2b clinical trial of OPT-302 combination therapy may not be predictive of the results of our Phase 3 clinical program due, in part, to the fact that we have no clinical data on OPT-302 in combination with anti-VEGF-A therapy in any clinical trial longer than 24 weeks and that we have begun and plan to continue to conduct our Phase 3 clinical trials at many clinical centers that were not included in our Phase 2b clinical trial. The number of patients exposed to product candidates and the average exposure time in prior clinical trials may be inadequate to detect rare adverse events or findings that may only be detected once a product candidate is administered to more patients and for greater periods of time. Any approved label for OPT-302 combination therapy may also be limited if our Phase 3 clinical trial results do not show long-term clinically significant efficacy results, including for over 12 months or in combination with either of the approved anti-VEGF-A therapies. In addition, if a combination of OPT-302 with an anti-VEGF-A therapy in our Phase 3 clinical program for the treatment of wet AMD does not achieve clinically significant superiority over anti-VEGF-A monotherapy with statistical significance on the primary endpoints of our Phase 3 clinical trials, or the FDA or a comparable non-U.S. regulatory authority requires additional clinical trials beyond our Phase 3 clinical program to support an approved label of OPT-302 used in combination with multiple anti-VEGF-A therapies, our ability to successfully commercialize OPT-302 in combination with anti-VEGF-A therapy for the treatment of wet AMD would be harmed.</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w:t>
      </w:r>
    </w:p>
    <w:p>
      <w:pPr>
        <w:spacing w:after="0" w:line="168"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In addition, adverse changes between interim data and final data could significantly harm our business and prospects. Additional disclosure of interim data by us or by our competitors in the future could also result in volatility in the price of the ADSs and our ordinary shares.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regarding a particular product candidate or our business. If the topline data that we report differ from actual results, or if others, including regulatory authorities, disagree with the conclusions reached, our ability to obtain approval for, and commercialize, OPT-302 or any future product candidates may be harmed, which could harm our business, financial condition, results of operations and prospects.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face substantial competition, which may result in others discovering, developing or commercializing competing products before or more successfully than us.</w:t>
      </w:r>
    </w:p>
    <w:p>
      <w:pPr>
        <w:spacing w:after="0" w:line="159"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The biopharmaceutical industry is intensely competitive and subject to rapid innovation and significant technological advancements. We believe the key competitive factors that will affect the development and commercial success of OPT-302 and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w:t>
      </w:r>
    </w:p>
    <w:p>
      <w:pPr>
        <w:spacing w:after="0" w:line="167"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wet AMD and DME or have commercially approved products for the treatment of wet AMD or DME, including Roche, Regeneron and Novartis. The current standard of care for wet AMD is monotherapy administration of anti-VEGF-A therapies, including ranibizumab and aflibercept, as well as off-label use of bevacizumab. These drugs are well established therapies and are widely accepted by physicians, patients and third-party payors, which may make it difficult to convince these parties to switch to OPT-302 combination therapy. In addition to competition from other companies directly targeting wet AMD or DME, any products we may develop may also face competition from other types of therapies or patient and physician preferences. In addition, many companies are developing new therapeutics, and we cannot predict what the standard of care will be as OPT-302 or any future product candidates progress through clinical development.</w:t>
      </w:r>
    </w:p>
    <w:p>
      <w:pPr>
        <w:spacing w:after="0" w:line="184"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If our competitors market products that are more effective, safer or cheaper than our products, that are more durable or have reduced injection burden compared to our products (including OPT-302), or that reach the market sooner than our products, we may not achieve commercial success.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8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Clinical trials for the treatment of wet AMD and DME may be relatively costly and time consuming. The requirements for approval by the FDA and comparable non-U.S. regulatory authorities may change over time and this may require changes to ongoing or future clinical trial designs that could impact timelines and cost. Further,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16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As a result, 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negatively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 Our inability to compete effectively in any of these aspects of our business could harm our business, financial condition, results of operations and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7"/>
          <w:szCs w:val="17"/>
          <w:b w:val="1"/>
          <w:bCs w:val="1"/>
          <w:i w:val="1"/>
          <w:iCs w:val="1"/>
          <w:color w:val="auto"/>
        </w:rPr>
        <w:t>A fast track designation by the FDA for future product candidates,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If a drug or biologic is intended for the treatment of a serious or life-threatening condition and the product demonstrates the potential to address unmet medical needs for this condition, the sponsor may apply for FDA fast track designation for a particular indication. We may seek fast track designation for certain of our future product candidates, but there is no assurance that the FDA will grant this status to any of our future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OPT-302 and any future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Given the number of drugs in development or currently approved for the treatment of wet AMD and DME, if we are unsuccessful in achieving a differentiated profile with OPT-302, including in combination with existing therapies, based on efficacy, safety and tolerability, dosing and administration, market acceptance will be limited. For example, current treatments for wet AMD, including ranibizumab, aflibercept and low cost, off-label use of bevacizumab, are well established in the medical community and perceived as demonstrating meaningful clinical response in many cases. As a result, doctors may continue to rely on these treatments without OPT-302 or may continue to use such existing treatments as first-line therapies. The medical community may also resist adopting a combination therapy over monotherapy for any of our targeted indications. In particular, recent clinical development has focused on maintaining vision gains with a VEGF-A inhibitor while reducing the number of injections. While we plan to evaluate the potential for co-formulation of OPT-302 with approved and/or biosimilar forms of VEGF-A inhibitors to provide flexibility of treatment options for physicians and to reduce the frequency and number of injections for patients, there can be no assurance that we will be successful or that any co-formulated product will have a favorable safety profile. If we are unable to reduce the injection burden of OPT-302 combination therapy or demonstrate sufficient efficacy improvements with a comparatively higher frequency and number of injections over standard of care anti-VEGF-A therapies, develop a co-formulation of OPT-302 for patients or otherwise increase the duration of efficacy of OPT-302 doses, or if physicians determine that a more frequent regimen is necessary, the market acceptance of OPT-302 may be limited which would harm our business, financial condition and results of operations.</w:t>
      </w:r>
    </w:p>
    <w:p>
      <w:pPr>
        <w:spacing w:after="0" w:line="178"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In addition, the potential market opportunity for OPT-302 is difficult to estimate precisely. If OPT-302 receives marketing approval for the treatment of wet AMD, it will be approved solely for use in combination with one or more anti-VEGF-A therapies, and may be limited to use with only one anti-VEGF-A therapy for the treatment of wet AMD depending on whether the results from each of our Phase 3 clinical trials support an approved label for use of OPT-302 in combination with more than one anti-VEGF-A therapy. The market opportunity for OPT-302 will be dependent upon the continued use of anti-VEGF-A therapies in the treatment of wet AMD and the market share of such anti-VEGF-A therapies for which OPT-302 is approved as a combination therapy. The degree of market acceptance of any of our approved product candidates will depend on a number of factors, including:</w:t>
      </w:r>
    </w:p>
    <w:p>
      <w:pPr>
        <w:spacing w:after="0" w:line="167" w:lineRule="exact"/>
        <w:rPr>
          <w:sz w:val="20"/>
          <w:szCs w:val="20"/>
          <w:color w:val="auto"/>
        </w:rPr>
      </w:pPr>
    </w:p>
    <w:p>
      <w:pPr>
        <w:ind w:left="880" w:hanging="434"/>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efficacy, safety and dosing profile of the product candidate as demonstrated in clinical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market introduction of the product candidate as well as competitive products;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indications for which the product candidate is approved;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2" w:name="page23"/>
    <w:bookmarkEnd w:id="22"/>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imposition of a REMS which may include distribution or use restrictions;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restrictions on the use of our products to a subgroup of patients;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acceptance of the product candidate as a safe and effective treatment by physicians and patients;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 parties and government authorities;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patients’ willingness to pay out-of-pocket in the absence of coverage and/or adequate reimbursement from third-party payors;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relative convenience and ease of administration;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frequency and severity of adverse events;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effectiveness of sales and marketing efforts;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unfavorable publicity relating to the product candidate.</w:t>
      </w:r>
    </w:p>
    <w:p>
      <w:pPr>
        <w:spacing w:after="0" w:line="220"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w:t>
      </w:r>
    </w:p>
    <w:p>
      <w:pPr>
        <w:spacing w:after="0" w:line="163"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color w:val="auto"/>
        </w:rPr>
        <w:t>Efforts to educate the medical community and third-party payors on the benefits of OPT-302 combination therapy may require significant resources and may not be successful.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the market opportunities for any product that we or our strategic collaborators develop are smaller than we believe they are, our revenue may be negatively affected and our business may suffer.</w:t>
      </w:r>
    </w:p>
    <w:p>
      <w:pPr>
        <w:spacing w:after="0" w:line="159"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We intend to focus our product candidate development on therapies for the treatment of wet AMD and additional retinal disease indications such as DME or retinal vein occlusion, or RVO. Our projections of addressable patient populations that have the potential to benefit from treatment with our product candidate are based on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are inaccurate, the market opportunities for any of our product candidates could be significantly diminished and have an adverse impact on our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7"/>
          <w:szCs w:val="17"/>
          <w:b w:val="1"/>
          <w:bCs w:val="1"/>
          <w:i w:val="1"/>
          <w:iCs w:val="1"/>
          <w:color w:val="auto"/>
        </w:rPr>
        <w:t>If OPT-302 is approved by the FDA as a combination therapy for the treatment of wet AMD, the approval will be limited to this specific indication and, unless we seek regulatory approval for additional indications, we will be prohibited from marketing OPT-302 for other indications. We may be subject to fines, penalties or injunctions if we are determined to have promoted or be promoting the use of OPT-302 for unapproved or “off-label” uses, resulting in damage to our reputation and business.</w:t>
      </w:r>
    </w:p>
    <w:p>
      <w:pPr>
        <w:spacing w:after="0" w:line="17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If OPT-302 receives marketing approval for the treatment of wet AMD, it will be approved solely for use in combination with one or more anti-VEGF-A therapies, and may be limited to only one anti-VEGF-A therapy for the treatment of wet AMD depending on the results of our ongoing pivotal Phase 3 clinical trials. Although we are also developing OPT-302 for other retinal diseases, any regulatory approval of OPT-302 for wet AMD would not be cover the treatment of any other indication. As a result, we would be prohibited from promoting OPT-302 for the treatment of DME unless we are granted FDA approval for such indication.</w:t>
      </w:r>
    </w:p>
    <w:p>
      <w:pPr>
        <w:spacing w:after="0" w:line="180" w:lineRule="exact"/>
        <w:rPr>
          <w:sz w:val="20"/>
          <w:szCs w:val="20"/>
          <w:color w:val="auto"/>
        </w:rPr>
      </w:pPr>
    </w:p>
    <w:p>
      <w:pPr>
        <w:jc w:val="both"/>
        <w:ind w:firstLine="448"/>
        <w:spacing w:after="0" w:line="258" w:lineRule="auto"/>
        <w:rPr>
          <w:sz w:val="20"/>
          <w:szCs w:val="20"/>
          <w:color w:val="auto"/>
        </w:rPr>
      </w:pPr>
      <w:r>
        <w:rPr>
          <w:rFonts w:ascii="Arial" w:cs="Arial" w:eastAsia="Arial" w:hAnsi="Arial"/>
          <w:sz w:val="17"/>
          <w:szCs w:val="17"/>
          <w:color w:val="auto"/>
        </w:rPr>
        <w:t>The FDA strictly regulates the promotional claims that may be made about prescription products. 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or comparable non-U.S. regulatory authorities.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OPT-302 is being developed to be used as a combination therapy for use with anti-VEGF-A therapies, which exposes us to additional risks.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are developing OPT-302 to be used in combination with currently approved VEGF-A inhibitors. Even if OPT-302 were to receive marketing approval or be commercialized, we would continue to be subject to the risks that the FDA or similar regulatory authorities could revoke approval of some or all approved anti-VEGF-A therapies for safety, efficacy, manufacturing or supply issues. This could result in OPT-302 being restricted from commercialization or being less commercially successful.</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may also evaluate OPT-302 or any other future product candidates in combination with one or more other product candidates that have not yet been approved for marketing by the FDA or similar foreign regulatory authorities. We will not be able to market and sell OPT-302 or any product candidate we develop in combination with any such unapproved therapies that do not ultimately obtain marketing approval.</w:t>
      </w:r>
    </w:p>
    <w:p>
      <w:pPr>
        <w:spacing w:after="0" w:line="172"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If the FDA or similar foreign regulatory authorities do not approve these other product candidates or revoke their approval of, or if safety, efficacy, manufacturing, or supply issues arise with, the drugs we choose to evaluate in combination with OPT-302 or any product candidate we develop, we may be unable to obtain approval of or market OPT-302 or any product candidate we develop.</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and commercialize additional product candidates, we may be unable to grow our business.</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Although the development and commercialization of OPT-302 is currently our primary focus, as part of our longer-term growth strategy, we plan to evaluate the development and commercialization of other therapies related to retinal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product candidates for clinical development for a number of reasons, including:</w:t>
      </w:r>
    </w:p>
    <w:p>
      <w:pPr>
        <w:spacing w:after="0" w:line="159" w:lineRule="exact"/>
        <w:rPr>
          <w:sz w:val="20"/>
          <w:szCs w:val="20"/>
          <w:color w:val="auto"/>
        </w:rPr>
      </w:pPr>
    </w:p>
    <w:p>
      <w:pPr>
        <w:ind w:left="5540" w:right="3160" w:hanging="5094"/>
        <w:spacing w:after="0" w:line="541" w:lineRule="auto"/>
        <w:tabs>
          <w:tab w:leader="none" w:pos="89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need to rely on third parties to generate molecules for some of our product candidate programs;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-101600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4" w:name="page25"/>
    <w:bookmarkEnd w:id="24"/>
    <w:p>
      <w:pPr>
        <w:ind w:left="880" w:hanging="434"/>
        <w:spacing w:after="0" w:line="285"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encounter product manufacturing difficulties that limit yield or produce undesirable characteristics that increase the cost of manufacturing our product candidates, cause delays or make our product candidates unmarketable;</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candidates may cause adverse effects in patients or subjects, even after successful initial toxicology studies, which may make the product candidates unmarketable;</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candidates may not demonstrate a meaningful benefit to patients or subjects; and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future collaboration partners may change their development profiles or plans for potential product candidates or abandon a therapeutic area or the development of a partnered product.</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If any of these events occur, we may be forced to abandon our development efforts for one or more programs, which could harm our business, operating results and prospects and could potentially cause us to cease operations. Future research programs to identify new product candidates may require substantial technical, financial and human resources. We may focus our efforts and resources on potential programs or product candidates that ultimately prove to be unsuccessful.</w:t>
      </w:r>
    </w:p>
    <w:p>
      <w:pPr>
        <w:spacing w:after="0" w:line="17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Product candidates may require additional, time-consuming development efforts prior to commercial sale, including preclinical studies, clinical trials and approval by the FDA and/or comparable non-U.S.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63" w:lineRule="exact"/>
        <w:rPr>
          <w:sz w:val="20"/>
          <w:szCs w:val="20"/>
          <w:color w:val="auto"/>
        </w:rPr>
      </w:pPr>
    </w:p>
    <w:p>
      <w:pPr>
        <w:jc w:val="both"/>
        <w:spacing w:after="0" w:line="355" w:lineRule="auto"/>
        <w:rPr>
          <w:sz w:val="20"/>
          <w:szCs w:val="20"/>
          <w:color w:val="auto"/>
        </w:rPr>
      </w:pPr>
      <w:r>
        <w:rPr>
          <w:rFonts w:ascii="Arial" w:cs="Arial" w:eastAsia="Arial" w:hAnsi="Arial"/>
          <w:sz w:val="15"/>
          <w:szCs w:val="15"/>
          <w:b w:val="1"/>
          <w:bCs w:val="1"/>
          <w:i w:val="1"/>
          <w:iCs w:val="1"/>
          <w:color w:val="auto"/>
        </w:rPr>
        <w:t>Our business could be negatively affected by the effects of health epidemics, including the evolving effects of the COVID-19 pandemic, in regions where we or third parties on which we rely have significant manufacturing facilities, concentrations of clinical trial sites or other business operations.</w:t>
      </w:r>
    </w:p>
    <w:p>
      <w:pPr>
        <w:spacing w:after="0" w:line="113"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color w:val="auto"/>
        </w:rPr>
        <w:t>Health epidemics in regions where we have concentrations of clinical trial sites or other business operations could negatively affect our business, including by causing significant disruption in the operations of third-party manufacturers and CROs upon whom we rely. For example, the novel coronavirus disease 2019, or COVID-19, pandemic has presented a substantial public health and economic challenge around the world and continues to affect employees, patients, communities and business operations, as well as the U.S. economy and financial markets, despite the availability of FDA-approved vaccines against COVID-19.</w:t>
      </w:r>
    </w:p>
    <w:p>
      <w:pPr>
        <w:spacing w:after="0" w:line="146"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Based on guidance issued by Australian federal and state governments, we transitioned to a remote work environment for all of our employees. In connection with these measures, we may be subject to claims based upon, arising out of, or related to COVID-19 and our actions and responses thereto, including any determinations that we may make to continue to operate or to re-open our facilities. Further, the effects of the continued shelter-in-place orders in Australia and across the world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financial condition, results of operations and growth prospects. As the pandemic continues, we may experience a negative impact on our ability to initiate clinical trial sites, maintain patient enrollment and enroll new patients which may impact timelines in the future. Our ability to attract additional clinical trial sites and principal investigators to conduct our clinical trials and to conduct the necessary clinical trial site initiation procedures may be impacted by quarantines, shelter-in-place and similar restrictions imposed by federal, state and local governments. These restrictions may also prohibit patients from enrolling in, or continuing to participate in, our clinical trials. Principal investigators and clinical trial site staff, as healthcare providers, may have heightened exposure to COVID-19. While none of the patients in our ongoing clinical trials have discontinued due to COVID-19, certain of our patients have contracted COVID-19, and further health impacts from COVID-19 on our patients, clinical trial site staff or principal investigators could negatively impact the conduct of our clinical trials at their sites Similarly, potential participants in our clinical trials, many of whom are medically vulnerable, may be unwilling to enroll in, and enrolled patients may be unwilling to continue to participate in, our clinical trials due to an unwillingness to travel to sites for required screening and clinical trial visits and procedures. Enrolled patients may be unable to comply with clinical trial protocols if quarantines, shelter-in-place and similar restrictions continue to impede patient movement or interrupt healthcare services.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6"/>
          <w:szCs w:val="16"/>
          <w:color w:val="auto"/>
        </w:rPr>
        <w:t>addition, we may be required to develop and implement additional clinical study policies and procedures designed to help protect patients from the COVID-19 disease, which may include using telemedicine visits, remote monitoring of patients and clinical trial sites, and measures designed to ensure that data from clinical trials that may be disrupted as result of the pandemic are collected pursuant to the study protocol and consistent with Good Clinical Practice, or GCP, with any significant protocol deviation reviewed and approved by the clinical trial site institutional review board, or IRB, all or any of which could materially and negatively affect our clinical development timelines and our ability to obtain regulatory approvals of our product candidates, and could significantly increase our costs. We could also see an impact on our ability to report clinical trial results, or interact with regulators, ethics committees or other important agencies due to limitations in regulatory authority employee resources or otherwise. In addition, the FDA or comparable non-U.S. regulatory authorities may refuse to accept data from clinical trials conducted in geographies experiencing heightened impact from COVID-19.</w:t>
      </w:r>
    </w:p>
    <w:p>
      <w:pPr>
        <w:spacing w:after="0" w:line="172"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Moreover, we rely on third-party CROs and other third parties to assist us with clinical development activities,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In particular, some of our suppliers of certain materials used in the production of our drug products are located in Europe. In any event, if the COVID-19 pandemic continues and persists for an extended period of time or more acutely impacts geographies with particular impact on our business, we could experience significant disruptions to our clinical development timelines, which would harm our business, financial condition, results of operations and growth prospects.</w:t>
      </w:r>
    </w:p>
    <w:p>
      <w:pPr>
        <w:spacing w:after="0" w:line="181"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spread of COVID-19 could harm our business and the value of our ordinary shares and ADSs.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Regulatory Compliance Matters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and retain key leadership and other personnel, otherwise prevent new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in March 2020, the FDA announced its intention to postpone most inspections of foreign manufacturing facilities and products through April 2020. Also in March 2020, the FDA announced its intention to temporarily postpone routine surveillance inspections of domestic manufacturing facilities. FDA has continued, on a case-by-case basis, to conduct mission-critical inspections and other activities to ensure that FDA-regulated pharmaceutical products are meeting applicable FDA requirements. In July 2020, FDA resumed prioritized domestic inspections. Regulatory authorities outside the United States may adopt similar restrictions or other policy measures in response to the COVID-19 pandemic or issue guidance materially affecting the conduct of clinical trials.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6" w:name="page27"/>
    <w:bookmarkEnd w:id="26"/>
    <w:p>
      <w:pPr>
        <w:jc w:val="both"/>
        <w:spacing w:after="0" w:line="285" w:lineRule="auto"/>
        <w:rPr>
          <w:sz w:val="20"/>
          <w:szCs w:val="20"/>
          <w:color w:val="auto"/>
        </w:rPr>
      </w:pPr>
      <w:r>
        <w:rPr>
          <w:rFonts w:ascii="Arial" w:cs="Arial" w:eastAsia="Arial" w:hAnsi="Arial"/>
          <w:sz w:val="17"/>
          <w:szCs w:val="17"/>
          <w:color w:val="auto"/>
        </w:rPr>
        <w:t>a public company, future government shutdowns or delays could impact our ability to access the public markets and obtain necessary capital in order to properly capitalize and continue our operations.</w:t>
      </w:r>
    </w:p>
    <w:p>
      <w:pPr>
        <w:spacing w:after="0" w:line="159" w:lineRule="exact"/>
        <w:rPr>
          <w:sz w:val="20"/>
          <w:szCs w:val="20"/>
          <w:color w:val="auto"/>
        </w:rPr>
      </w:pPr>
    </w:p>
    <w:p>
      <w:pPr>
        <w:jc w:val="both"/>
        <w:spacing w:after="0" w:line="355" w:lineRule="auto"/>
        <w:rPr>
          <w:sz w:val="20"/>
          <w:szCs w:val="20"/>
          <w:color w:val="auto"/>
        </w:rPr>
      </w:pPr>
      <w:r>
        <w:rPr>
          <w:rFonts w:ascii="Arial" w:cs="Arial" w:eastAsia="Arial" w:hAnsi="Arial"/>
          <w:sz w:val="15"/>
          <w:szCs w:val="15"/>
          <w:b w:val="1"/>
          <w:bCs w:val="1"/>
          <w:i w:val="1"/>
          <w:iCs w:val="1"/>
          <w:color w:val="auto"/>
        </w:rPr>
        <w:t>Even if we commercialize OPT-302 or any future product candidate, we may face challenges to achieving profitability such as our products becoming subject to unfavorable pricing regulations, third-party reimbursement practices or healthcare reform initiatives, which could harm our business.</w:t>
      </w:r>
    </w:p>
    <w:p>
      <w:pPr>
        <w:spacing w:after="0" w:line="113"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In the United States and in other countries, patients who are prescribed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OPT-302 or any our product candidates. Third-party payors decide which medications they will pay for and establish reimbursement levels. The availability of coverage and extent of reimbursement by governmental and other third-party payors is essential for most patients to be able to afford treatments such as OPT-302.</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Other countries have equivalent authorities who play a similar role. Factors payors consider in determining reimbursement are based on whether the product is:</w:t>
      </w:r>
    </w:p>
    <w:p>
      <w:pPr>
        <w:spacing w:after="0" w:line="176" w:lineRule="exact"/>
        <w:rPr>
          <w:sz w:val="20"/>
          <w:szCs w:val="20"/>
          <w:color w:val="auto"/>
        </w:rPr>
      </w:pPr>
    </w:p>
    <w:p>
      <w:pPr>
        <w:ind w:left="880" w:hanging="43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20"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Our ability to commercialize any products successfully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drug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51"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w:t>
      </w:r>
    </w:p>
    <w:p>
      <w:pPr>
        <w:spacing w:after="0" w:line="163"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Government authorities and other third-party payors in the United States and abroad have attempted to control costs by limiting coverage and the amount of reimbursement for particular medications and for newly approved products, and as a result, they may not cover or provide adequate reimbursement for OPT-302 and future product candidates. Increasingly, certain third-party payors are requiring that drug companies provide them with predetermined discounts from list prices and are challenging the prices charged for medical products. We cannot be sure that coverage and reimbursement will be available for any product that we or our future collaborators commercialize and, if reimbursement is available, what the level of reimbursement will be. Coverage and reimbursement may impact the demand for, or the price of, any product candidate for which we or our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7" w:name="page28"/>
    <w:bookmarkEnd w:id="27"/>
    <w:p>
      <w:pPr>
        <w:jc w:val="both"/>
        <w:spacing w:after="0" w:line="260" w:lineRule="auto"/>
        <w:rPr>
          <w:sz w:val="20"/>
          <w:szCs w:val="20"/>
          <w:color w:val="auto"/>
        </w:rPr>
      </w:pPr>
      <w:r>
        <w:rPr>
          <w:rFonts w:ascii="Arial" w:cs="Arial" w:eastAsia="Arial" w:hAnsi="Arial"/>
          <w:sz w:val="17"/>
          <w:szCs w:val="17"/>
          <w:color w:val="auto"/>
        </w:rPr>
        <w:t>collaborators obtain marketing approval. If coverage and reimbursement are not available or reimbursement is available only to limited levels, we and our future collaborators may not be able to successfully commercialize any product candidate for which marketing approval is obtained. 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OPT-302 and any future product candidates and any reimbursement that may become available may not be adequate or may be decreased or eliminated in the future.</w:t>
      </w:r>
    </w:p>
    <w:p>
      <w:pPr>
        <w:spacing w:after="0" w:line="181" w:lineRule="exact"/>
        <w:rPr>
          <w:sz w:val="20"/>
          <w:szCs w:val="20"/>
          <w:color w:val="auto"/>
        </w:rPr>
      </w:pPr>
    </w:p>
    <w:p>
      <w:pPr>
        <w:jc w:val="both"/>
        <w:ind w:firstLine="448"/>
        <w:spacing w:after="0" w:line="258"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or comparable non-U.S.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harm our operating results, our ability to raise capital needed to commercialize products and our overall financial condition.</w:t>
      </w:r>
    </w:p>
    <w:p>
      <w:pPr>
        <w:spacing w:after="0" w:line="18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8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To become and remain profitable, we or any potential future collaborator must develop and eventually commercialize OPT-302 or any future product candidates with significant market potential at an adequate profit margin after cost of goods sold and other expenses. Commercialization of OPT-302 or any future product candidates may entail a substantial cost of goods sold and there can be no assurance that we will be able to achieve a suitable gross margin with respect to sales of OPT-302 or any future product candidates.</w:t>
      </w:r>
    </w:p>
    <w:p>
      <w:pPr>
        <w:spacing w:after="0" w:line="17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b w:val="1"/>
          <w:bCs w:val="1"/>
          <w:i w:val="1"/>
          <w:iCs w:val="1"/>
          <w:color w:val="auto"/>
        </w:rPr>
        <w:t>Changes in U.S. healthcare law and implementing regulations, as well as changes in healthcare policy, and equivalent changes in the laws and policies in other countries may impact our business in ways that we cannot currently predict and may harm our business and results of operations.</w:t>
      </w:r>
    </w:p>
    <w:p>
      <w:pPr>
        <w:spacing w:after="0" w:line="13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There have been, and likely will continue to be, several executive,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Among policy makers and payors in the United States there is significant interest in promoting changes in healthcare systems with the stated goals of containing healthcare costs, improving quality and/or expanding access and the pharmaceutical industry has been a particular focus of these efforts and has been significantly affected by major legislative initiatives.</w:t>
      </w:r>
    </w:p>
    <w:p>
      <w:pPr>
        <w:spacing w:after="0" w:line="163"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referred to as the Affordable Care Act, substantially changed the way healthcare is financed by both the government and private insurers, and significantly impacts the U.S. pharmaceutical industry. The Affordable Care Act, among other things: (1) introduced a new average manufacturer price definition for drugs and biologics that are inhaled, infused, instilled, implanted or injected and not generally dispensed through retail community pharmacies; (2) increased the minimum Medicaid rebates owed by manufacturers under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8" w:name="page29"/>
    <w:bookmarkEnd w:id="28"/>
    <w:p>
      <w:pPr>
        <w:jc w:val="both"/>
        <w:spacing w:after="0" w:line="258" w:lineRule="auto"/>
        <w:rPr>
          <w:sz w:val="20"/>
          <w:szCs w:val="20"/>
          <w:color w:val="auto"/>
        </w:rPr>
      </w:pPr>
      <w:r>
        <w:rPr>
          <w:rFonts w:ascii="Arial" w:cs="Arial" w:eastAsia="Arial" w:hAnsi="Arial"/>
          <w:sz w:val="17"/>
          <w:szCs w:val="17"/>
          <w:color w:val="auto"/>
        </w:rPr>
        <w:t>Medicaid Drug Rebate Program and expanded rebate liability from fee-for-service Medicaid utilization to include the utilization of Medicaid managed care organizations as well; (3) established a branded prescription drug fee that pharmaceutical manufacturers of branded prescription drugs must pay to the federal government; (4) expanded the list of covered entities eligible to participate in the 340B drug pricing program by adding new entities eligible for the program; (5) established a new Medicare Part D coverage gap discount program, in which manufacturers must agree to offer 50% (increased to 70% pursuant to the Bipartisan Budget Act of 2018, or BBA, effective as of January 2019) point-of-sale discounts off negotiated prices of applicable branded drugs to eligible beneficiaries during their coverage gap period, as a condition for the manufacturer’s outpatient drugs to be covered under Medicare Part D; (6) extended manufacturers’ Medicaid rebate liability to covered drugs dispensed to individuals who are enrolled in Medicaid managed care organizations; (7) expanded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 (8) created a licensure framework for follow-on biologic products; and (9) established a Center for Medicare and Medicaid Innovation at the CMS to test innovative payment and service delivery models to lower Medicare and Medicaid spending.</w:t>
      </w:r>
    </w:p>
    <w:p>
      <w:pPr>
        <w:spacing w:after="0" w:line="183"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Since its enactment, there have been executive, judicial and Congressional challenges to certain aspects of the Affordable Care Act. For example, the Tax Cuts and Jobs Act of 2017, or the TCJA, was enacted, which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 therefore, because it was repealed as part of the TCJA, the remaining provisions of the Affordable Care Act are invalid as well. On December 18, 2019, the U.S. Court of Appeals for the 5th Circuit ruled that the individual mandate was unconstitutional but remanded the case back to the District Court to determine whether the remaining provisions of the Affordable Care Act are invalid as well.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It is possible that the Affordable Care Act will be subject to judicial or Congressional challenges in the future. It is unclear how any such challenges and the healthcare reform measures of the Biden administration will impact the Affordable Care Act.</w:t>
      </w:r>
    </w:p>
    <w:p>
      <w:pPr>
        <w:spacing w:after="0" w:line="17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through 2030, unless additional Congressional action is taken. These Medicare sequester reductions have been suspended from May 1, 2020 through December 31, 2021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negatively affect customer demand and affordability for our products and, accordingly, the results of our financial operations.</w:t>
      </w:r>
    </w:p>
    <w:p>
      <w:pPr>
        <w:spacing w:after="0" w:line="184"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Also, there has been heightened governmental scrutiny recently over the manner in which pharmaceutical companies set prices for their marketed products, which have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6"/>
          <w:szCs w:val="16"/>
          <w:color w:val="auto"/>
        </w:rPr>
        <w:t>managers and manufacturers, the implementation of which have also been delayed until January 1, 2023. On November 20, 2020, CMS issued an interim final rule implementing the Trump administration’s Most Favored Nation executive order to tie Medicare Part B payments for certain physician-administered drugs to the lowest price paid in other economically advanced countries. As a result of litigation challenging the Most Favored Nation model, on August 10, 2021, CMS published a proposed rule that seeks to rescind the Most Favored Nation Model interim final rule. Additionally, based on a recent executive order, the Biden administration expressed its intent to pursue certain policy initiatives to reduce drug prices. At the state level, individual states in the United States are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73"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lower reimbursement, and put additional downward pressure on the price that we receive for any approved product. It is possible that additional governmental action is taken in response to the COVID-19 pandemic.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marketing approval is obtained.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As a company primarily based outside of the United States, our business is subject to economic, political, regulatory and other risks associated with international operations.</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As a company with substantial operations in Australia and an international clinical trial program,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172" w:lineRule="exact"/>
        <w:rPr>
          <w:sz w:val="20"/>
          <w:szCs w:val="20"/>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differing and changing regulatory requirements for product approvals;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differing jurisdictions could present different issues for securing, maintaining or obtaining freedom to operate in such jurisdictions;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potentially reduced protection for intellectual property rights;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difficulties in compliance with different, complex and changing laws, regulations and court systems of multiple jurisdictions and compliance with a wide variety of foreign laws, treaties and regulations;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non-U.S. currency exchange rates, Australian dollar, U.S. dollar, euro and currency controls;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governments;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0" w:name="page31"/>
    <w:bookmarkEnd w:id="30"/>
    <w:p>
      <w:pPr>
        <w:ind w:left="880" w:hanging="434"/>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differing reimbursement regimes and price controls in certain non-U.S. markets;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220" w:lineRule="exact"/>
        <w:rPr>
          <w:rFonts w:ascii="Arial" w:cs="Arial" w:eastAsia="Arial" w:hAnsi="Arial"/>
          <w:sz w:val="17"/>
          <w:szCs w:val="17"/>
          <w:color w:val="auto"/>
        </w:rPr>
      </w:pPr>
    </w:p>
    <w:p>
      <w:pPr>
        <w:ind w:left="880" w:hanging="434"/>
        <w:spacing w:after="0" w:line="318"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36" w:lineRule="exact"/>
        <w:rPr>
          <w:rFonts w:ascii="Arial" w:cs="Arial" w:eastAsia="Arial" w:hAnsi="Arial"/>
          <w:sz w:val="16"/>
          <w:szCs w:val="16"/>
          <w:color w:val="auto"/>
        </w:rPr>
      </w:pPr>
    </w:p>
    <w:p>
      <w:pPr>
        <w:ind w:left="880" w:hanging="434"/>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health epidemics, or natural disasters including earthquakes, typhoons, floods and fires.</w:t>
      </w:r>
    </w:p>
    <w:p>
      <w:pPr>
        <w:spacing w:after="0" w:line="159" w:lineRule="exact"/>
        <w:rPr>
          <w:sz w:val="20"/>
          <w:szCs w:val="20"/>
          <w:color w:val="auto"/>
        </w:rPr>
      </w:pPr>
    </w:p>
    <w:p>
      <w:pPr>
        <w:jc w:val="both"/>
        <w:spacing w:after="0" w:line="318" w:lineRule="auto"/>
        <w:rPr>
          <w:sz w:val="20"/>
          <w:szCs w:val="20"/>
          <w:color w:val="auto"/>
        </w:rPr>
      </w:pPr>
      <w:r>
        <w:rPr>
          <w:rFonts w:ascii="Arial" w:cs="Arial" w:eastAsia="Arial" w:hAnsi="Arial"/>
          <w:sz w:val="16"/>
          <w:szCs w:val="16"/>
          <w:b w:val="1"/>
          <w:bCs w:val="1"/>
          <w:i w:val="1"/>
          <w:iCs w:val="1"/>
          <w:color w:val="auto"/>
        </w:rPr>
        <w:t>If we fail to comply with non-U.S. regulatory requirements governing human clinical trials and marketing approval for drugs, we could be prevented from selling our product candidates in non-U.S. markets, which may negatively affect our operating results and financial condition.</w:t>
      </w:r>
    </w:p>
    <w:p>
      <w:pPr>
        <w:spacing w:after="0" w:line="13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The requirements governing the conduct of clinical trials, product licensing, pricing and reimbursement for marketing our product candidates outside the United States vary greatly from country to country and may require additional testing. We expect that our future clinical development of our product candidates will involve a number of clinical trials in non-U.S. jurisdictions. We have no direct experience as a company in obtaining non-U.S. regulatory approvals. The time required to obtain approvals outside the United States may differ from that required to obtain FDA approval. We may not obtain non-U.S. regulatory approvals on a timely basis, if at all. Approval by the FDA does not guarantee approval by comparable non-U.S. regulatory authorities, and approval by one non-U.S. regulatory authority does not ensure approval by regulatory authorities in other countries or by the FDA. Failure to comply with these regulatory requirements or obtain required approvals could impair our ability to develop non-U.S. markets for our product candidates and may harm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controls may be imposed in non-U.S. markets, which may negatively affect our future profitability.</w:t>
      </w:r>
    </w:p>
    <w:p>
      <w:pPr>
        <w:spacing w:after="0" w:line="220"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5"/>
          <w:szCs w:val="15"/>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harmed.</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We have received tax incentives under the Research and Development Tax Incentive scheme in Australia that may become repayable if we did not or do not comply with the rules of the scheme, or we may become ineligible for tax incentives in our current or future tax years, which could harm our business, financial condition and results of operations.</w:t>
      </w:r>
    </w:p>
    <w:p>
      <w:pPr>
        <w:spacing w:after="0" w:line="172"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have received cash incentives in the past under the Research and Development Tax Incentive scheme, or the R&amp;D Scheme, to offset the costs of our clinical trials and other qualifying expenses incurred both in Australia and other jurisdictions. Certain research and development costs that we incur in the future may be ineligible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6"/>
          <w:szCs w:val="16"/>
          <w:color w:val="auto"/>
        </w:rPr>
        <w:t>cash incentives under the R&amp;D Scheme. For example, costs incurred outside Australia in connection with our future clinical trials are generally not eligible for cash incentives under the R&amp;D Scheme. In addition, the federal government of Australia and the Australian Taxation Office, or ATO, could change the rules of the regulatory regime or amend past tax returns and, as a result, amounts paid to us may become repayable to the ATO including the amount of tax incentives in respect of our fiscal year ended June 30, 2021 included as current receivables in our consolidated financial statements. We have received an aggregate of US$28.5 million (A$40.5 million) in cash tax incentives during the five fiscal years ended June 30, 2021 under the R&amp;D Scheme. As of June 30, 2021, our current tax receivable under the R&amp;D Scheme was US$5.0 million. This receivable amount as of June 30, 2021 is based on Australian legislation as enacted as of June 30, 2021. Any proposed changes to the legislation, such as rate changes to eligibility requirements, may have a retrospective impact on our current tax receivable under the R&amp;D Scheme, currently no such legislative changes have occurred. Any rule changes made to reduce the amount we are able to claim under the R&amp;D Scheme currently or in the future and any retrospective changes made to the R&amp;D Scheme that reduce the incentives that we have claimed in past tax years could harm our business, financial condition and results of operations.</w:t>
      </w:r>
    </w:p>
    <w:p>
      <w:pPr>
        <w:spacing w:after="0" w:line="171"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i w:val="1"/>
          <w:iCs w:val="1"/>
          <w:color w:val="auto"/>
        </w:rPr>
        <w:t>The withdrawal of the United Kingdom, or the U.K., from the European Union, or the E.U., commonly referred to as “Brexit”, may adversely impact our ability to obtain regulatory approvals of our product candidates in the U.K. or the EU and may require us to incur additional expenses to develop and commercialize our product candidates in the U.K. or the EU or receive clinical supply of our product candidates from manufacturing partners in the U.K.</w:t>
      </w:r>
    </w:p>
    <w:p>
      <w:pPr>
        <w:spacing w:after="0" w:line="13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trade and cooperation agreement (the "Trade and Cooperation Agreement") that outlines the future trading relationship between the United Kingdom and the European Union was agreed in December 2020.</w:t>
      </w:r>
    </w:p>
    <w:p>
      <w:pPr>
        <w:spacing w:after="0" w:line="176"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Since a significant proportion of the regulatory framework in the U.K. applicable to our business and our product candidate is derived from EU directives and regulations, Brexit has had, and may continue to have, a material impact upon the regulatory regime with respect to the development, approval and commercialization of our product candidate in the U.K. or the EU. For example, Great Britain is no longer covered by the centralized procedures for obtaining EU-wide marketing authorization from the EMA, and a separate marketing authorization will be required to market our product candidate in Great Britain. It is currently unclear whether the Medicines &amp; Healthcare products Regulatory Agency in the U.K. is sufficiently prepared to handle the increased volume of marketing authorization applications that it is likely to receive. Any delay in obtaining, or an inability to obtain, any marketing approvals, would delay or prevent us from commercializing our product candidate in the U.K. or the E.U. and restrict our ability to generate revenue and achieve and sustain profitability.</w:t>
      </w:r>
    </w:p>
    <w:p>
      <w:pPr>
        <w:spacing w:after="0" w:line="16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Product liability lawsuits against us could cause us to incur substantial liabilities and to limit commercialization of any products that we may develop.</w:t>
      </w:r>
    </w:p>
    <w:p>
      <w:pPr>
        <w:spacing w:after="0" w:line="232"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or others using our products. If we cannot successfully defend ourselves against claims that our product candidates or products that we may develop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caused injuries, we could incur substantial liabilities. Regardless of merit or eventual outcome, liability claims may result in:</w:t>
      </w:r>
    </w:p>
    <w:p>
      <w:pPr>
        <w:spacing w:after="0" w:line="220" w:lineRule="exact"/>
        <w:rPr>
          <w:sz w:val="20"/>
          <w:szCs w:val="20"/>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recalls or a change in the indications for which products may be used;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substantial monetary awards to trial subjects or patients;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220"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5"/>
          <w:szCs w:val="15"/>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harm our ability to obtain physician endorsement of our products or expand our business.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business operations and relationships with investigators, healthcare professionals, consultants, third-party payors, patient organizations and customers are subject to broadly applicable healthcare laws and regulations, which could expose us civil to penalties, criminal sanctions, contractual damages, reputational harm and diminished profits and future earnings.</w:t>
      </w:r>
    </w:p>
    <w:p>
      <w:pPr>
        <w:spacing w:after="0" w:line="172"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 for which we obtain regulatory approval. Our current and future arrangements may expose us to broadly applicable fraud and abuse and other healthcare laws that may constrain the business or financial arrangements and relationships through which we would market, sell and distribute our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Such laws include, but are not limited to, the following:</w:t>
      </w:r>
    </w:p>
    <w:p>
      <w:pPr>
        <w:spacing w:after="0" w:line="220" w:lineRule="exact"/>
        <w:rPr>
          <w:sz w:val="20"/>
          <w:szCs w:val="20"/>
          <w:color w:val="auto"/>
        </w:rPr>
      </w:pPr>
    </w:p>
    <w:p>
      <w:pPr>
        <w:jc w:val="both"/>
        <w:ind w:left="880" w:hanging="434"/>
        <w:spacing w:after="0" w:line="262"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3" w:name="page34"/>
    <w:bookmarkEnd w:id="33"/>
    <w:p>
      <w:pPr>
        <w:jc w:val="both"/>
        <w:ind w:left="440"/>
        <w:spacing w:after="0" w:line="300" w:lineRule="auto"/>
        <w:rPr>
          <w:sz w:val="20"/>
          <w:szCs w:val="20"/>
          <w:color w:val="auto"/>
        </w:rPr>
      </w:pPr>
      <w:r>
        <w:rPr>
          <w:rFonts w:ascii="Arial" w:cs="Arial" w:eastAsia="Arial" w:hAnsi="Arial"/>
          <w:sz w:val="15"/>
          <w:szCs w:val="15"/>
          <w:color w:val="auto"/>
        </w:rPr>
        <w:t>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The Anti-Kickback Statute has been interpreted to apply to arrangements between biopharmaceutical manufacturers, on the one hand, and prescribers, purchasers and formulary managers, among others, on the other. In addition, the government may assert that a claim including items or services resulting from a violation of the federal Anti-Kickback Statute constitutes a false or fraudulent claim for purposes of the False Claims Act;</w:t>
      </w:r>
    </w:p>
    <w:p>
      <w:pPr>
        <w:spacing w:after="0" w:line="154" w:lineRule="exact"/>
        <w:rPr>
          <w:sz w:val="20"/>
          <w:szCs w:val="20"/>
          <w:color w:val="auto"/>
        </w:rPr>
      </w:pPr>
    </w:p>
    <w:p>
      <w:pPr>
        <w:jc w:val="both"/>
        <w:ind w:left="440" w:hanging="434"/>
        <w:spacing w:after="0" w:line="280"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criminal and civil false claims laws, including the False Claims Act, which can be enforced through civil whistleblower or qui tam actions, which imposes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w:t>
      </w:r>
    </w:p>
    <w:p>
      <w:pPr>
        <w:spacing w:after="0" w:line="167" w:lineRule="exact"/>
        <w:rPr>
          <w:rFonts w:ascii="Arial" w:cs="Arial" w:eastAsia="Arial" w:hAnsi="Arial"/>
          <w:sz w:val="16"/>
          <w:szCs w:val="16"/>
          <w:color w:val="auto"/>
        </w:rPr>
      </w:pPr>
    </w:p>
    <w:p>
      <w:pPr>
        <w:jc w:val="both"/>
        <w:ind w:left="440" w:hanging="434"/>
        <w:spacing w:after="0" w:line="265"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76" w:lineRule="exact"/>
        <w:rPr>
          <w:rFonts w:ascii="Arial" w:cs="Arial" w:eastAsia="Arial" w:hAnsi="Arial"/>
          <w:sz w:val="17"/>
          <w:szCs w:val="17"/>
          <w:color w:val="auto"/>
        </w:rPr>
      </w:pPr>
    </w:p>
    <w:p>
      <w:pPr>
        <w:jc w:val="both"/>
        <w:ind w:left="440" w:hanging="434"/>
        <w:spacing w:after="0" w:line="276"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 care clearing houses, and certain healthcare providers and their business associates, defined as independent contractors or agents of covered entities that create, receive or obtain protected health information in connection with providing a service for or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personally identifiable information, or personal information or personal data, in certain circumstances, many of which differ from each other in significant ways and may not have the same effect, thus complicating compliance efforts;</w:t>
      </w:r>
    </w:p>
    <w:p>
      <w:pPr>
        <w:spacing w:after="0" w:line="171" w:lineRule="exact"/>
        <w:rPr>
          <w:rFonts w:ascii="Arial" w:cs="Arial" w:eastAsia="Arial" w:hAnsi="Arial"/>
          <w:sz w:val="16"/>
          <w:szCs w:val="16"/>
          <w:color w:val="auto"/>
        </w:rPr>
      </w:pPr>
    </w:p>
    <w:p>
      <w:pPr>
        <w:jc w:val="both"/>
        <w:ind w:left="440" w:hanging="434"/>
        <w:spacing w:after="0" w:line="259"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ownership and investment interests held by such physicians and their immediate family members and payments or other “transfers of value” to such physicians (covered manufacturers are required to submit reports to CMS by the 90th day of each calendar year). Effective January 1, 2022, applicable manufacturers will also be required to report payments and other transfers of value made in the previous year to certain non-physician providers, including physician assistants, nurse practitioners, clinical nurse specialists, anesthesiologist assistants, certified registered nurse anesthetists and certified nurse midwives; and</w:t>
      </w:r>
    </w:p>
    <w:p>
      <w:pPr>
        <w:spacing w:after="0" w:line="180" w:lineRule="exact"/>
        <w:rPr>
          <w:rFonts w:ascii="Arial" w:cs="Arial" w:eastAsia="Arial" w:hAnsi="Arial"/>
          <w:sz w:val="17"/>
          <w:szCs w:val="17"/>
          <w:color w:val="auto"/>
        </w:rPr>
      </w:pPr>
    </w:p>
    <w:p>
      <w:pPr>
        <w:jc w:val="both"/>
        <w:ind w:left="440" w:hanging="434"/>
        <w:spacing w:after="0" w:line="265"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or other interactions with healthcare providers and other potential referral</w:t>
      </w:r>
    </w:p>
    <w:p>
      <w:pPr>
        <w:spacing w:after="0" w:line="17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69215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800"/>
          </w:cols>
          <w:pgMar w:left="760" w:top="543" w:right="339" w:bottom="1440" w:gutter="0" w:footer="0" w:header="0"/>
        </w:sectPr>
      </w:pPr>
    </w:p>
    <w:bookmarkStart w:id="34" w:name="page35"/>
    <w:bookmarkEnd w:id="34"/>
    <w:p>
      <w:pPr>
        <w:jc w:val="both"/>
        <w:ind w:left="880"/>
        <w:spacing w:after="0" w:line="261" w:lineRule="auto"/>
        <w:rPr>
          <w:sz w:val="20"/>
          <w:szCs w:val="20"/>
          <w:color w:val="auto"/>
        </w:rPr>
      </w:pPr>
      <w:r>
        <w:rPr>
          <w:rFonts w:ascii="Arial" w:cs="Arial" w:eastAsia="Arial" w:hAnsi="Arial"/>
          <w:sz w:val="17"/>
          <w:szCs w:val="17"/>
          <w:color w:val="auto"/>
        </w:rPr>
        <w:t>sources; and state or non-U.S. laws that require pharmaceutical companies to comply with the pharmaceutical industry’s voluntary compliance guidelines and the relevant compliance guidance promulgated by the national or federal government, and state laws that require drug manufacturers to report information related to payments and other transfers of value to physicians and other healthcare providers, marketing expenditures or drug pricing; and state, non-U.S., and local laws that require the registration of pharmaceutical sales representatives; and state and non-U.S. laws governing the privacy and security of health information in some circumstances, many of which differ from each other in significant ways and often are not preempted by HIPAA, thus complicating compliance efforts.</w:t>
      </w:r>
    </w:p>
    <w:p>
      <w:pPr>
        <w:spacing w:after="0" w:line="18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Pharmaceutical and other healthcare companies have been prosecuted under these laws for a variety of promotional and marketing activities, such as: providing free trips, free or discounted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any actions are instituted against us for violation of these laws or regulations, and we are not successful in defending ourselves, those actions could have a significant impact on our business, including the imposition of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 any of which could harm our ability to operate our business and our results of operations.</w:t>
      </w:r>
    </w:p>
    <w:p>
      <w:pPr>
        <w:spacing w:after="0" w:line="176"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The global data protection landscape is rapidly evolving, and we may be affected by or subject to new, amended or existing laws and regulations in the future, including as our operations continue to expand or if we operate in non-U.S. jurisdictions. Several non-U.S. jurisdictions, including the European Union, or EU, its member states, the United Kingdom, Japan and Australia, among others, have adopted legislation and regulations that increase or change the requirements governing the collection, use, disclosure and transfer of the personal information of individuals in these jurisdictions and have established procedures for the imposition of substantial penalties for failure to comply with related obligations. Additionally, certain countries have passed or are considering passing laws that require local data residency and/or restrict the international transfer of data and/or impose data localization requirements with respect to certain personal information. These laws have the potential to increase costs of compliance, risks of noncompliance and penalties for noncompliance.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collection, use, processing and cross-border transfer of personal information.</w:t>
      </w:r>
    </w:p>
    <w:p>
      <w:pPr>
        <w:spacing w:after="0" w:line="243"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We may collect, process, use or transfer personal information from individuals located in the European Economic Area in connection with our business, including in connection with conducting clinical trials in the European Economic Area, or the EEA. Additionally, if any of our product candidates are approved, we may seek to commercialize those products in the European Economic Area. The collection and use of personal health data in the European Economic Area is governed by the provisions of the General Data Protection Regulation ((EU) 2016/679), or the GDPR, along with other European Union and country-specific laws and regulations. The GDPR has “extra-territorial” reach in that it applies to any processing of personal data that concerns the offering of goods or services to individuals in the EEA or U.K. (as applicable) and the monitoring of their behavior, regardless of the existence of an establishment in the EEA or U.K. (as applicable). As such, the GDPR applies to our clinical trials and other operations taking in place in the EEA and U.K.</w:t>
      </w:r>
    </w:p>
    <w:p>
      <w:pPr>
        <w:spacing w:after="0" w:line="166"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The GDPR sets out a number of requirements that must be complied with when handling personal data, including: the obligation to appoint a data protection officer in certain circumstances; increased accountability and record-keeping obligations; increased transparency obligations for data controllers; onerous obligations on service providers who process personal data on our behalf; the obligation to carry out so-called data protection impact assessments in certain circumstances; obligations to comply with data subjects’ exercise of an increased set of rights in certain circumstances; a heightened and more codified standard of data subject consent; and the obligation to notify certain significant personal data breaches to the relevant supervisory authorities and affected individuals. In addition, the GDPR materially expands the definition of what is expressly provided to constitute personal data (including, for example, by clarifying that the GDPR applies to “pseudonymized” (key-coded)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6"/>
          <w:szCs w:val="16"/>
          <w:color w:val="auto"/>
        </w:rPr>
        <w:t>which is often processed by sponsors in the context of clinical trials where identification of underlying subjects is not required). As such, the GDPR is likely to increase the compliance burden on us, including by mandating potentially burdensome documentation requirements and granting certain rights to individuals to control how we collect, use, disclose, retain and leverage information about them. The processing of sensitive personal data, such as physical health conditions, may impose heightened compliance burdens under the GDPR and is a topic of active interest among foreign regulators. In addition, the GDPR provides for breach reporting requirements, more robust regulatory enforcement and fines of up to 20 million euros (and/or in respect of the UK GDPR, 17.5 million pounds sterling) or up to 4% of annual global revenue (whichever is higher). While the GDPR affords some flexibility in determining how to comply with the various requirements, significant effort and expense has been, and will continue to be, invested to ensure continuing compliance.</w:t>
      </w:r>
    </w:p>
    <w:p>
      <w:pPr>
        <w:spacing w:after="0" w:line="166"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Moreover, the requirements under the GDPR may change periodically. The GDPR also provides that member states may make their own national laws and regulations to introduce specific requirements related to the processing of “special categories of personal data”, which includes health-related personal data. In the U.K., the Data Protection Act 2018 complements the UK GDPR in this regard. This may lead to greater divergence in the application, interpretation and enforcement of the law that applies to the processing of personal data across the EEA and/or U.K., compliance with which, as and where applicable, may increase our costs and could increase our overall compliance risk. Such country-specific regulations could also limit our ability to collect, use and share data in the context of our EEA and/or U.K. operations, and/or could cause our compliance costs to increase, ultimately having an adverse impact on our business and harming our business and financial condition.</w:t>
      </w:r>
    </w:p>
    <w:p>
      <w:pPr>
        <w:spacing w:after="0" w:line="181"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In addition, the GDPR prohibits the transfer of personal data from the EEA, U.K. and Switzerland to the U.S. and other countries in respect of which the European Commission or other relevant regulatory body has not issued a so-called “adequacy decision” (known as “third countries”), unless the parties to the transfer have implemented specific safeguards to protect the transferred personal data. One of the primary safeguards used for transfers of personal data to the U.S. was the EU-U.S. Privacy Shield framework administered by the U.S. Department of Commerce. However, certain recent EU court decisions cast doubt on the ability to use one of the primary alternatives to the EU-U.S. Privacy Shield and Swiss-U.S. Privacy Shield, namely the European Commission’s Standard Contractual Clauses, to lawfully transfer personal data to the U.S. and other third countries. In addition, the European Commission has recently published new versions of the Standard Contractual Clauses, which must be used for all new transfers of personal data from the EEA to third countries (including the United States) starting in September 2021, and all existing transfers of personal data from the EEA to third countries relying on the existing versions of the Standard Contractual Clauses must be replaced by December 2022. The implementation of the new Standard Contractual Clauses will necessitate significant contractual overhaul of our data transfer arrangements with customers, sub-processors and vendors. Use of both the existing and the new Standard Contractual Clauses must now be assessed on a case-by-case basis taking into account the legal regime applicable in the destination country, in particular applicable surveillance laws and rights of individuals, and additional supplementary technical, organizational and/or contractual measures and/or contractual provisions may need to be put in place.</w:t>
      </w:r>
    </w:p>
    <w:p>
      <w:pPr>
        <w:spacing w:after="0" w:line="170"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5"/>
          <w:szCs w:val="15"/>
          <w:color w:val="auto"/>
        </w:rPr>
        <w:t>At present, there are few if any viable alternatives to the Standard Contractual Clauses, and there remains some uncertainty with respect to the nature and efficacy of such supplementary measures in ensuring an adequate level of protection of personal data. As such, transfers of personal data from the EEA and the U.K. to the U.S. and other third countries may not fully comply with the cross-border data transfer restrictions set out in the GDPR. As supervisory authorities issue further guidance on personal data export mechanisms (including circumstances where the Standard Contractual Clauses can and cannot be used) and/or start taking enforcement action, we could suffer additional costs, complaints and/or regulatory investigations or fines. In addition, if we are unable to transfer personal data between and among countries and regions in which we operate and/or engage providers and/or otherwise transfer personal data, this could affect the manner in which we receive and/or provide our services, the geographical location or segregation of our relevant systems and operations and could adversely affect our financial results and generally increase compliance risk as a result. Additionally, other countries outside of Europe have enacted or are considering enacting similar cross-border data transfer restrictions and laws requiring local data residency, which could increase the cost and complexity of operating our business.</w:t>
      </w:r>
    </w:p>
    <w:p>
      <w:pPr>
        <w:spacing w:after="0" w:line="158"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Furthermore, following Brexit, the relationship between the U.K. and the EEA in relation to certain aspects of data protection law remains somewhat uncertain. In June 2021, the European Commission issued an adequacy decision under the GDPR which allows transfers (other than those carried out for the purposes of U.K. immigration control) of personal data from the EEA to the U.K. to continue without restriction for a period of four years. After that period, the adequacy decision may be renewed only if the U.K. continues to ensure an adequate level of data protection. During these four years, the European Commission will continue to monitor the legal situation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6" w:name="page37"/>
    <w:bookmarkEnd w:id="36"/>
    <w:p>
      <w:pPr>
        <w:jc w:val="both"/>
        <w:spacing w:after="0" w:line="265" w:lineRule="auto"/>
        <w:rPr>
          <w:sz w:val="20"/>
          <w:szCs w:val="20"/>
          <w:color w:val="auto"/>
        </w:rPr>
      </w:pPr>
      <w:r>
        <w:rPr>
          <w:rFonts w:ascii="Arial" w:cs="Arial" w:eastAsia="Arial" w:hAnsi="Arial"/>
          <w:sz w:val="17"/>
          <w:szCs w:val="17"/>
          <w:color w:val="auto"/>
        </w:rPr>
        <w:t>U.K. and could intervene at any point if the U.K. deviates from the level of data protection in place at the time of issuance of the adequacy decision. If the adequacy decision is withdrawn or not renewed, transfers of personal data from the EEA to the U.K. will require a valid “transfer mechanism” and we may be required to implement new processes and put new agreements in place, such as Standard Contractual Clauses, to enable transfers of personal data from the EEA to the U.K. to continue, which could disrupt our operations.</w:t>
      </w:r>
    </w:p>
    <w:p>
      <w:pPr>
        <w:spacing w:after="0" w:line="17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In addition, while the U.K. data protection regime currently permits data transfers from the U.K. to the EEA and other third countries covered by a European Commission adequacy decision, and currently includes a framework to permit the continued use of the existing version of the Standard Contractual Clauses for personal data transfers from the U.K. to third countries, this is subject to change in the future, and any such changes could have implications for our transfers of personal data from the U.K. to the EEA and other third countries. In particular, the U.K. Information Commissioner’s Office has stated that it is working on its own bespoke version of the Standard Contractual Clauses and it is not clear whether the new Standard Contractual Clauses published by the European Commission will be accepted as a valid mechanism to permit the transfer of personal data from the U.K. to third countries and/or whether any U.K. version of the Standard Contractual Clauses will supersede the existing and/or new EU version of the Standard Contractual Clauses. This could necessitate the implementation of both U.K. and EU versions of Standard Contractual Clauses, which would require significant resources and result in significant cost to implement and manage.</w:t>
      </w:r>
    </w:p>
    <w:p>
      <w:pPr>
        <w:spacing w:after="0" w:line="181"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Any failure or perceived failure by us to comply with federal, state, or foreign laws or self-regulatory standards could result in negative publicity, diversion of management time and effort and proceedings against us by governmental entities or others. In many jurisdictions, enforcement actions and consequences for noncompliance are rising. As we continue to expand into other foreign countries and jurisdictions, we may be subject to additional laws and regulations that may affect how we conduct business.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we are not able to obtain required regulatory approvals, we will not be able to commercialize OPT-302 or any future product candidate, and our ability to generate product revenue will be impaired.</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OPT-302 and any future product candidate that we may develop, as well as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by similar regulatory authorities outside the United States. Failure to obtain marketing approval for, and thus commercialize any product candidate, could negatively impact our ability to generate any revenue from product sales.</w:t>
      </w:r>
    </w:p>
    <w:p>
      <w:pPr>
        <w:spacing w:after="0" w:line="18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have not received approval from regulatory authorities to market any product candidate in any jurisdiction, and it is possible that our product candidate will never obtain the appropriate regulatory approvals necessary for us to commence product sales. Neither we nor any collaborator is permitted to market our product candidate in the United States or any other jurisdiction until we receive regulatory approval of a BLA from the FDA or similar application from regulatory authorities outside of the United States.</w:t>
      </w:r>
    </w:p>
    <w:p>
      <w:pPr>
        <w:spacing w:after="0" w:line="17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The time required to obtain approval of a BLA by the FDA or similar application from regulatory authorities outside of the United States is unpredictable but typically takes many years following the commencement of clinical trials and depends upon numerous factors, including the substantial discretion of the regulatory authority. Prior to submitting a BLA to the FDA or any comparable application to any other non-U.S. regulatory authorities for approval of any product candidate, we will need to complete pivotal Phase 3 clinical trials and demonstrate favorable results with respect to safety, tolerability and efficacy. In addition, approval policies, regulations or the type and amount of clinical data necessary to gain approval may change during the course of a product candidate’s clinical development and may vary among jurisdictions.</w:t>
      </w:r>
    </w:p>
    <w:p>
      <w:pPr>
        <w:spacing w:after="0" w:line="18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Securing marketing approvals requires the submission of extensive nonclinical and clinical data and supporting information to regulatory authorities for each therapeutic indication to establish the safety and efficacy of our product candidate for the specified indications. We expect to rely on third-party CROs, consultants and our collaborators to assist us in filing and supporting the applications necessary to gain marketing approvals. Securing marketing approval also requires the submission of information about the product manufacturing process to, and inspection of manufacturing facilities by, regulatory authorities. Errors in the submission of applications for marketing approval or issues, including those related to gathering the appropriate data and the inspection process, may ultimately delay or affect our ability to obtain regulatory approval, commercialize our product candidate and generate product revenue.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Our failure to obtain regulatory approval in international jurisdictions would prevent us from marketing our product candidates outside the United States.</w:t>
      </w:r>
    </w:p>
    <w:p>
      <w:pPr>
        <w:spacing w:after="0" w:line="243" w:lineRule="exact"/>
        <w:rPr>
          <w:sz w:val="20"/>
          <w:szCs w:val="20"/>
          <w:color w:val="auto"/>
        </w:rPr>
      </w:pPr>
    </w:p>
    <w:p>
      <w:pPr>
        <w:jc w:val="both"/>
        <w:ind w:firstLine="448"/>
        <w:spacing w:after="0" w:line="293" w:lineRule="auto"/>
        <w:rPr>
          <w:sz w:val="20"/>
          <w:szCs w:val="20"/>
          <w:color w:val="auto"/>
        </w:rPr>
      </w:pPr>
      <w:r>
        <w:rPr>
          <w:rFonts w:ascii="Arial" w:cs="Arial" w:eastAsia="Arial" w:hAnsi="Arial"/>
          <w:sz w:val="15"/>
          <w:szCs w:val="15"/>
          <w:color w:val="auto"/>
        </w:rPr>
        <w:t>If we succeed in developing any products, we intend to market them in non-U.S. jurisdictions in addition to the United States. In order to market and sell our products in other jurisdictions, we must obtain separate marketing approvals and comply with numerous and varying regulatory requirements. We may not obtain non-U.S.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non-U.S. regulatory approvals and compliance with non-U.S.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negatively affected.</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Even if OPT-302 combination therapy or any future product candidate receives regulatory approval, it may still face future development and regulatory difficulties.</w:t>
      </w:r>
    </w:p>
    <w:p>
      <w:pPr>
        <w:spacing w:after="0" w:line="159"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Even if we obtained regulatory approval for a product candidate, it would be subject to ongoing requirements by the FDA and comparable non-U.S. regulatory authorities governing the manufacture, quality control, further development, labeling, packaging, storage, distribution, safety surveillance, import, export, advertising, promotion, recordkeeping and reporting of safety and other post-market information. The FDA and comparable non-U.S. regulatory authorities will continue to closely monitor the safety profile of any product even after approval. If the FDA, or comparable non-U.S. regulatory authorities, become aware of new safety information after approval of any of our product candidates, it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81"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current good manufacturing practices, or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67" w:lineRule="exact"/>
        <w:rPr>
          <w:sz w:val="20"/>
          <w:szCs w:val="20"/>
          <w:color w:val="auto"/>
        </w:rPr>
      </w:pPr>
    </w:p>
    <w:p>
      <w:pPr>
        <w:ind w:left="880" w:hanging="434"/>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 safety alerts, Dear Healthcare Provider letters, press releases or other communications containing warnings about such product;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provide corrective information to healthcare practitioners;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revise labeling, including adding limitations on approved uses or the additions of additional warnings, contraindications or other safety information including boxed warnings;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8" w:name="page39"/>
    <w:bookmarkEnd w:id="38"/>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impose a REMS which may include distribution on or use restrictions;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require that we conduct post-marketing studies;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require us to enter into a consent decree, which can include imposition of various fines, reimbursements for inspection costs, required due dates for specific actions and penalties for noncompliance;</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suspend marketing of, withdraw regulatory approval of or recall such product;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suspend any ongoing clinical studies;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applications filed by us;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 or</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seize or detain products, refuse to permit the import or export of products or require us to initiate a product recall.</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products and generate product revenue.</w:t>
      </w:r>
    </w:p>
    <w:p>
      <w:pPr>
        <w:spacing w:after="0" w:line="2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significant civil and criminal sanctions by the government. In the United States, engaging in the impermissible promotion of our products for off-label uses can also subject us to false claims litigation under federal and state statutes, which can lead to significant civil and criminal penalties. Additionally, comparable non-U.S. regulatory authorities will heavily scrutinize advertising and promotion of any product candidate that obtains approval outside of the United States.</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negatively affect our business, prospects and ability to achieve or sustain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have relied on, and expect to continue to rely on, third-party manufacturers to produce OPT-302 or any future product candidates. Any failure by a third-party manufacturer to produce acceptable product candidates for us pursuant to our specifications and regulatory standards may delay or impair our ability to initiate or complete our clinical trials, obtain and maintain regulatory approvals or commercialize approved products.</w:t>
      </w:r>
    </w:p>
    <w:p>
      <w:pPr>
        <w:spacing w:after="0" w:line="15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manufacturing of biologic drugs such as OPT-302 is complex and the process of identifying the qualifying suppliers takes a significant investment of time and money. 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us with OPT-302 and any future product candidates.</w:t>
      </w:r>
    </w:p>
    <w:p>
      <w:pPr>
        <w:spacing w:after="0" w:line="17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We currently have a sole source relationship with Patheon N.V., a division of Thermo Fisher Scientific Inc., pursuant to which they supply us with OPT-302 drug substance and drug product. If there should be any disruption in our supply arrangement with Patheon, including any adverse events affecting Patheon or Thermo Fisher Scientific, it could have a negative effect on the clinical development of OPT-302 and other operations while we work to identify and qualify an alternate supply source. In addition, we do not have a long-term supply arrangement to purchase anti-VEGF-A therapy for use in combination with OPT-302 in our clinical trials and acquire such drug product on a purchase order basis. Any complications with our existing suppliers of anti-VEGF-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9" w:name="page40"/>
    <w:bookmarkEnd w:id="39"/>
    <w:p>
      <w:pPr>
        <w:jc w:val="both"/>
        <w:spacing w:after="0" w:line="285" w:lineRule="auto"/>
        <w:rPr>
          <w:sz w:val="20"/>
          <w:szCs w:val="20"/>
          <w:color w:val="auto"/>
        </w:rPr>
      </w:pPr>
      <w:r>
        <w:rPr>
          <w:rFonts w:ascii="Arial" w:cs="Arial" w:eastAsia="Arial" w:hAnsi="Arial"/>
          <w:sz w:val="17"/>
          <w:szCs w:val="17"/>
          <w:color w:val="auto"/>
        </w:rPr>
        <w:t>A therapies could considerably delay our clinical trials for OPT-302, including our Phase 3 pivotal clinical program of OPT-302 for the treatment of wet AMD, or the regulatory approvals of OPT-302.</w:t>
      </w:r>
    </w:p>
    <w:p>
      <w:pPr>
        <w:spacing w:after="0" w:line="159"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Reliance on third-party suppliers and manufacturers entails risks to which we would not be subject if we manufacture product candidates or products ourselves. For example, if we do not maintain our key manufacturing relationships, including with Patheon, we may fail to find replacement manufacturers or develop our own manufacturing capabilities in a timely manner or at all,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in a timely manner, if at all, and there could be a substantial delay before new facilities could be qualified and registered with or licensed by the FDA and other comparable non-U.S. regulatory authorities.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Even if we are able to establish agreements with third-party manufacturers, reliance on third-party manufacturers entails additional risks, including:</w:t>
      </w:r>
    </w:p>
    <w:p>
      <w:pPr>
        <w:spacing w:after="0" w:line="232" w:lineRule="exact"/>
        <w:rPr>
          <w:sz w:val="20"/>
          <w:szCs w:val="20"/>
          <w:color w:val="auto"/>
        </w:rPr>
      </w:pPr>
    </w:p>
    <w:p>
      <w:pPr>
        <w:jc w:val="both"/>
        <w:ind w:left="880" w:hanging="434"/>
        <w:spacing w:after="0" w:line="270"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failure of the third party to manufacture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1"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breach of the manufacturing agreement by the third party because of factors beyond our control (including a failure to manufacture product candidates in accordance with our product specifications);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failure of the third-party manufacturer to comply with applicable regulatory requirements and reliance on third-parties for manufacturing process development, regulatory compliance and quality assurance;</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mislabeling of clinical supplies, potentially resulting in the wrong dose amounts being supplied or active drug or placebo not being properly identified;</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clinical supplies not being delivered to clinical sites on time, leading to clinical trial interruptions, or of drug supplies not being distributed to commercial vendors in a timely manner, resulting in lost sales;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misappropriation of our proprietary information, including our trade secrets and know-how;</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termination or nonrenewal of the agreement by the third party at a time that is costly or inconvenient for us;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quality assurance and safety and pharmacovigilance reporting.</w:t>
      </w:r>
    </w:p>
    <w:p>
      <w:pPr>
        <w:spacing w:after="0" w:line="22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The FDA and other comparable non-U.S. regulatory authorities require manufacturers to register manufacturing facilities. The FDA and other comparable non-U.S. regulatory authorities also inspect these facilities to confirm compliance with cGMP. Contract manufacturers may face manufacturing or quality control problems causing drug substance production and shipment delays or a situation where the contractor may not be able to maintain compliance with the applicable cGMP requirements. We may have little to no control regarding the occurrence of third-party manufacturer incidents. Failure by our third-party manufacturers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Any failure to comply with cGMP requirements or other FDA or comparable non-U.S. regulatory requirements could negatively impact our clinical research activities and our ability to develop OPT-302 or any future product candidates and market our products following approval.</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If OPT-302 or any future product candidates are approved by the FDA or other comparable non-U.S. regulatory authorities for commercial sale, we may need to manufacture such product candidate in larger quantities. We intend to use third-party manufacturers for commercial quantities of OPT-302 to the extent we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0" w:name="page41"/>
    <w:bookmarkEnd w:id="40"/>
    <w:p>
      <w:pPr>
        <w:jc w:val="both"/>
        <w:spacing w:after="0" w:line="294" w:lineRule="auto"/>
        <w:rPr>
          <w:sz w:val="20"/>
          <w:szCs w:val="20"/>
          <w:color w:val="auto"/>
        </w:rPr>
      </w:pPr>
      <w:r>
        <w:rPr>
          <w:rFonts w:ascii="Arial" w:cs="Arial" w:eastAsia="Arial" w:hAnsi="Arial"/>
          <w:sz w:val="16"/>
          <w:szCs w:val="16"/>
          <w:color w:val="auto"/>
        </w:rPr>
        <w:t>advance this product candidate and other product candidates. Our manufacturers may not be able to successfully increase the manufacturing capacity for any of our product candidates in a timely or efficient manner, or at all. If we are unable to successfully increase the manufacturing capacity for a product candidate, the regulatory approval or commercial launch of that product candidate may be delayed or there may be a shortage in the supply of the product candidate.</w:t>
      </w:r>
    </w:p>
    <w:p>
      <w:pPr>
        <w:spacing w:after="0" w:line="155"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In addition, the operations of our third-party manufacturers may be subject to earthquakes, power shortages, telecommunications failures, failures or breaches of information technology systems, water shortages, floods, hurricanes, typhoons, fires, extreme weather conditions, medical epidemics, such as the recent COVID-19 pandemic, and other natural or man-made disasters or business interruptions. Damage or extended periods of interruption to our facilities due to fire, natural disaster, power loss, communications failure, unauthorized entry or other events could cause us to cease or delay development of some or all of our product candidates. Our ability to obtain clinical supplies of our product candidates could be disrupted if the operations of these suppliers are affected by a man-made or natural disaster or other business interruption.</w:t>
      </w:r>
    </w:p>
    <w:p>
      <w:pPr>
        <w:spacing w:after="0" w:line="18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negatively affect our future profit margins and our ability to develop our product candidates and commercialize any products that receive regulatory approval on a timely basis.</w:t>
      </w:r>
    </w:p>
    <w:p>
      <w:pPr>
        <w:spacing w:after="0" w:line="159"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In some cases, the technical skills or technology required to manufacture our product candidates may be unique or proprietary to the original manufacturer, we may have difficulty transferring such skills or technology to another third party and a feasible alternative many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the manufacturer may be required to obtain applicable licenses or approvals. The delays associated with the verification of a new manufacturer, if we are able to identify an alternative source, could negatively affect our ability to develop product candidates in a timely manner or within budget.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The manufacture of biologic products is complex and we are subject to many manufacturing risks, any of which could substantially increase our costs and limit supply of our products.</w:t>
      </w:r>
    </w:p>
    <w:p>
      <w:pPr>
        <w:spacing w:after="0" w:line="159"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non-U.S. regulations. We cannot assure you that any stability or other issues relating to the manufacture of OPT-302 will not occur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process of manufacturing OPT-302 is complex, highly regulated and subject to several risks, including:</w:t>
      </w:r>
    </w:p>
    <w:p>
      <w:pPr>
        <w:spacing w:after="0" w:line="220" w:lineRule="exact"/>
        <w:rPr>
          <w:sz w:val="20"/>
          <w:szCs w:val="20"/>
          <w:color w:val="auto"/>
        </w:rPr>
      </w:pPr>
    </w:p>
    <w:p>
      <w:pPr>
        <w:jc w:val="both"/>
        <w:ind w:left="880" w:hanging="434"/>
        <w:spacing w:after="0" w:line="262"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the manufacturing facilities may need to be closed for an extended period of time to investigate and eliminate the contamination;</w:t>
      </w:r>
    </w:p>
    <w:p>
      <w:pPr>
        <w:spacing w:after="0" w:line="180" w:lineRule="exact"/>
        <w:rPr>
          <w:rFonts w:ascii="Arial" w:cs="Arial" w:eastAsia="Arial" w:hAnsi="Arial"/>
          <w:sz w:val="17"/>
          <w:szCs w:val="17"/>
          <w:color w:val="auto"/>
        </w:rPr>
      </w:pPr>
    </w:p>
    <w:p>
      <w:pPr>
        <w:ind w:left="880" w:hanging="434"/>
        <w:spacing w:after="0" w:line="318"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manufacturing facilities in which our products are made could be negatively affected by equipment failures, labor and raw material shortages, financial difficulties of our contract manufacturers, natural disasters, power failures, local political unrest and numerous other factors; and</w:t>
      </w:r>
    </w:p>
    <w:p>
      <w:pPr>
        <w:spacing w:after="0" w:line="136" w:lineRule="exact"/>
        <w:rPr>
          <w:rFonts w:ascii="Arial" w:cs="Arial" w:eastAsia="Arial" w:hAnsi="Arial"/>
          <w:sz w:val="16"/>
          <w:szCs w:val="16"/>
          <w:color w:val="auto"/>
        </w:rPr>
      </w:pPr>
    </w:p>
    <w:p>
      <w:pPr>
        <w:jc w:val="both"/>
        <w:ind w:left="880" w:hanging="434"/>
        <w:spacing w:after="0" w:line="270"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adverse developments affecting manufacturing operations for our product candidates may result in shipment delays, inventory shortages, lot failures, and for any approved products, product withdrawals, or recalls or other interruptions in the supply of our products. We may also have to record inventory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1" w:name="page42"/>
    <w:bookmarkEnd w:id="41"/>
    <w:p>
      <w:pPr>
        <w:ind w:left="880"/>
        <w:spacing w:after="0" w:line="285" w:lineRule="auto"/>
        <w:rPr>
          <w:sz w:val="20"/>
          <w:szCs w:val="20"/>
          <w:color w:val="auto"/>
        </w:rPr>
      </w:pPr>
      <w:r>
        <w:rPr>
          <w:rFonts w:ascii="Arial" w:cs="Arial" w:eastAsia="Arial" w:hAnsi="Arial"/>
          <w:sz w:val="17"/>
          <w:szCs w:val="17"/>
          <w:color w:val="auto"/>
        </w:rPr>
        <w:t>write-offs and incur other charges and expenses for products that fail to meet specifications, undertake costly remediation efforts or seek costlier manufacturing alternatives.</w:t>
      </w:r>
    </w:p>
    <w:p>
      <w:pPr>
        <w:spacing w:after="0" w:line="15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To date, OPT-302 has been manufactured by a single third-party manufacturer, Patheon, solely for preclinical studies and Phase 1, 2 and 3 trials Any such failure will require us to seek alternative manufacturing sources, which may result in considerable additional expense and delays in our planned clinical trials. 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including as a result of breach by us or Patheon of our agreement with Patheon, or our inability to agree to the terms of supply or related services in any statement of work,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methods of product candidate manufacturing or formulation may result in additional costs or delay.</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As product candidates proceed through nonclinical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OPT-302 or any future product candidate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OPT-302 or any future product candidate or jeopardize our ability to commence sales and generate revenue.</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development activities, and those third parties may not perform satisfactorily, including failing to meet deadlines for the completion of such trials, research or testing.</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currently rely on, and expect to continue to rely on, third parties, such as CROs, clinical data management organizations, medical institutions, consultants and clinical investigators, to conduct our clinical trials and certain aspects of our research and development activities.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7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clinical trial protocols.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government-sponsored database within certain timeframes. Failure to do so can result in fines, adverse publicity and civil and criminal sanctions.</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standard operating procedures or clinical trial protocols, we will not be able to obtain, or may be delayed in obtaining, marketing approvals for OPT-302 or any future product candidates and will not be able to, or may be delayed in our efforts to, successfully commercialize our product candidates.</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Any performance failure on the part of our distributors could delay clinical development, marketing approval and/or commercialization of OPT-302 or any future product candidates, producing additional losses and depriving us of potential revenue.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2" w:name="page43"/>
    <w:bookmarkEnd w:id="42"/>
    <w:p>
      <w:pPr>
        <w:jc w:val="both"/>
        <w:spacing w:after="0" w:line="285" w:lineRule="auto"/>
        <w:rPr>
          <w:sz w:val="20"/>
          <w:szCs w:val="20"/>
          <w:color w:val="auto"/>
        </w:rPr>
      </w:pPr>
      <w:r>
        <w:rPr>
          <w:rFonts w:ascii="Arial" w:cs="Arial" w:eastAsia="Arial" w:hAnsi="Arial"/>
          <w:sz w:val="17"/>
          <w:szCs w:val="17"/>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5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84"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w:t>
      </w:r>
    </w:p>
    <w:p>
      <w:pPr>
        <w:spacing w:after="0" w:line="17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non-U.S. regulatory authorities, the potential market for the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184"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59"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Risks Related to Employee Matters and Managing Our Growth</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159"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We may not be able to attract or retain qualified personnel and consultants due to the intense competition for such individuals in the biotechnology and pharmaceutical industries. In particular, we are in the process of hiring employees, including senior employees, in the United States as we continue clinical development of OPT-302 and prepare for potential commercialization. The hiring environment in the United States for such candidates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72"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5"/>
          <w:szCs w:val="15"/>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Any of our executive officers or other key employees or consultants may terminate their employment at any time with three months’ notice, subject to certain exceptions, and replacing such individuals may be difficult and time-consuming because of the limited number of individuals in our industry with the necessary breadth of skills and experience. Competition to hire and retain employees and consultants from this limited pool is intense, and we may be unable to hire, train, retain or motivate such individuals. Additionally, we do not currently maintain “key person” life insurance on the lives of our executives or any of our employees. This lack of insurance means that we may not receive adequate compensation for the loss of the services of these individuals. If we are unable to continue to attract and retain high-quality personnel, the rate and success with which we can discover and develop product candidates and our business will be limited.</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employees, contractors, vendors, principal investigators, consultants and future partners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We are exposed to the risk of fraud or other misconduct by our employees, contractors, vendors, principal investigators, consultants or future partners. Misconduct by these parties could include failures to comply with FDA or comparable non-U.S. authority regulations, to provide accurate information to the FDA or comparable non-U.S. regulators, to comply with U.S. federal and state and non-U.S.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Although we have adopted a Code of Conduct,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 If we or our future partners market products in a manner that violates fraud and abuse and other healthcare laws, or if we or our future partners violate government price reporting laws, we or our future partners may be subject to administrative civil and/or criminal penalties, among other sanctions.</w:t>
      </w:r>
    </w:p>
    <w:p>
      <w:pPr>
        <w:spacing w:after="0" w:line="178"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44" w:name="page45"/>
    <w:bookmarkEnd w:id="44"/>
    <w:p>
      <w:pPr>
        <w:jc w:val="both"/>
        <w:spacing w:after="0" w:line="302" w:lineRule="auto"/>
        <w:rPr>
          <w:sz w:val="20"/>
          <w:szCs w:val="20"/>
          <w:color w:val="auto"/>
        </w:rPr>
      </w:pPr>
      <w:r>
        <w:rPr>
          <w:rFonts w:ascii="Arial" w:cs="Arial" w:eastAsia="Arial" w:hAnsi="Arial"/>
          <w:sz w:val="15"/>
          <w:szCs w:val="15"/>
          <w:color w:val="auto"/>
        </w:rPr>
        <w:t>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negatively impact our operations.</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As we advance our clinical development programs for product candidates, seek regulatory approval in the United States and elsewhere and increase the number of ongoing product development programs, we anticipate that we will need to increase our product development, scientific and administrative headcount. In particular, as we progress our Phase 3 clinical trials for OPT-302 in combination with anti-VEGF-A therapy for the treatment of wet AMD, we will require additional key staff for clinical development operations as well as additional key financial and administrative personnel. We will also need to establish commercial capabilities in order to commercialize any product candidates that may be approved. Such an evolution may impact our strategic focus and our deployment and allocation of resources.</w:t>
      </w:r>
    </w:p>
    <w:p>
      <w:pPr>
        <w:spacing w:after="0" w:line="18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Our ability to manage our operations and growth effectively depends upon the continual improvement of our procedures, reporting systems and operational, financial and management controls. We currently have no experience as a company in or infrastructure for sales, marketing and distribution, and our operations are currently limited to clinical development activities and as our operations expand, we likely will need to manage additional relationships with such third parties. We may not be able to implement administrative and operational improvements in an efficient or timely manner and may discover deficiencies in existing systems and controls. If we do not meet these challenges, we may be unable to execute our business strategies and may be forced to expend more resources than anticipated addressing these issues.</w:t>
      </w:r>
    </w:p>
    <w:p>
      <w:pPr>
        <w:spacing w:after="0" w:line="18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55"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color w:val="auto"/>
        </w:rPr>
        <w:t>If OPT-302 or any future product candidate is approved, we intend either to establish a sales and organization with technical expertise and supporting distribution capabilities to commercialize OPT-302 or any future product candidate or to outsource such functions to one or more third parties. Either of these options would be expensive and time-consuming. Some or all of these costs may be incurred in advance of any approval of OPT-302 or any future product candidate. In addition, we may not be able to hire a sales force that is sufficient in size or has adequate expertise in the medical markets that we intend to target.</w:t>
      </w:r>
    </w:p>
    <w:p>
      <w:pPr>
        <w:spacing w:after="0" w:line="14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If we are unable to successfully manage our growth and the increased complexity of our operations, our business, financial position, results of operations and prospects may be harmed.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upon our ability to obtain and maintain intellectual property protection for our products and technologies.</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Our success will depend in significant part on our current or future licensors’, licensees’ or collaborators’ ability to establish and maintain adequate protection of our owned and licensed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hold issued patents, we have applied for patents, and we intend to continue to apply for, patents with claims covering our technologies, processes and product candidates when and where we deem it appropriate to do so. We have filed patent applications both in the United States and in certain non-U.S. jurisdictions to obtain patent rights to inventions we have developed, with claims directed to compositions of matter, methods of use and other technologies relating to our programs. There can be no assurance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17"/>
          <w:szCs w:val="17"/>
          <w:color w:val="auto"/>
        </w:rPr>
        <w:t>that any of these patent applications will issue as patents or, for those applications that do mature into patents, that the claims of the patents will exclude others from making, using or selling our product candidates or products that compete with or are similar to our product candidates. In countries where we have not sought and do not seek patent protection, third parties may be able to manufacture and sell our product candidates without our permission, and we may not be able to stop them from doing so.</w:t>
      </w:r>
    </w:p>
    <w:p>
      <w:pPr>
        <w:spacing w:after="0" w:line="17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 For a description of our patent portfolio, see “Item 4B Business Overview” of this annual report.</w:t>
      </w:r>
    </w:p>
    <w:p>
      <w:pPr>
        <w:spacing w:after="0" w:line="184"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Any changes we make to OPT-302 or any future product candidates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potentially crowded, and there can be no assurance that we would be able to secure patent protection that would adequately cover an alternative to OPT-302 or any future product candidates.</w:t>
      </w:r>
    </w:p>
    <w:p>
      <w:pPr>
        <w:spacing w:after="0" w:line="159" w:lineRule="exact"/>
        <w:rPr>
          <w:sz w:val="20"/>
          <w:szCs w:val="20"/>
          <w:color w:val="auto"/>
        </w:rPr>
      </w:pPr>
    </w:p>
    <w:p>
      <w:pPr>
        <w:jc w:val="both"/>
        <w:ind w:firstLine="448"/>
        <w:spacing w:after="0" w:line="258"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86"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Similar to the patent rights of other biotechnology companies, the scope, validity and enforceability of our owned and licensed patent rights generally are highly uncertain and involve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those third parties.</w:t>
      </w:r>
    </w:p>
    <w:p>
      <w:pPr>
        <w:spacing w:after="0" w:line="17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6" w:name="page47"/>
    <w:bookmarkEnd w:id="46"/>
    <w:p>
      <w:pPr>
        <w:jc w:val="both"/>
        <w:spacing w:after="0" w:line="276" w:lineRule="auto"/>
        <w:rPr>
          <w:sz w:val="20"/>
          <w:szCs w:val="20"/>
          <w:color w:val="auto"/>
        </w:rPr>
      </w:pPr>
      <w:r>
        <w:rPr>
          <w:rFonts w:ascii="Arial" w:cs="Arial" w:eastAsia="Arial" w:hAnsi="Arial"/>
          <w:sz w:val="16"/>
          <w:szCs w:val="16"/>
          <w:color w:val="auto"/>
        </w:rPr>
        <w:t>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 During the period of patent term extension, the claims of a patent are not enforceable for their full scope, but are instead limited to the scope of the approved product. In addition, the applicable authorities, including the FDA in the United States, and any comparable non-U.S. regulatory authorities,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2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55"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non-U.S.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167"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non-U.S. countries do not protect intellectual property rights to the same extent as federal and certain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OPT-302 or any future product candidates and our patents or other intellectual property rights may not be effective or sufficient to prevent them from competing.</w:t>
      </w:r>
    </w:p>
    <w:p>
      <w:pPr>
        <w:spacing w:after="0" w:line="172"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non-U.S. jurisdictions. The legal systems of certain countries, particularly certain developing countries, do not favor the enforcement of patents and other intellectual property protection, particularly those relating to biopharmaceuticals. This could make it difficult for us to stop the infringement of our patents or the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could place our patent applications at risk of not issuing and could provoke third parties to assert claims against us or our collaborator. We may not prevail in any lawsuits that we initiate and the damages or other remedies awarded, if any, may not be commercially meaningful.</w:t>
      </w:r>
    </w:p>
    <w:p>
      <w:pPr>
        <w:spacing w:after="0" w:line="16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The requirements for patentability differ and certain countries have heightened requirements for patentability, requiring more disclosure in the patent application. In addition, certain countries have compulsory licensing laws under which a patent owner may be compelled to grant licenses to third parties. In those countries, we may have limited remedies if patents are infringed or if we are compelled to grant a license to a third party, which could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7" w:name="page48"/>
    <w:bookmarkEnd w:id="47"/>
    <w:p>
      <w:pPr>
        <w:jc w:val="both"/>
        <w:spacing w:after="0" w:line="265" w:lineRule="auto"/>
        <w:rPr>
          <w:sz w:val="20"/>
          <w:szCs w:val="20"/>
          <w:color w:val="auto"/>
        </w:rPr>
      </w:pPr>
      <w:r>
        <w:rPr>
          <w:rFonts w:ascii="Arial" w:cs="Arial" w:eastAsia="Arial" w:hAnsi="Arial"/>
          <w:sz w:val="17"/>
          <w:szCs w:val="17"/>
          <w:color w:val="auto"/>
        </w:rPr>
        <w:t>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efforts to enforce intellectual property rights around the world may be inadequate to obtain a significant commercial advantage from the intellectual property that we own or license.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OPT-302 and any future product candidates.</w:t>
      </w:r>
    </w:p>
    <w:p>
      <w:pPr>
        <w:spacing w:after="0" w:line="243"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84"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5"/>
          <w:szCs w:val="15"/>
          <w:color w:val="auto"/>
        </w:rPr>
        <w:t xml:space="preserve">Patent reform laws, such as the Leahy-Smith America Invents Act, or the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The Leahy-Smith Act and its implementation may increase the uncertainties and costs surrounding the prosecution of our patent applications and the enforcement or defense of our issued patents, all of which could harm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intellectual property rights or technology necessary to develop and commercialize OPT-302 and any future product candidates.</w:t>
      </w:r>
    </w:p>
    <w:p>
      <w:pPr>
        <w:spacing w:after="0" w:line="243"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patent landscape around our programs is complex, and there may be one or more third-party patents and patent applications containing subject matter that might be relevant to OPT-302. Depending on what claims may ultimately issue from these patent applications, and how courts construe the issued patent claims, as well as depending on the ultimate formulation and method of use of OPT-302 or any future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harm our business, financial condition and results of operations. Moreover, even if we obtain licenses to such intellectual property, but subsequently fail to meet our obligations under the relevant license agreements, or such license agreements are terminated for any other reasons, we may lose our rights to the technologies licensed under those agreements.</w:t>
      </w:r>
    </w:p>
    <w:p>
      <w:pPr>
        <w:spacing w:after="0" w:line="172"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The licensing or acquisition of third-party intellectual property rights is an area in which many companies operate that have interests that are in conflict with ours,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program or product candidate, which could harm our business, financial condition, results of operations and prospects.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159"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For example, generic or biosimilar drug manufacturers or other competitors or third parties may challenge the scope, validity or enforceability of our patents, requiring us to engage in complex, lengthy and costly litigation or other proceedings. These proceedings can be expensive and time-consuming and many of our adversaries in these proceedings may have the ability to dedicate substantially greater resources to prosecuting these legal actions than we can. Accordingly, despite our efforts, we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initiated legal proceedings against a third party to enforce a patent covering a product candidate, the defendant could counterclaim that such patent is invalid or unenforceable. In patent litigation in the United States, defendants usually assert counterclaims alleging invalidity or unenforceability.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subject matter alleged to be infringing on the grounds that our patents do not cover that subject matter.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172" w:lineRule="exact"/>
        <w:rPr>
          <w:sz w:val="20"/>
          <w:szCs w:val="20"/>
          <w:color w:val="auto"/>
        </w:rPr>
      </w:pPr>
    </w:p>
    <w:p>
      <w:pPr>
        <w:jc w:val="both"/>
        <w:ind w:firstLine="448"/>
        <w:spacing w:after="0" w:line="258"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product candidates without patent protection, allow third parties to commercialize our technology or product candidates and compete directly with us, without payment to us, or could require us to obtain license rights from the prevailing party in order to be able to manufacture or commercialize our product candidates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Even if we successfully defend such litigation or proceeding, we may incur substantial costs and our defense may distract our management and other employees.</w:t>
      </w:r>
    </w:p>
    <w:p>
      <w:pPr>
        <w:spacing w:after="0" w:line="183"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non-U.S. jurisdictions have rules of discovery that are different than those in the United States and that may make defending or enforcing our patents extremely difficult. There could also be public announcements of the results of hearings, motions or other interim proceedings or developments. If securities analysts or investors perceive these results to be negative, it could negatively affect the price of the ADSs and our ordinary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9" w:name="page50"/>
    <w:bookmarkEnd w:id="49"/>
    <w:p>
      <w:pPr>
        <w:jc w:val="both"/>
        <w:spacing w:after="0" w:line="285" w:lineRule="auto"/>
        <w:rPr>
          <w:sz w:val="20"/>
          <w:szCs w:val="20"/>
          <w:color w:val="auto"/>
        </w:rPr>
      </w:pPr>
      <w:r>
        <w:rPr>
          <w:rFonts w:ascii="Arial" w:cs="Arial" w:eastAsia="Arial" w:hAnsi="Arial"/>
          <w:sz w:val="17"/>
          <w:szCs w:val="17"/>
          <w:b w:val="1"/>
          <w:bCs w:val="1"/>
          <w:i w:val="1"/>
          <w:iCs w:val="1"/>
          <w:color w:val="auto"/>
        </w:rPr>
        <w:t>Third parties may initiate legal proceedings against us alleging that we infringe their intellectual property rights, the outcome of which would be uncertain and could harm our business.</w:t>
      </w:r>
    </w:p>
    <w:p>
      <w:pPr>
        <w:spacing w:after="0" w:line="15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 xml:space="preserve">Our commercial success depends upon our ability to develop, manufacture, market and sell OPT-302 and any future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alleging that we infringe their intellectual property rights or we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derivation proceedings before the USPTO or its counterparts in other jurisdictions. These proceedings can be expensive and time-consuming and many of our adversaries in these proceedings may have the ability to dedicate substantially greater resources to prosecuting these legal actions than we can.</w:t>
      </w:r>
    </w:p>
    <w:p>
      <w:pPr>
        <w:spacing w:after="0" w:line="184"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could be found liable for monetary damages, including treble damages and attorneys’ fees, if we are found to have willfully infringed a patent of a third party. A finding of infringement could prevent us from commercializing OPT-302 or any future product candidates or force us to cease some of our business operations, which could materially harm our business.</w:t>
      </w:r>
    </w:p>
    <w:p>
      <w:pPr>
        <w:spacing w:after="0" w:line="172"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5"/>
          <w:szCs w:val="15"/>
          <w:color w:val="auto"/>
        </w:rPr>
        <w:t>We may not be aware of all third-party intellectual property rights potentially relating to OPT-302 or any future product candidates and technologies. We are not aware of any facts that would lead us to conclude that the valid and enforceable claims of any third-party patents would reasonably be interpreted to cover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negatively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other commercialization partners and we were unable to successfully challenge the validity or enforceability of any such asserted patents, then we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harm our business, financial condition and operating results.</w:t>
      </w:r>
    </w:p>
    <w:p>
      <w:pPr>
        <w:spacing w:after="0" w:line="157"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Although we have reviewed certain third-party patents and patent filings that we believe may be relevant to our therapeutic candidates or products, we have not conducted a freedom-to-operate search or analysis for any of our therapeutic candidates or products, and we may not be aware of patents or pending or future patent applications that, if issued, would block us from commercializing our therapeutic candidates or products. Thus, we cannot guarantee that our therapeutic candidates or products, or our commercialization thereof, do not and will not infringe any third party’s intellectual property.</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may be subject to claims by third parties asserting misappropriation of intellectual property, or claiming ownership of what we regard as our own intellectual property.</w:t>
      </w:r>
    </w:p>
    <w:p>
      <w:pPr>
        <w:spacing w:after="0" w:line="159"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Although we seek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the services of personnel or sustain other damages. Such intellectual property rights could be awarded to a third party, and we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0" w:name="page51"/>
    <w:bookmarkEnd w:id="50"/>
    <w:p>
      <w:pPr>
        <w:jc w:val="both"/>
        <w:spacing w:after="0" w:line="355" w:lineRule="auto"/>
        <w:rPr>
          <w:sz w:val="20"/>
          <w:szCs w:val="20"/>
          <w:color w:val="auto"/>
        </w:rPr>
      </w:pPr>
      <w:r>
        <w:rPr>
          <w:rFonts w:ascii="Arial" w:cs="Arial" w:eastAsia="Arial" w:hAnsi="Arial"/>
          <w:sz w:val="15"/>
          <w:szCs w:val="15"/>
          <w:color w:val="auto"/>
        </w:rPr>
        <w:t>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13"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results of operations and prospects.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protect our confidential information and trade secrets would harm our business and competitive position.</w:t>
      </w:r>
    </w:p>
    <w:p>
      <w:pPr>
        <w:spacing w:after="0" w:line="22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In addition to seeking patents for some of our technology and product candidates,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trade secrets and there may be no adequate remedy available for such breach of an agreement. We cannot assure you that our trade secrets will not be disclosed or that we can meaningfully protect our trade secrets.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If a competitor lawfully obtained or independently developed any technology or information that we protect as trade secret, we would have no right to prevent such competitor from using that technology or information to compete with us, which could harm our competitive position.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9" w:lineRule="exact"/>
        <w:rPr>
          <w:sz w:val="20"/>
          <w:szCs w:val="20"/>
          <w:color w:val="auto"/>
        </w:rPr>
      </w:pPr>
    </w:p>
    <w:p>
      <w:pPr>
        <w:ind w:left="880" w:hanging="434"/>
        <w:spacing w:after="0" w:line="285" w:lineRule="auto"/>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OPT-302 and any future product candidates we may develop or utilize similar technology but that are not covered by the claims of the patents that we exclusively license or may own in the future;</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our licensors or our future collaborators, might not have been the first to make the inventions covered by the issued patents and pending patent applications that we exclusively license or may own in the future;</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our licensors or our future collaborators, might not have been the first to file patent applications covering certain of our or their inventions;</w:t>
      </w:r>
    </w:p>
    <w:p>
      <w:pPr>
        <w:spacing w:after="0" w:line="231" w:lineRule="exact"/>
        <w:rPr>
          <w:rFonts w:ascii="Arial" w:cs="Arial" w:eastAsia="Arial" w:hAnsi="Arial"/>
          <w:sz w:val="16"/>
          <w:szCs w:val="16"/>
          <w:color w:val="auto"/>
        </w:rPr>
      </w:pPr>
    </w:p>
    <w:p>
      <w:pPr>
        <w:ind w:left="880" w:hanging="434"/>
        <w:spacing w:after="0" w:line="285" w:lineRule="auto"/>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exclusively licensed intellectual property rights;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or those that we may file in the future, including those that we have licensed, will not result in issued patents;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issued patents to which we hold rights may be held invalid or unenforceable, including as a result of legal challenges by our competitors;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1" w:name="page52"/>
    <w:bookmarkEnd w:id="51"/>
    <w:p>
      <w:pPr>
        <w:jc w:val="both"/>
        <w:ind w:left="880" w:hanging="434"/>
        <w:spacing w:after="0" w:line="270"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major commercial markets in which we do not have sufficient patent rights to stop such sales;</w:t>
      </w:r>
    </w:p>
    <w:p>
      <w:pPr>
        <w:spacing w:after="0" w:line="171" w:lineRule="exact"/>
        <w:rPr>
          <w:rFonts w:ascii="Arial" w:cs="Arial" w:eastAsia="Arial" w:hAnsi="Arial"/>
          <w:sz w:val="17"/>
          <w:szCs w:val="17"/>
          <w:color w:val="auto"/>
        </w:rPr>
      </w:pPr>
    </w:p>
    <w:p>
      <w:pPr>
        <w:ind w:left="880" w:hanging="434"/>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patents of others may be asserted against our product candidates and technologies in a manner that harms our business; and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choose not to file a patent application in order to maintain certain trade secrets or know-how, and a third party may subsequently file a patent covering such trade secrets or know-how.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Should any of these events occur, they could harm our business, financial condition, results of operations and prospects.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our trademarks and trade names are not maintained and adequately protected, we may not be able to build name recognition in our markets of interest, and our business may be negatively affected.</w:t>
      </w:r>
    </w:p>
    <w:p>
      <w:pPr>
        <w:spacing w:after="0" w:line="159"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Failure to obtain trademark registrations in the future, could limit our ability to protect and enforce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any future trademark rights and prevent infringement, we may be required to file trademark claims against third parties or initiate trademark opposition proceedings. This can be expensive and time consuming and can strain the financial resources of a company of our size, and we may not be successful in enforcing our trademark rights. In addition, our registered or unregistered trademarks or trade names may be challenged, infringed, circumvented, declared generic or determined to be infringing on other marks.</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Future trademark applications in the United States and in other non-U.S. jurisdictions where we may file may not be allowed or may subsequently be opposed. Even if these applications result in registration of trademarks, third parties may challenge our use or registration of these trademarks in the future. Over the long term, if we are unable to establish name recognition based on our trademarks and trade names, then we may not be able to compete effectively and our business may be negatively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may face competition sooner than anticipated from biosimilar products.</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72"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2" w:name="page53"/>
    <w:bookmarkEnd w:id="52"/>
    <w:p>
      <w:pPr>
        <w:jc w:val="both"/>
        <w:ind w:firstLine="448"/>
        <w:spacing w:after="0" w:line="261" w:lineRule="auto"/>
        <w:rPr>
          <w:sz w:val="20"/>
          <w:szCs w:val="20"/>
          <w:color w:val="auto"/>
        </w:rPr>
      </w:pPr>
      <w:r>
        <w:rPr>
          <w:rFonts w:ascii="Arial" w:cs="Arial" w:eastAsia="Arial" w:hAnsi="Arial"/>
          <w:sz w:val="17"/>
          <w:szCs w:val="17"/>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8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the ADSs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and liquid market for our securities may fail to develop, which could harm the market price of the ADSs.</w:t>
      </w:r>
    </w:p>
    <w:p>
      <w:pPr>
        <w:spacing w:after="0" w:line="220" w:lineRule="exact"/>
        <w:rPr>
          <w:sz w:val="20"/>
          <w:szCs w:val="20"/>
          <w:color w:val="auto"/>
        </w:rPr>
      </w:pPr>
    </w:p>
    <w:p>
      <w:pPr>
        <w:jc w:val="both"/>
        <w:ind w:firstLine="448"/>
        <w:spacing w:after="0" w:line="322" w:lineRule="auto"/>
        <w:rPr>
          <w:sz w:val="20"/>
          <w:szCs w:val="20"/>
          <w:color w:val="auto"/>
        </w:rPr>
      </w:pPr>
      <w:r>
        <w:rPr>
          <w:rFonts w:ascii="Arial" w:cs="Arial" w:eastAsia="Arial" w:hAnsi="Arial"/>
          <w:sz w:val="15"/>
          <w:szCs w:val="15"/>
          <w:color w:val="auto"/>
        </w:rPr>
        <w:t>Although our ADSs are listed in the United States on Nasdaq, an active trading market for the ADSs may never develop, or if developed, this market may not be sustained. We cannot predict the effect of this dual listing on the value of the ordinary shares and ADSs. However, the dual listing of the ordinary shares and ADSs may dilute the liquidity of these securities in one or both markets and may adversely affect the development of an active trading market for the ADSs.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and volume of the ADSs may be volatile, and ADSs holders could incur substantial losses.</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price and trading volumes of our ordinary shares and ADSs may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8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In addition, equity markets may be subject to considerable price and trading volume fluctuations, and often, these movements do not reflect the operational and financial performance of the listed companies concerned. In particular, biotechnology companies’ share prices have been highly volatile in the past and may continue to be highly volatile in the future. As we operate in a single industry, we are especially vulnerable to these factors to the extent that they affect our industry. Fluctuations in the stock market as well as the macroeconomic environment could significantly affect the price of the ADSs. As a result of this volatility, investors may not be able to sell their ADSs at or above the price originally paid for the security. The market price and trading volume for the ADSs may be influenced by many factors, including:</w:t>
      </w:r>
    </w:p>
    <w:p>
      <w:pPr>
        <w:spacing w:after="0" w:line="180" w:lineRule="exact"/>
        <w:rPr>
          <w:sz w:val="20"/>
          <w:szCs w:val="20"/>
          <w:color w:val="auto"/>
        </w:rPr>
      </w:pPr>
    </w:p>
    <w:p>
      <w:pPr>
        <w:ind w:left="880" w:hanging="434"/>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divestitures, spin-offs, strategic partnerships, joint ventures, collaborations, capital commitments or changes in business strategy;</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results of delays in our or any of our competitors’ preclinical studies or clinical trials;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for any of our product candidates;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termination of a strategic alliance or the inability to establish additional strategic alliances;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3" w:name="page54"/>
    <w:bookmarkEnd w:id="53"/>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failure to meet or exceed financial estimates and projections of the investment community or that we provide to the public;</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ADS price and volume fluctuations attributable to inconsistent trading volume levels of the ADSs;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price and volume fluctuations in trading of our ordinary shares on the ASX;</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short selling or other market manipulation activities;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fluctuations of exchange rates between the U.S. dollar and the Australian dollar;</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additions or departures of key management or scientific personnel;</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disruptions in our supply or manufacturing arrangements;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and our ability to obtain patent and other intellectual property protection for our technologies;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to coverage policies or reimbursement levels by commercial third-party payors and government payors and any announcements relating to coverage policies or reimbursement levels;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litigation involving our company;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announcement or expectation of additional debt or equity financing efforts;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natural disasters or other calamities or disease outbreaks, such as the COVID-19 pandemic;</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sales of the ADSs by us, our affiliates or our other shareholders;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These and other market and industry factors may cause the market price and demand for the ADSs to fluctuate, regardless of our actual operating performance, which may limit or prevent investors from readily selling their ADSs and may otherwise negatively affect the liquidity of the trading market for the ADSs.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do not currently intend to pay dividends on our securities and, consequently, your ability to achieve a return on your investment will depend on appreciation in the price of the ADSs.</w:t>
      </w:r>
    </w:p>
    <w:p>
      <w:pPr>
        <w:spacing w:after="0" w:line="159"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We have not declared or paid any cash dividends on our ordinary shares since February 2005 and do not currently intend to do so for the foreseeable future. We currently intend to invest our future earnings, if any, to fund our operations and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consider not purchasing the ADSs.</w:t>
      </w:r>
    </w:p>
    <w:p>
      <w:pPr>
        <w:spacing w:after="0" w:line="180"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While we do not anticipate paying any cash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4" w:name="page55"/>
    <w:bookmarkEnd w:id="54"/>
    <w:p>
      <w:pPr>
        <w:jc w:val="both"/>
        <w:spacing w:after="0" w:line="311" w:lineRule="auto"/>
        <w:rPr>
          <w:sz w:val="20"/>
          <w:szCs w:val="20"/>
          <w:color w:val="auto"/>
        </w:rPr>
      </w:pPr>
      <w:r>
        <w:rPr>
          <w:rFonts w:ascii="Arial" w:cs="Arial" w:eastAsia="Arial" w:hAnsi="Arial"/>
          <w:sz w:val="15"/>
          <w:szCs w:val="15"/>
          <w:color w:val="auto"/>
        </w:rPr>
        <w:t>that you may not receive the distributions we make on our ordinary shares or any value from them if it is unlawful or impractical to make them available to you. These restrictions may negatively impact the value of your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ordinary shares or ADSs by existing holders could depress the market price of the ordinary shares or ADSs.</w:t>
      </w:r>
    </w:p>
    <w:p>
      <w:pPr>
        <w:spacing w:after="0" w:line="220"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We had a total of 351,003,541 ordinary shares outstanding as of June 30, 2021, including the 7,493,568 ordinary shares underlying ADSs that were issued upon the exercise of pre-funded warrants in March and June 2021. As of the date of this annual report, the exercise of all outstanding options exercisable for ordinary shares would enable the subscription of new ordinary shares representing approximately 3.25% of the diluted share capital.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dual listing of our ordinary shares and the ADSs may negatively impact the liquidity and value of the ADSs.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Our ADSs are listed on Nasdaq and our ordinary shares are listed on the ASX. We cannot predict the effect of this dual listing on the value of our ordinary shares and ADSs. However, the dual listing of our ordinary shares and ADSs may dilute the liquidity of these securities in one or both markets and may negatively impact the development of an active trading market for the ADSs in the United States. The price of the ADSs could also be negatively impacted by trading in our ordinary shares on the ASX.</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will incur significant increased costs as a result of operating as a company with ADSs that are publicly traded in the United States, and our management will be required to devote substantial time to new compliance initiatives.</w:t>
      </w:r>
    </w:p>
    <w:p>
      <w:pPr>
        <w:spacing w:after="0" w:line="159"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As a company whose ADSs are publicly traded in the United States, we have incurred and will continue to incur significant legal, accounting, insurance and other expenses. In addition, the Sarbanes-Oxley Act, Dodd-Frank Wall Street Reform and Consumer Protection Act and related rules implemented by the United States Securities and Exchange Commission, or SEC, and Nasdaq have imposed various requirements on public companies listed in the United States including requiring establishment and maintenance of effective disclosure and financial controls. Our management and other personnel will need to devote a substantial amount of time to these compliance initiatives, and we will need to add additional personnel and build our internal compliance infrastructure. 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listed in the United States, we could be subject to delisting of the ADSs, fines, sanctions and other regulatory action and potentially civil litigation.</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U.S. investors may have difficulty enforcing civil liabilities against our company, our directors or members of senior management and the experts named in this annual report.</w:t>
      </w:r>
    </w:p>
    <w:p>
      <w:pPr>
        <w:spacing w:after="0" w:line="159"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Certain members of our senior management and board of directors named in this annual report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5" w:name="page56"/>
    <w:bookmarkEnd w:id="55"/>
    <w:p>
      <w:pPr>
        <w:jc w:val="both"/>
        <w:spacing w:after="0" w:line="294" w:lineRule="auto"/>
        <w:rPr>
          <w:sz w:val="20"/>
          <w:szCs w:val="20"/>
          <w:color w:val="auto"/>
        </w:rPr>
      </w:pPr>
      <w:r>
        <w:rPr>
          <w:rFonts w:ascii="Arial" w:cs="Arial" w:eastAsia="Arial" w:hAnsi="Arial"/>
          <w:sz w:val="16"/>
          <w:szCs w:val="16"/>
          <w:color w:val="auto"/>
        </w:rPr>
        <w:t>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spacing w:after="0" w:line="15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Corporations Act 2001 (Cth), or the Corporations Act, regulate the circumstances in which shareholder derivative actions may be commenced which may be different, and in many ways less permissive, than for companies incorporated in the United States.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Australian takeover laws may discourage takeover offers being made for us or may discourage the acquisition of a significant position in our ordinary shares or ADSs.</w:t>
      </w:r>
    </w:p>
    <w:p>
      <w:pPr>
        <w:spacing w:after="0" w:line="159" w:lineRule="exact"/>
        <w:rPr>
          <w:sz w:val="20"/>
          <w:szCs w:val="20"/>
          <w:color w:val="auto"/>
        </w:rPr>
      </w:pPr>
    </w:p>
    <w:p>
      <w:pPr>
        <w:jc w:val="both"/>
        <w:ind w:firstLine="448"/>
        <w:spacing w:after="0" w:line="302" w:lineRule="auto"/>
        <w:rPr>
          <w:sz w:val="20"/>
          <w:szCs w:val="20"/>
          <w:color w:val="auto"/>
        </w:rPr>
      </w:pPr>
      <w:r>
        <w:rPr>
          <w:rFonts w:ascii="Arial" w:cs="Arial" w:eastAsia="Arial" w:hAnsi="Arial"/>
          <w:sz w:val="15"/>
          <w:szCs w:val="15"/>
          <w:color w:val="auto"/>
        </w:rPr>
        <w:t>We are incorporated in Australia and are subject to the takeover laws of Australia. Among other things, we are subject to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and may further restrict the ability of our shareholders to obtain a premium from such transactions. See Exhibit 2.3 “Description of Securities” as well as our Constitution.</w:t>
      </w:r>
    </w:p>
    <w:p>
      <w:pPr>
        <w:spacing w:after="0" w:line="15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Constitution and Australian laws and regulations applicable to us may adversely affect our ability to take actions that could be beneficial to our shareholders.</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As an Australian company we are subject to different corporate requirements than a corporation organized under the laws of the United States. Our Constitution, as well as the Corporations Act, sets forth various rights and obligations that apply to us as an Australian company and which may not apply to a U.S. corporation. These requirements may operate differently than those of many U.S. companies. You should carefully review the summary of these matters set forth under Exhibit 2.3 “Description of Securities” as well as our Constitution, which is included as an exhibit to this annual report, prior to investing in our securities.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159"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deposit agreement provides that the depositary will not make rights available to you unless the distribution to ADS holders of both the rights and any related securities are either registered under the Securities Act or exempted from registration under the Securities Act of 1933, as amended, or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not be able to exercise your right to vote the ordinary shares underlying your ADSs.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meeting or solicitation of consent or proxy sent by us and (ii) a statement as to the manner in which instructions may be given by the holders.</w:t>
      </w:r>
    </w:p>
    <w:p>
      <w:pPr>
        <w:spacing w:after="0" w:line="2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You may instruct the depositary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 ask for your instructions, the depositary, upon timely notice from us, will notify you of the upcoming vote and arrange to deliver our voting materials to you and will try to vote ordinary shares as you instruct. We cannot guarantee you that you will receive the voting materials in time to ensure that you can instruct the depositary to vote your ordinary shares or to withdraw your ordinary shares so that you can vote them yourself. If we do not ask for your instructions, you can still send voting instructions to the depository and the depository may try to carry out those instructions, but it is not required to do so.</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Under our Constitution, any resolution to be considered at a meeting of the shareholders shall be decided on a show of hands unless a poll is demanded in accordance with the terms of our Constitution. A poll may be demanded before a vote is taken, or, in the case of a vote taken on a show of hands, immediately before or immediately after, the declaration of the result of the show of hands. Under voting by a show of hands, multiple “yes” votes by ADS holders will only count as one “yes” vote and will be negated by a single “no” vote, unless a poll is demanded.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subject to limitations on the transfer of your ADSs and the withdrawal of the underlying ordinary shares.</w:t>
      </w:r>
    </w:p>
    <w:p>
      <w:pPr>
        <w:spacing w:after="0" w:line="220" w:lineRule="exact"/>
        <w:rPr>
          <w:sz w:val="20"/>
          <w:szCs w:val="20"/>
          <w:color w:val="auto"/>
        </w:rPr>
      </w:pPr>
    </w:p>
    <w:p>
      <w:pPr>
        <w:jc w:val="both"/>
        <w:ind w:firstLine="448"/>
        <w:spacing w:after="0" w:line="297" w:lineRule="auto"/>
        <w:rPr>
          <w:sz w:val="20"/>
          <w:szCs w:val="20"/>
          <w:color w:val="auto"/>
        </w:rPr>
      </w:pPr>
      <w:r>
        <w:rPr>
          <w:rFonts w:ascii="Arial" w:cs="Arial" w:eastAsia="Arial" w:hAnsi="Arial"/>
          <w:sz w:val="15"/>
          <w:szCs w:val="15"/>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surrender your ADSs and receive the underlying ordinary shares. Temporary delays in the surrendering of your ADSs and receipt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surrender your ADSs and receive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“Item 12D —Description of American Depositary Shares.”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ADSs are not treated as holders of our ordinary shares.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Holders of ADSs are not treated as holders of our ordinary shares, unless they surrender the ADSs to receive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“Item 12D — Description of American Depositary Shares.”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deposit agreement governing the ADSs provides that holders and beneficial owners of ADSs, including those holders and owners who acquired ADSs in secondary transactions,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7" w:name="page58"/>
    <w:bookmarkEnd w:id="57"/>
    <w:p>
      <w:pPr>
        <w:jc w:val="both"/>
        <w:spacing w:after="0" w:line="265" w:lineRule="auto"/>
        <w:rPr>
          <w:sz w:val="20"/>
          <w:szCs w:val="20"/>
          <w:color w:val="auto"/>
        </w:rPr>
      </w:pPr>
      <w:r>
        <w:rPr>
          <w:rFonts w:ascii="Arial" w:cs="Arial" w:eastAsia="Arial" w:hAnsi="Arial"/>
          <w:sz w:val="17"/>
          <w:szCs w:val="17"/>
          <w:color w:val="auto"/>
        </w:rPr>
        <w:t>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w:t>
      </w:r>
    </w:p>
    <w:p>
      <w:pPr>
        <w:spacing w:after="0" w:line="176"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6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As the jury trial waiver relates to claims arising out of or relating to the ADSs or the deposit agreement, we believe that the waiver would likely continue to apply to ADS holders or beneficial owners who withdraw the ordinary shares from the ADS facility with respect to claims arising before the cancellation of the ADSs and the withdrawal of the ordinary shares, and the waiver would likely not apply to ADS holders or beneficial owners who subsequently withdraw the ordinary shares represented by ADSs from the ADS facility with respect to claims arising after the withdrawal. However, to our knowledge, there has been no case law on the applicability of the jury trial waiver to ADS holders or beneficial owners who withdraw the ordinary shares represented by the ADSs from the ADS facility.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report our financial results under IFRS, which differs in certain significant respect from U.S. generally accepted accounting principles, or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GAAP.</w:t>
      </w:r>
    </w:p>
    <w:p>
      <w:pPr>
        <w:spacing w:after="0" w:line="208"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Currently 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As a foreign private issuer, we are exempt from a number of rules under the U.S. securities laws and are permitted to file less information with the SEC than a U.S. company.</w:t>
      </w:r>
    </w:p>
    <w:p>
      <w:pPr>
        <w:spacing w:after="0" w:line="159" w:lineRule="exact"/>
        <w:rPr>
          <w:sz w:val="20"/>
          <w:szCs w:val="20"/>
          <w:color w:val="auto"/>
        </w:rPr>
      </w:pPr>
    </w:p>
    <w:p>
      <w:pPr>
        <w:jc w:val="both"/>
        <w:ind w:firstLine="448"/>
        <w:spacing w:after="0" w:line="276" w:lineRule="auto"/>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Securities Exchange Act of 1934, as amended, or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8" w:name="page59"/>
    <w:bookmarkEnd w:id="58"/>
    <w:p>
      <w:pPr>
        <w:jc w:val="both"/>
        <w:spacing w:after="0" w:line="270" w:lineRule="auto"/>
        <w:rPr>
          <w:sz w:val="20"/>
          <w:szCs w:val="20"/>
          <w:color w:val="auto"/>
        </w:rPr>
      </w:pPr>
      <w:r>
        <w:rPr>
          <w:rFonts w:ascii="Arial" w:cs="Arial" w:eastAsia="Arial" w:hAnsi="Arial"/>
          <w:sz w:val="17"/>
          <w:szCs w:val="17"/>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172"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As a foreign private issuer listed on Nasdaq, we will be subject to their corporate governance listing standards. However, Nasdaq rules permit foreign private issuers to follow the corporate governance practices of its home country. Some corporate governance practices in Australia may differ from Nasdaq corporate governance listing standards. For example, we could include non-independent directors as members of our Remuneration and Nomination committees, and our independent directors may not necessarily hold regularly scheduled meetings at which only independent members of the board of directors are present. Currently, we follow home country practice to the maximum extent possible. Therefore, our shareholders may be afforded less protection than they otherwise would have under corporate governance listing standards applicable to U.S. domestic issuers. For an overview of our corporate governance practices, see “Item 16G—Corporate Governance.”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lose our foreign private issuer status in the future, which could result in significant additional cost and expense.</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December 31, 2021. In the future, we would lose our foreign private issuer status if we to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w:t>
      </w:r>
    </w:p>
    <w:p>
      <w:pPr>
        <w:spacing w:after="0" w:line="18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w:t>
      </w:r>
    </w:p>
    <w:p>
      <w:pPr>
        <w:spacing w:after="0" w:line="180" w:lineRule="exact"/>
        <w:rPr>
          <w:sz w:val="20"/>
          <w:szCs w:val="20"/>
          <w:color w:val="auto"/>
        </w:rPr>
      </w:pPr>
    </w:p>
    <w:p>
      <w:pPr>
        <w:jc w:val="both"/>
        <w:ind w:firstLine="448"/>
        <w:spacing w:after="0" w:line="293" w:lineRule="auto"/>
        <w:rPr>
          <w:sz w:val="20"/>
          <w:szCs w:val="20"/>
          <w:color w:val="auto"/>
        </w:rPr>
      </w:pPr>
      <w:r>
        <w:rPr>
          <w:rFonts w:ascii="Arial" w:cs="Arial" w:eastAsia="Arial" w:hAnsi="Arial"/>
          <w:sz w:val="15"/>
          <w:szCs w:val="15"/>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(i) the last day of the fiscal year in which we have more than US$1.07 billion in annual revenue;</w:t>
      </w:r>
    </w:p>
    <w:p>
      <w:pPr>
        <w:spacing w:after="0" w:line="2" w:lineRule="exact"/>
        <w:rPr>
          <w:sz w:val="20"/>
          <w:szCs w:val="20"/>
          <w:color w:val="auto"/>
        </w:rPr>
      </w:pPr>
    </w:p>
    <w:p>
      <w:pPr>
        <w:ind w:firstLine="4"/>
        <w:spacing w:after="0" w:line="270"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last day of the fiscal year in which we qualify as a “large accelerated filer”; (iii) the date on which we have, during the previous three-year period, issued more than US$1.0 billion in non-convertible debt securities; and (iv)June 30, 2026.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9" w:name="page60"/>
    <w:bookmarkEnd w:id="59"/>
    <w:p>
      <w:pPr>
        <w:jc w:val="both"/>
        <w:spacing w:after="0" w:line="285" w:lineRule="auto"/>
        <w:rPr>
          <w:sz w:val="20"/>
          <w:szCs w:val="20"/>
          <w:color w:val="auto"/>
        </w:rPr>
      </w:pPr>
      <w:r>
        <w:rPr>
          <w:rFonts w:ascii="Arial" w:cs="Arial" w:eastAsia="Arial" w:hAnsi="Arial"/>
          <w:sz w:val="17"/>
          <w:szCs w:val="17"/>
          <w:b w:val="1"/>
          <w:bCs w:val="1"/>
          <w:i w:val="1"/>
          <w:iCs w:val="1"/>
          <w:color w:val="auto"/>
        </w:rPr>
        <w:t>As a result of being a U.S.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159"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color w:val="auto"/>
        </w:rPr>
        <w:t>Pursuant to Section 404, our management will be required to assess and attest to the effectiveness of our internal control over financial reporting in connection with issuing our consolidated financial statements as of and for the fiscal year ending June 30, 2022. Section 404 also requires an attestation report on the effectiveness of internal control over financial reporting be provided by our independent registered public accounting firm beginning with our annual report following the date on which we are no longer an “emerging growth company”, which may be up to five fiscal years from the initial public offering of our ADSs.</w:t>
      </w:r>
    </w:p>
    <w:p>
      <w:pPr>
        <w:spacing w:after="0" w:line="146"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The cost of complying with Section 404 will significantly increase and management’s attention may be diverted from other business concerns, which could adversely affect our results. We may need to hire more employees in the future or engage outside consultants to comply with these requirements, which will further increase expenses. If we fail to comply with the requirements of Section 404 in the required timeframe, we may be subject to sanctions or investigations by regulatory authorities, including the SEC and Nasdaq. Furthermore, if we are unable to attest to the effectiveness of our internal control over financial reporting, we could lose investor confidence in the accuracy and completeness of our financial reports, and the market price of our ordinary shares and ADSs could decline. Failure to implement or maintain effective internal control over financial reporting could also restrict our future access to the capital markets and subject each of us, our directors and our officers to both significant monetary and criminal liability.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 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position, results and prospects may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 is likely that we will be classified as a passive foreign investment company, which could result in adverse U.S. federal income tax consequences for U.S.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w:t>
      </w:r>
    </w:p>
    <w:p>
      <w:pPr>
        <w:spacing w:after="0" w:line="208"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In general, a non-U.S. company will be considered a passive foreign investment company, or PFIC, for U.S. federal income tax purposes for any taxable year in which (1) 75% or more of its gross income consists of passive income or (2) 50% or more of the average quarterly value of its assets is attributable to assets that produce, or are held for the production of, passive income. For purposes of these tests, passive income generally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8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There can be no assurance that we will not be considered a PFIC in any past, current or future taxable year, and based on the nature and composition of our income, assets, activities and market capitalization, it is likely that we will be a PFIC for our taxable year ended June 30, 2021 and in future taxable years. However, our PFIC status is based on an annual determination and may change from year to year. Our status as a PFIC will depend on the composition of our income and the composition and value of our assets, which may be volatile, from time to time. Our status may also depend, in part, on how quickly we utilize the cash we raise in any offering of our securities. Our U.S. counsel expresses no opinion regarding our conclusions or our expectations regarding our PFIC status.</w:t>
      </w:r>
    </w:p>
    <w:p>
      <w:pPr>
        <w:spacing w:after="0" w:line="180"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If we are a PFIC for any taxable year during which a U.S. holder (as defined below in the section titled “Item 10E – Taxation”) holds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We will continue to be treated as a PFIC with respect to such U.S. holder in all succeeding years during which the U.S. holder owns the ADSs, regardless of whether we continue to meet the PFIC test described above, unless the U.S holder makes a valid and timely qualified electing fund (QEF) or mark-to-market election, or makes a deemed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0" w:name="page61"/>
    <w:bookmarkEnd w:id="60"/>
    <w:p>
      <w:pPr>
        <w:jc w:val="both"/>
        <w:spacing w:after="0" w:line="355" w:lineRule="auto"/>
        <w:rPr>
          <w:sz w:val="20"/>
          <w:szCs w:val="20"/>
          <w:color w:val="auto"/>
        </w:rPr>
      </w:pPr>
      <w:r>
        <w:rPr>
          <w:rFonts w:ascii="Arial" w:cs="Arial" w:eastAsia="Arial" w:hAnsi="Arial"/>
          <w:sz w:val="15"/>
          <w:szCs w:val="15"/>
          <w:color w:val="auto"/>
        </w:rPr>
        <w:t>sale election once we cease to be a PFIC; however, we do not currently intend to provide the information necessary for a U.S holder to make a QEF election. For further discussion of the PFIC rules and the adverse U.S. federal income tax consequences in the event we are classified as a PFIC, see “Item 10E—Taxation.”</w:t>
      </w:r>
    </w:p>
    <w:p>
      <w:pPr>
        <w:spacing w:after="0" w:line="11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If a U.S. holder is treated as owning, (directly, indirectly or constructively,) at least 10% of the value or voting power of our ordinary shares or ADSs, such U.S. holder may be treated, for U.S. federal income tax purposes, as a “United States shareholder” with respect to each “controlled foreign corporation” in our group, if any. Because our group includes a U.S subsidiary (Opthea US Inc.), certain of our current and future non-U.S. subsidiaries will be treated as controlled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furnish to any United States shareholder information that may be necessary to comply with the reporting and payment obligations described above. Failure to comply with such obligations may subject a United States shareholder to significant monetary penalties and stall the beginning of the statute of limitations period for relevant U.S. federal income tax returns. U.S. holders should consult their tax advisors regarding the potential application of these rules to their investment in the ADSs.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to tax laws could materially adversely affect our company and reduce net returns to our shareholders.</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Tax authorities may disagree with our position and conclusions regarding certain tax positions, resulting in unanticipated costs, taxes or non-realization of expected benefits.</w:t>
      </w:r>
    </w:p>
    <w:p>
      <w:pPr>
        <w:spacing w:after="0" w:line="15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The market price of the ordinary shares or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costs and divert our management’s attention from other business concerns, which could seriously harm our business.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159"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The trading market for the ADSs depends in part on the research and reports that securities or industry analysts publish about us or our business. As a public listed company in Australia since 1985, our equity securities are currently subject to coverage by a number of analysts. If fewer securities or industry analysts cover our company, the trading price for the ADSs could be negatively impacted. If one or more of the analysts who covers us downgrades our equity securities or publishes incorrect or unfavorable research about our business, the price of the ADSs would likely decline. If one or more of these analysts ceases coverage of our company or fails to publish reports on us regularly, or downgrades our securities, demand for the ADSs could decrease, which could cause the price of the ADSs or their trading volume to decline.</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b w:val="1"/>
          <w:bCs w:val="1"/>
          <w:i w:val="1"/>
          <w:iCs w:val="1"/>
          <w:color w:val="auto"/>
        </w:rPr>
        <w:t>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could harm our reputation, business, financial condition or results of operations.</w:t>
      </w:r>
    </w:p>
    <w:p>
      <w:pPr>
        <w:spacing w:after="0" w:line="146"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6"/>
          <w:szCs w:val="16"/>
          <w:color w:val="auto"/>
        </w:rPr>
        <w:t>In the ordinary course of our business, we collect, store and transmit large amounts of confidential information, including intellectual property, proprietary business information and personal information. Our internal technology systems and infrastructure, and those of our current or future third-party collaborators, service providers, contractors and consultants are vulnerable to damage from computer viruses, unauthorized access or use resulting from malware, natural disasters, terrorism, war and telecommunication and electrical failures, denial-of-service attacks, cyber-attacks or cyber-intrusions over the Internet, hacking, phishing and other social engineering attacks, persons inside our organizations (including employees or contractors), loss or theft, or persons with access to systems inside our organization. Attacks on information technology systems are increasing in their frequency, levels of persistence, sophistication and intensity, and they are being conducted by increasingly sophisticated and organized non-U.S. governments, groups and individuals with a wide range of motives and expertise. For example, in June 2020, a coordinated cyber security attack targeted Australian government entities and companies.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such sensitive information (which may include confidential information, other intellectual property or personal information) being subject to unauthorized access or otherwise compromised. While to our knowledge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w:t>
      </w:r>
    </w:p>
    <w:p>
      <w:pPr>
        <w:spacing w:after="0" w:line="182"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systems (or those of our third-party collaborators, service providers, contractors or consultants), or results in the loss of or accidental, unlawful or unauthorized access to, use of, release of, or other processing of personal information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Such a breach may require notification to governmental agencies, the media or individuals pursuant to various non-U.S. domestic (federal and state) privacy and security laws, if applicable, including HIPAA, as amended by HITECH, and its implementing rules and regulations, as well as regulations promulgated by the Federal Trade Commission and state breach notification laws. In addition,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2" w:name="page63"/>
    <w:bookmarkEnd w:id="62"/>
    <w:p>
      <w:pPr>
        <w:jc w:val="both"/>
        <w:spacing w:after="0" w:line="285" w:lineRule="auto"/>
        <w:rPr>
          <w:sz w:val="20"/>
          <w:szCs w:val="20"/>
          <w:color w:val="auto"/>
        </w:rPr>
      </w:pPr>
      <w:r>
        <w:rPr>
          <w:rFonts w:ascii="Arial" w:cs="Arial" w:eastAsia="Arial" w:hAnsi="Arial"/>
          <w:sz w:val="17"/>
          <w:szCs w:val="17"/>
          <w:color w:val="auto"/>
        </w:rPr>
        <w:t>our liability insurance may not be sufficient in type or amount to cover us against all losses and claims related to security breaches, cyberattacks and other related incidents.</w:t>
      </w:r>
    </w:p>
    <w:p>
      <w:pPr>
        <w:spacing w:after="0" w:line="159"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harm our reputation, business, financial condition or results of operations.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the extent we maintain individually identifiable health information, we could be subject to fines and penalties (including civil and criminal) under HIPAA for any failure by us or our business associates to comply with HIPAA’s requirements. Moreover, data security incidents and other security breaches can be difficult to detect, and any delay in identifying them may lead to increased harm. While we have implemented data security measures intended to protect our information, data, information technology systems, applications and infrastructure, there can be no assurance that such measures will successfully prevent service interruptions or data security incidents.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policies are expensive and only protect us from some business risks, leaving us exposed to significant uninsured liabilities.</w:t>
      </w:r>
    </w:p>
    <w:p>
      <w:pPr>
        <w:spacing w:after="0" w:line="2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We do not carry insurance for all categories of risk that our business may encounter. We believe that we maintain insurance customary for businesses of our size and type, including clinical trial liability insurance. However, there are types of losses we may incur that cannot be insured against or that we believe are not economically reasonable to insure. Moreover, any loss incurred could exceed policy limits and policy payments made to us may not be made on a timely basis. Such losses could negatively affect our business prospects, results of operations, cash flows and financial condition. We do not know if our current levels of coverage are adequate or if we will be able to obtain insurance with adequate levels of coverage in the future, if at all. Any significant uninsured liability may require us to pay substantial amounts, which could negatively impact our financial position and results of operations.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fail to implement and maintain an effective system of internal control over financial reporting, we may be unable to accurately report our results of operations, meet our reporting obligations or prevent fraud, and investor confidence in our company and the market price of the ADSs may be negatively impacted.</w:t>
      </w:r>
    </w:p>
    <w:p>
      <w:pPr>
        <w:spacing w:after="0" w:line="172"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Section 404(a) of the Sarbanes-Oxley Act of 2002, or the Sarbanes-Oxley Act, requires that our management assess and report annually on the effectiveness of our internal controls over financial reporting and identify any material weaknesses in our internal controls over financial reporting. While we have not identified any material weaknesses in our internal controls over financial reporting as of June 30, 2021, and have remediated prior material weaknesses, if in the future, we fail to maintain effective internal controls, as such standards are modified, supplemented or amended from time to time, we may not be able to ensure that we can conclude on an ongoing basis that we have effective internal controls over financial reporting in accordance with Section 404(a).</w:t>
      </w:r>
    </w:p>
    <w:p>
      <w:pPr>
        <w:spacing w:after="0" w:line="151" w:lineRule="exact"/>
        <w:rPr>
          <w:sz w:val="20"/>
          <w:szCs w:val="20"/>
          <w:color w:val="auto"/>
        </w:rPr>
      </w:pPr>
    </w:p>
    <w:p>
      <w:pPr>
        <w:jc w:val="both"/>
        <w:ind w:firstLine="448"/>
        <w:spacing w:after="0" w:line="302" w:lineRule="auto"/>
        <w:rPr>
          <w:sz w:val="20"/>
          <w:szCs w:val="20"/>
          <w:color w:val="auto"/>
        </w:rPr>
      </w:pPr>
      <w:r>
        <w:rPr>
          <w:rFonts w:ascii="Arial" w:cs="Arial" w:eastAsia="Arial" w:hAnsi="Arial"/>
          <w:sz w:val="15"/>
          <w:szCs w:val="15"/>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53"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Nasdaq.</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Item 4.Information on the Company</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4A.</w:t>
      </w:r>
      <w:r>
        <w:rPr>
          <w:sz w:val="20"/>
          <w:szCs w:val="20"/>
          <w:color w:val="auto"/>
        </w:rPr>
        <w:tab/>
      </w:r>
      <w:r>
        <w:rPr>
          <w:rFonts w:ascii="Arial" w:cs="Arial" w:eastAsia="Arial" w:hAnsi="Arial"/>
          <w:sz w:val="15"/>
          <w:szCs w:val="15"/>
          <w:b w:val="1"/>
          <w:bCs w:val="1"/>
          <w:color w:val="auto"/>
        </w:rPr>
        <w:t>History and Development of Opthea Limited</w:t>
      </w:r>
    </w:p>
    <w:p>
      <w:pPr>
        <w:spacing w:after="0" w:line="226"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telephone number is +61 3 9826 0399. Our agent for service of process in the United States is Corporation Service Company, located at 1180 Avenue of the Americas, Suite 210, New York, NY 10036. Our website address is www.opthea.com. The reference to our website is an inactive textual reference only and information contained in, or that can be assessed through, our website is not part of this annual report. The SEC maintains a website (www.sec.gov) that contains reports, proxy and information statements and other information regarding registrants, such as us, that file electronically with the SEC.</w:t>
      </w:r>
    </w:p>
    <w:p>
      <w:pPr>
        <w:spacing w:after="0" w:line="14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4B.</w:t>
        <w:tab/>
        <w:t>Business Overview</w:t>
      </w:r>
    </w:p>
    <w:p>
      <w:pPr>
        <w:spacing w:after="0" w:line="226"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for ophthalmology,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17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Wet AMD is a rapidly progressing disease with loss of central vision developing over a period of weeks to months in which abnormal new blood vessels form in the back of the eye in a process called choroidal neovascularization, or CNV.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17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and aflibercept,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 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64" w:name="page65"/>
    <w:bookmarkEnd w:id="64"/>
    <w:p>
      <w:pPr>
        <w:jc w:val="both"/>
        <w:ind w:firstLine="448"/>
        <w:spacing w:after="0" w:line="262" w:lineRule="auto"/>
        <w:rPr>
          <w:sz w:val="20"/>
          <w:szCs w:val="20"/>
          <w:color w:val="auto"/>
        </w:rPr>
      </w:pPr>
      <w:r>
        <w:rPr>
          <w:rFonts w:ascii="Arial" w:cs="Arial" w:eastAsia="Arial" w:hAnsi="Arial"/>
          <w:sz w:val="17"/>
          <w:szCs w:val="17"/>
          <w:color w:val="auto"/>
        </w:rPr>
        <w:t>Despite the widespread use and commercial success of VEGF-A inhibitors, at least 45% of wet AMD patients treated with a VEGF-A inhibitor experience some degree of suboptimal clinical response, with a majority of patients failing to achieve 20/40 vision after 12 months of treatment, providing further opportunity for visual acuity improvement. Furthermore, many patients have persistent retinal fluid and insufficient gains in visual acuity to resume routine daily activities such as driving and reading following regular treatment with a VEGF-A inhibitor. In addition, improvements in visual acuity following regular administration of VEGF-A monotherapy are often not sustained with long-term use.</w:t>
      </w:r>
    </w:p>
    <w:p>
      <w:pPr>
        <w:spacing w:after="0" w:line="18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OPT-302 is designed to address a deficiency in the treatment paradigm for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OPT-302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81"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5"/>
          <w:szCs w:val="15"/>
          <w:color w:val="auto"/>
        </w:rPr>
        <w:t>In our completed Phase 2b wet AMD clinical trial, 2.0 mg OPT-302 in combination with ranibizumab demonstrated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OPT-302 in combination with 0.5 mg ranibizumab or 0.5 mg ranibizumab monotherapy. Treatments were administered by intravitreal injections once every four weeks for 20 weeks (six treatments in total). The primary endpoint was the mean change at week 24 in best corrected visual acuity, or BCVA, from baseline on the Early Treatment of Diabetic Retinopathy Study, or ETDRS, standardized eye chart, which we refer to as visual acuity. Patients treated with 2.0 mg OPT-302 combination therapy demonstrated a statistically significant improvement in visual acuity compared to patients treated with ranibizumab monotherapy. In the patients that received 2.0 mg OPT-302 combination therapy, visual acuity improved at week 24 from baseline by a mean of +14.2 letters compared to +10.8 letters for those treated with ranibizumab monotherapy, a statistically significant benefit of +3.4 letters. Patients that received 2.0 mg OPT-302 combination therapy also demonstrated improvements in retinal anatomy which were consistent with the visual acuity gains observed in the trial, including reductions in retinal fluid and lesion size by week 24. In a pre-specified subgroup analysis, greater activity of OPT-302 was observed in lesion types that are considered more difficult to treat with anti-VEGF-A therapy. Our clinical experience to date, which includes administration of over 1,800 doses of OPT-302 to 399 patients with retinal disease, indicates that OPT-302 intravitreal injections are well tolerated, with the incidence of treatment-emergent adverse events, or TEAEs, comparable to anti-VEGF-A monotherapy in our clinical trials.</w:t>
      </w:r>
    </w:p>
    <w:p>
      <w:pPr>
        <w:spacing w:after="0" w:line="161" w:lineRule="exact"/>
        <w:rPr>
          <w:sz w:val="20"/>
          <w:szCs w:val="20"/>
          <w:color w:val="auto"/>
        </w:rPr>
      </w:pPr>
    </w:p>
    <w:p>
      <w:pPr>
        <w:jc w:val="both"/>
        <w:ind w:firstLine="448"/>
        <w:spacing w:after="0" w:line="276" w:lineRule="auto"/>
        <w:rPr>
          <w:sz w:val="20"/>
          <w:szCs w:val="20"/>
          <w:color w:val="auto"/>
        </w:rPr>
      </w:pPr>
      <w:r>
        <w:rPr>
          <w:rFonts w:ascii="Arial" w:cs="Arial" w:eastAsia="Arial" w:hAnsi="Arial"/>
          <w:sz w:val="16"/>
          <w:szCs w:val="16"/>
          <w:color w:val="auto"/>
        </w:rPr>
        <w:t>In August 2020, we successfully completed End-of-Phase 2 meetings with the U.S. Food and Drug Administration (FDA), and a Scientific Advice meeting with the European Medicines Agency (EMA). The regulatory engagement provided us with guidance on our Phase 3 clinical program for OPT-302 in wet AMD and associated manufacturing processes that we believe will support the submission of a Biologics License Application in the U.S. and Marketing Authorization Application in Europe. Further regulatory milestones were achieved during the year, firstly with our successful application to the FDA for an initial Pediatric Study Plan (iPSP) waiver, which was received in March 2021. The receipt of the waiver means that we will not have to conduct an additional study of OPT-302 in the pediatric population for use of OPT-302 in this U.S. population. Furthermore, in July 2021, the FDA granted Fast Track designation for OPT-302 in combination with anti-VEGF-A therapy for the treatment of patients with wet AMD. We believe the FDA’s Fast Track designation acknowledges the significant unmet medical need in the management of wet AMD, and the potential role that OPT-302 may have in addressing it. The FDA’s Fast Track Designation for OPT-302 offers benefits to expedite the Phase 3 clinical program and subsequent potential approval process, including more frequent communication and meetings with the FDA, and a Rolling Review of completed sections of its BLA.</w:t>
      </w:r>
    </w:p>
    <w:p>
      <w:pPr>
        <w:spacing w:after="0" w:line="171"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 initiated two concurrent pivotal Phase 3 clinical trials for the treatment of wet AMD in March 2021. These double-masked, sham-controlled Phase 3 clinical trials enroll treatment-naive patients and assess the efficacy and safety of 2.0 mg of OPT-302 in combination with ranibizumab (Lucentis) (referred to as the ShORe trial) or aflibercept (Eylea) (referred to as the COAST trial), compared to ranibizumab or aflibercept monotherapy in each respective trial. In addition, to understand the durability of OPT-302 treatment effect with less frequent dosing, each trial will compare the clinical efficacy of OPT-302 administered in combination with the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5" w:name="page66"/>
    <w:bookmarkEnd w:id="65"/>
    <w:p>
      <w:pPr>
        <w:jc w:val="both"/>
        <w:spacing w:after="0" w:line="210" w:lineRule="exact"/>
        <w:rPr>
          <w:sz w:val="20"/>
          <w:szCs w:val="20"/>
          <w:color w:val="auto"/>
        </w:rPr>
      </w:pPr>
      <w:r>
        <w:rPr>
          <w:rFonts w:ascii="Arial" w:cs="Arial" w:eastAsia="Arial" w:hAnsi="Arial"/>
          <w:sz w:val="16"/>
          <w:szCs w:val="16"/>
          <w:color w:val="auto"/>
        </w:rPr>
        <w:t>VEGF-A inhibitor on an every four-week and every eight-week dosing regimen. 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The primary endpoint of both trials will be the mean change in visual acuity from baseline at week 52. Patients will continue to be dosed until week 96 to further assess long-term safety at week 100. Since the first patients were treated in our Phase 3 pivotal program in March 2021, we have continued to activate additional clinical trial sites and recruit patients in the U.S. In August 2021, the first sites opened enrollment in Canada, and in October 2021 the first sites opened enrollment in Europe and Asia Pacific. In total, we expect to enroll approximately 990 patients into each trial, with patients recruited from more than 20 countries worldwide, and to report top</w:t>
      </w:r>
      <w:r>
        <w:rPr>
          <w:rFonts w:ascii="MS PGothic" w:cs="MS PGothic" w:eastAsia="MS PGothic" w:hAnsi="MS PGothic"/>
          <w:sz w:val="16"/>
          <w:szCs w:val="16"/>
          <w:color w:val="auto"/>
        </w:rPr>
        <w:t>‑</w:t>
      </w:r>
      <w:r>
        <w:rPr>
          <w:rFonts w:ascii="Arial" w:cs="Arial" w:eastAsia="Arial" w:hAnsi="Arial"/>
          <w:sz w:val="16"/>
          <w:szCs w:val="16"/>
          <w:color w:val="auto"/>
        </w:rPr>
        <w:t>line data in the second half of calendar year 2023. If the results at the completion of the primary efficacy phase at week 52 of the Phase 3 clinical trials are favorable, we intend to submit Biologics License and Marketing Authorization Applications with the FDA and EMA respectively.</w:t>
      </w:r>
    </w:p>
    <w:p>
      <w:pPr>
        <w:spacing w:after="0" w:line="19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In addition to our pivotal Phase 3 clinical trials, we plan to develop a co-formulation of OPT-302 with an approved and/or biosimilar anti-VEGF-A therapy designed to achieve VEGF-A, VEGF-C and VEGF-D inhibition following the administration of a single intravitreal injection of the co-formulated product. OPT-302 is currently administered as a combination therapy consisting of a sequential injection of OPT-302 following intravitreal administration of a VEGF-A inhibitor. We believe that a co-formulated OPT-302 and VEGF-A inhibitor product could provide flexibility of treatment options for physicians and reduce the frequency and number of injections for patients. We intend to file an investigative new drug application, or IND, for the co-formulated product in a Phase 1 clinical trial for the treatment of wet AMD.</w:t>
      </w:r>
    </w:p>
    <w:p>
      <w:pPr>
        <w:spacing w:after="0" w:line="18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We are also investigating the therapeutic potential of OPT-302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OPT-302 also has the potential to deliver therapeutic benefit in DME patients. In our Phase 1b/2a clinical trial of OPT-302 in combination with aflibercept in patients with treatment-refractory DME, we observed evidence of improved clinical outcomes following OPT-302 combination therapy in this indication.</w:t>
      </w:r>
    </w:p>
    <w:p>
      <w:pPr>
        <w:spacing w:after="0" w:line="167"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 also believe that our novel treatment mechanism has the potential to provide therapeutic benefit for other progressive retinal diseases beyond wet AMD and DME. We may further investigate the efficacy of OPT-302 to improve clinical outcomes in patients with polypoidal choroidal vasculopathy, or PCV, a form of wet AMD that is highly prevalent in Asian populations and less responsive to anti-VEGF-A therapy than other wet AMD subtypes. Beyond wet AMD and DME, we may explore applications of OPT-302 in other retinal diseases in which a VEGF-C or VEGF-D inhibitor could have therapeutic potential, such as retinal vein occlusion, or RVO.</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22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We are a public company listed on the Australian Securities Exchange and Nasdaq. We have assembled a team of experts with deep scientific, clinical and business expertise in biotechnology and specifically in neovascular disease. Megan Baldwin, Ph.D., our Chief Executive Officer and Managing Director, has over 20 years of research and development and biopharmaceutical industry experience on neovascularization and therapeutic strategies in ophthalmic indications and cancer. Prior to joining our company, she was a postdoctoral research fellow and an associate market planning manager at Genentech, where she conducted angiogenesis research before joining the anti-angiogenic therapy commercial group. Karen Adams, our Vice President Finance and Company Secretary, was previously the Chief Financial Officer of the Victor Smorgon Group. She has over 20 years’ experience of financial management in board-level positions for private and listed companies in Australia, UK, the US and Ireland. We believe that the breadth of experience and successful track record of our senior management, combined with our established relationships with leaders in the industry and medical community, provide us with unique insights into biologic drug development for the treatment of neovascular disease.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Our Strategy</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goal is to become a leader in developing and commercializing therapeutics for the treatment of retinal diseases. The key elements of our strategy are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2" w:lineRule="exact"/>
        <w:rPr>
          <w:sz w:val="20"/>
          <w:szCs w:val="20"/>
          <w:color w:val="auto"/>
        </w:rPr>
      </w:pPr>
    </w:p>
    <w:p>
      <w:pPr>
        <w:jc w:val="both"/>
        <w:ind w:left="880" w:hanging="434"/>
        <w:spacing w:after="0" w:line="289"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Advance OPT-302 through two concurrent Phase 3 trials for the treatment of wet AMD</w:t>
      </w:r>
      <w:r>
        <w:rPr>
          <w:rFonts w:ascii="Arial" w:cs="Arial" w:eastAsia="Arial" w:hAnsi="Arial"/>
          <w:sz w:val="16"/>
          <w:szCs w:val="16"/>
          <w:color w:val="auto"/>
        </w:rPr>
        <w:t>. Based on the positive results of our Phase 2b trial in</w:t>
      </w:r>
      <w:r>
        <w:rPr>
          <w:rFonts w:ascii="Arial" w:cs="Arial" w:eastAsia="Arial" w:hAnsi="Arial"/>
          <w:sz w:val="16"/>
          <w:szCs w:val="16"/>
          <w:b w:val="1"/>
          <w:bCs w:val="1"/>
          <w:color w:val="auto"/>
        </w:rPr>
        <w:t xml:space="preserve"> </w:t>
      </w:r>
      <w:r>
        <w:rPr>
          <w:rFonts w:ascii="Arial" w:cs="Arial" w:eastAsia="Arial" w:hAnsi="Arial"/>
          <w:sz w:val="16"/>
          <w:szCs w:val="16"/>
          <w:color w:val="auto"/>
        </w:rPr>
        <w:t>wet AMD, we initiated two concurrent pivotal Phase 3 clinical trials in treatment-naive patients with wet AMD to evaluate the efficacy and safety of OPT-302 in combination with anti-VEGF-A therapy in March 2021. We expect to report top-line results in 2023. If these results are favorable, we plan to file for marketing approval for OPT-302 for the treatment of wet AMD in the United States, European Union and other territories.</w:t>
      </w:r>
    </w:p>
    <w:p>
      <w:pPr>
        <w:spacing w:after="0" w:line="153" w:lineRule="exact"/>
        <w:rPr>
          <w:rFonts w:ascii="Arial" w:cs="Arial" w:eastAsia="Arial" w:hAnsi="Arial"/>
          <w:sz w:val="16"/>
          <w:szCs w:val="16"/>
          <w:color w:val="auto"/>
        </w:rPr>
      </w:pPr>
    </w:p>
    <w:p>
      <w:pPr>
        <w:jc w:val="both"/>
        <w:ind w:left="880" w:hanging="434"/>
        <w:spacing w:after="0" w:line="262"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Optimize OPT-302 administration and develop a co-formulation to reduce injection burden for patients and provide treatment flexibility</w:t>
      </w:r>
      <w:r>
        <w:rPr>
          <w:rFonts w:ascii="Arial" w:cs="Arial" w:eastAsia="Arial" w:hAnsi="Arial"/>
          <w:sz w:val="17"/>
          <w:szCs w:val="17"/>
          <w:color w:val="auto"/>
        </w:rPr>
        <w:t>. Currently, OPT-302 is administered as an injection following intravitreal administration of a VEGF-A inhibitor. We plan to investigate</w:t>
      </w:r>
      <w:r>
        <w:rPr>
          <w:rFonts w:ascii="Arial" w:cs="Arial" w:eastAsia="Arial" w:hAnsi="Arial"/>
          <w:sz w:val="17"/>
          <w:szCs w:val="17"/>
          <w:b w:val="1"/>
          <w:bCs w:val="1"/>
          <w:color w:val="auto"/>
        </w:rPr>
        <w:t xml:space="preserve"> </w:t>
      </w:r>
      <w:r>
        <w:rPr>
          <w:rFonts w:ascii="Arial" w:cs="Arial" w:eastAsia="Arial" w:hAnsi="Arial"/>
          <w:sz w:val="17"/>
          <w:szCs w:val="17"/>
          <w:color w:val="auto"/>
        </w:rPr>
        <w:t>the efficacy and durability of less frequent administration of OPT-302 in clinical trials based on OPT-302’s pharmacokinetic profile, structural similarity to aflibercept and potential for improved and prolonged clinical efficacy over time. In addition, we plan to develop a co-formulation of OPT-302 with an approved and/or biosimilar anti-VEGF-A therapy to provide flexibility of treatment options for physicians and to reduce the frequency and number of injections for patients.</w:t>
      </w:r>
    </w:p>
    <w:p>
      <w:pPr>
        <w:spacing w:after="0" w:line="175" w:lineRule="exact"/>
        <w:rPr>
          <w:rFonts w:ascii="Arial" w:cs="Arial" w:eastAsia="Arial" w:hAnsi="Arial"/>
          <w:sz w:val="17"/>
          <w:szCs w:val="17"/>
          <w:color w:val="auto"/>
        </w:rPr>
      </w:pPr>
    </w:p>
    <w:p>
      <w:pPr>
        <w:jc w:val="both"/>
        <w:ind w:left="880" w:hanging="434"/>
        <w:spacing w:after="0" w:line="285"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Expand clinical development of OPT-302 in wet AMD, DME and other retinal diseases</w:t>
      </w:r>
      <w:r>
        <w:rPr>
          <w:rFonts w:ascii="Arial" w:cs="Arial" w:eastAsia="Arial" w:hAnsi="Arial"/>
          <w:sz w:val="16"/>
          <w:szCs w:val="16"/>
          <w:color w:val="auto"/>
        </w:rPr>
        <w:t>. Due to similarities in the underlying pathophysiology,</w:t>
      </w:r>
      <w:r>
        <w:rPr>
          <w:rFonts w:ascii="Arial" w:cs="Arial" w:eastAsia="Arial" w:hAnsi="Arial"/>
          <w:sz w:val="16"/>
          <w:szCs w:val="16"/>
          <w:b w:val="1"/>
          <w:bCs w:val="1"/>
          <w:color w:val="auto"/>
        </w:rPr>
        <w:t xml:space="preserve"> </w:t>
      </w:r>
      <w:r>
        <w:rPr>
          <w:rFonts w:ascii="Arial" w:cs="Arial" w:eastAsia="Arial" w:hAnsi="Arial"/>
          <w:sz w:val="16"/>
          <w:szCs w:val="16"/>
          <w:color w:val="auto"/>
        </w:rPr>
        <w:t>we anticipate that OPT-302 in combination with VEGF-A inhibitors may provide therapeutic benefit to patients with other neovascular ophthalmic diseases, such as DME. We reported positive data from a Phase 1b/2a trial of OPT-302 in combination with aflibercept for the treatment of DME, and we plan to continue further development in this indication. We also continue to explore the potential benefit of OPT-302 in PCV and other ocular diseases, such as RVO and DR, in which there is a strong scientific and clinical rationale.</w:t>
      </w:r>
    </w:p>
    <w:p>
      <w:pPr>
        <w:spacing w:after="0" w:line="155" w:lineRule="exact"/>
        <w:rPr>
          <w:rFonts w:ascii="Arial" w:cs="Arial" w:eastAsia="Arial" w:hAnsi="Arial"/>
          <w:sz w:val="16"/>
          <w:szCs w:val="16"/>
          <w:color w:val="auto"/>
        </w:rPr>
      </w:pPr>
    </w:p>
    <w:p>
      <w:pPr>
        <w:jc w:val="both"/>
        <w:ind w:left="880" w:hanging="434"/>
        <w:spacing w:after="0" w:line="267" w:lineRule="auto"/>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Maximize the commercial potential of OPT-302</w:t>
      </w:r>
      <w:r>
        <w:rPr>
          <w:rFonts w:ascii="Arial" w:cs="Arial" w:eastAsia="Arial" w:hAnsi="Arial"/>
          <w:sz w:val="17"/>
          <w:szCs w:val="17"/>
          <w:color w:val="auto"/>
        </w:rPr>
        <w:t>. We retain worldwide rights for the development and commercialization of OPT-302. If OPT-302</w:t>
      </w:r>
      <w:r>
        <w:rPr>
          <w:rFonts w:ascii="Arial" w:cs="Arial" w:eastAsia="Arial" w:hAnsi="Arial"/>
          <w:sz w:val="17"/>
          <w:szCs w:val="17"/>
          <w:b w:val="1"/>
          <w:bCs w:val="1"/>
          <w:color w:val="auto"/>
        </w:rPr>
        <w:t xml:space="preserve"> </w:t>
      </w:r>
      <w:r>
        <w:rPr>
          <w:rFonts w:ascii="Arial" w:cs="Arial" w:eastAsia="Arial" w:hAnsi="Arial"/>
          <w:sz w:val="17"/>
          <w:szCs w:val="17"/>
          <w:color w:val="auto"/>
        </w:rPr>
        <w:t>receives marketing approval in the United States and European Union for wet AMD or any other retinal indications we are pursuing, we intend to establish our own commercial organization in these key territories. We may also enter into collaborations where we believe there is an opportunity to accelerate the development and commercialization of OPT-302 in select territories.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Our Pipeline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stage of clinical development and status of our product candidate, OPT-302.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164465</wp:posOffset>
            </wp:positionV>
            <wp:extent cx="4959350" cy="2929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59350" cy="292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VEGFs in Ocular Diseases</w:t>
      </w:r>
    </w:p>
    <w:p>
      <w:pPr>
        <w:spacing w:after="0" w:line="226"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Multiple ophthalmic diseases and conditions, including wet AMD and DME, involve aberrant blood vessel formation and growth, as well as vascular permeability and resulting leakage that contributes to disease progression. In wet AMD, lesions consist of newly formed blood vessels that are typically fragile and leak, leading to the accumulation of fluid in the retinal tissue at the back of the eye. As shown in the figure below, if left untreated, this fluid can cause retinal swelling that disrupts the local architecture and function of sensory cells and neurons in the eye, resulting in vision loss. In patients with DME, high blood glucose levels drive physiological changes resulting in vascular permeability that also result in fluid accumulation, or edema, in the macula, the central region of the retina, and loss of visual acuity.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68" w:name="page69"/>
    <w:bookmarkEnd w:id="68"/>
    <w:p>
      <w:pPr>
        <w:jc w:val="both"/>
        <w:spacing w:after="0" w:line="293" w:lineRule="auto"/>
        <w:rPr>
          <w:sz w:val="20"/>
          <w:szCs w:val="20"/>
          <w:color w:val="auto"/>
        </w:rPr>
      </w:pPr>
      <w:r>
        <w:rPr>
          <w:rFonts w:ascii="Arial" w:cs="Arial" w:eastAsia="Arial" w:hAnsi="Arial"/>
          <w:sz w:val="17"/>
          <w:szCs w:val="17"/>
          <w:b w:val="1"/>
          <w:bCs w:val="1"/>
          <w:color w:val="auto"/>
        </w:rPr>
        <w:t>Neovascularization and Vascular Permeability are Key Hallmarks of a Number of Retinal Diseases, Leading to Lesion Formation, Edema and Distortion of the Retina Photoreceptor Layer Causing Loss of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121285</wp:posOffset>
            </wp:positionV>
            <wp:extent cx="4909820" cy="3457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09820" cy="345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Neovascularization and vascular permeability associated with retinal disease progression are driven by a family of related growth factors known as VEGFs. Members of the VEGF family, including VEGF-A, VEGF-C and VEGF-D, exert their activity by binding and activating VEGF receptors referred to as VEGFR-1, VEGFR-2, and VEGFR-3. Receptor activation triggers signaling pathways that lead to the development of new blood vessels, a process known as angiogenesis, as well as vascular permeability.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Members of the VEGF Family of Growth Factors Have Overlapping but Distinct Specificities for VEGFRs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6048375" cy="3176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48375" cy="317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hanging="436"/>
        <w:spacing w:after="0"/>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Lymphangiogenesis refers to the proliferation of lymphatic vessels from pre-existing lymphatic vessels.</w:t>
      </w:r>
    </w:p>
    <w:p>
      <w:pPr>
        <w:spacing w:after="0" w:line="220"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i w:val="1"/>
          <w:iCs w:val="1"/>
          <w:color w:val="auto"/>
        </w:rPr>
        <w:t>VEGF-A</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VEGF-A is the most well-characterized member of the VEGF family of growth factors and was the first to be targeted for therapeutic intervention. VEGF-A is a potent growth factor and its relevance in ophthalmic neovascularization has been well-established. Overexpression of VEGF-A in animal models has shown VEGF-A to be a causal factor in the development of neovascularization and vascular permeability, which are key hallmarks in the progression of wet AMD. In wet AMD patients, VEGF-A levels are shown to be elevated in the aqueous humor fluid of the eye. VEGF-A binds to VEGFR-1, which acts to regulate VEGF-A activity, and VEGFR-2, which is a key driver of neovascularization and vascular permeability. Several inhibitors of VEGF-A have been approved to treat a number of neovascular ocular diseases. The two leading ocular VEGF-A inhibitors by revenue, ranibizumab and aflibercept, had combined annual worldwide sales of over US$11.9 billion in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VEGF-C and VEGF-D</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VEGF-C and VEGF-D contribute to the development and persistence of neovascular diseases, as evidenced by their elevated levels in multiple pathological conditions. Both VEGF-C and VEGF-D can stimulate neovascularization and VEGF-C can induce permeability by binding to VEGFR-2, independent of VEGF-A activity. Additionally, VEGF-C and VEGF-D bind to VEGFR-3, a receptor that is not activated by VEGF-A, which confers biological activities to both VEGF-C and VEGF-D that are distinct from those of VEGF-A. Activation of VEGFR-3 can stimulate vascular proliferation and modulate vascular permeability, vascular leakage and edema formation. The receptor binding profiles and the distinct biological activities of VEGF-C and VEGF-D suggest that inhibiting VEGF-C and VEGF-D may have therapeutic potential in ocular diseases by acting independently of, and in tandem with, the activity of VEGF-A inhibitors.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Resistance to VEGF-A Therapies May be Driven by VEGF-C and VEGF-D</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Standard of care treatments for wet AMD and DME inhibit VEGF-A activation of its receptors that are typically expressed on vascular endothelium. This can lead to inhibition of blood vessel growth and leakage which can stabilize disease and improve clinical outcomes, including visual acuity, in patients with retinal eye conditions. However, not all patients fully respond to VEGF-A inhibition. A substantial proportion of patients with wet AMD and DME have further opportunity for visual acuity gain and/or a need for resolution of persistent retinal fluid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0" w:name="page71"/>
    <w:bookmarkEnd w:id="70"/>
    <w:p>
      <w:pPr>
        <w:jc w:val="both"/>
        <w:spacing w:after="0" w:line="270" w:lineRule="auto"/>
        <w:rPr>
          <w:sz w:val="20"/>
          <w:szCs w:val="20"/>
          <w:color w:val="auto"/>
        </w:rPr>
      </w:pPr>
      <w:r>
        <w:rPr>
          <w:rFonts w:ascii="Arial" w:cs="Arial" w:eastAsia="Arial" w:hAnsi="Arial"/>
          <w:sz w:val="17"/>
          <w:szCs w:val="17"/>
          <w:color w:val="auto"/>
        </w:rPr>
        <w:t>following anti-VEGF-A treatment. Furthermore, gains in visual acuity are often not sustained over the long term, even when anti-VEGF-A therapies are administered regularly. This resistance may occur as anti-VEGF-A monotherapies do not fully address the multifactorial pathogenesis of wet AMD and DME, including having no activity to block VEGF-C and VEGF-D.</w:t>
      </w:r>
    </w:p>
    <w:p>
      <w:pPr>
        <w:spacing w:after="0" w:line="17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VEGF-C and VEGF-D are implicated in the development of resistance to clinical use of anti-VEGF-A therapies. Levels of VEGF-C and/or VEGF-D have been observed to be upregulated in response to anti-VEGF-A therapies, most notably in patients with wet AMD. In a study conducted by third-party researchers in wet AMD patients, a 66% increase in the level of VEGF-C in the aqueous humor fluid in eyes was observed following two monthly doses of the VEGF-A inhibitor, bevacizumab (Avastin). This is illustrated in the figure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VEGF-C Levels are Increased in Aqueous Fluid of the Eye in Wet AMD Patients Treated with Monthly Intravitreal Bevacizumab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168275</wp:posOffset>
            </wp:positionV>
            <wp:extent cx="1856740" cy="1831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56740" cy="183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Study conducted by Cabral et al. (2018)</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Upregulation of VEGF-C and VEGF-D can continue to drive signaling through VEGFR-2, even in the presence of a VEGF-A inhibitor, as well as signal through VEGFR-3, both of which may contribute to ongoing angiogenesis and vascular permeability associated with persistent wet AMD. VEGF-C and VEGF-D mediated activation of VEGFR-2 and VEGFR-3, as well as their compensatory elevation following VEGF-A inhibition, may contribute to sub-optimal clinical response to anti-VEGF-A monotherapy. We believe OPT-302 in combination with a VEGF-A inhibitor can address a key mechanism of clinical sub-responsiveness to standard of care treatments for serious retinal eye diseases by broad blockade of the VEGF family of growth factors which is not achieved by anti-VEGF-A monotherapies.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OPT-302</w:t>
      </w:r>
    </w:p>
    <w:p>
      <w:pPr>
        <w:spacing w:after="0" w:line="22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We are developing our Phase 3-ready product candidate, OPT-302, a biologic designed to inhibit VEGF-C and VEGF-D, to complement existing VEGF-A inhibitors, for the treatment of ophthalmic diseases, including wet AMD and DME. Anti-VEGF-A therapies represent the standard of care for wet AMD and other retinal diseases. However, there remains a significant unmet need as many patients do not adequately respond to these treatments. As the only biologic inhibitor of VEGF-C and VEGF-D in clinical development for ophthalmology, OPT-302 differs from standard of care VEGF-A inhibitors, and in combination with a VEGF-A inhibitor, is designed to address the sub-optimal clinical responses of anti-VEGF-A monotherapies by achieving broader inhibition of the VEGF family to improve visual acuity over standard of care anti-VEGF-A monotherapies.</w:t>
      </w:r>
    </w:p>
    <w:p>
      <w:pPr>
        <w:spacing w:after="0" w:line="18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In 2019, we completed a 366-patient Phase 2b clinical trial of OPT-302 in combination with ranibizumab for the treatment of wet AMD, which met the primary endpoint of a statistically significant superior mean gain in visual acuity over ranibizumab monotherapy at week 24. We initiated two pivotal Phase 3 clinical trials in treatment-naive patients with wet AMD to evaluate the efficacy and safety of OPT-302 in combination with anti-VEGF-A therapy compared to a standard of care monotherapy in March, 2021. We initiated these two pivotal Phase 3 clinical trials in treatment-naive patients with wet AMD to evaluate the efficacy and safety of OPT-302 in combination with anti-VEGF-A therapy compared to anti-VEGF-A monotherapy. We expect to report topline data from these Phase 3 clinical trials in 2023. In addition, in our Phase 1b/2a clinical trial of OPT-302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71" w:name="page72"/>
    <w:bookmarkEnd w:id="71"/>
    <w:p>
      <w:pPr>
        <w:jc w:val="both"/>
        <w:spacing w:after="0" w:line="322" w:lineRule="auto"/>
        <w:rPr>
          <w:sz w:val="20"/>
          <w:szCs w:val="20"/>
          <w:color w:val="auto"/>
        </w:rPr>
      </w:pPr>
      <w:r>
        <w:rPr>
          <w:rFonts w:ascii="Arial" w:cs="Arial" w:eastAsia="Arial" w:hAnsi="Arial"/>
          <w:sz w:val="15"/>
          <w:szCs w:val="15"/>
          <w:color w:val="auto"/>
        </w:rPr>
        <w:t>combination with aflibercept for the treatment of persistent DME, we observed evidence of clinical activity and improvements in visual acuity outcomes compared to aflibercept monotherapy. OPT-302 was observed to be well tolerated across Phase 1 and Phase 2 clinical studies in two disease indications following intravitreal administration of over 1,800 doses of OPT-302 to 399 patients either as monotherapy or in combination with standard of care VEGF-A inhibitors.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OPT-302 Mechanism of Action</w:t>
      </w:r>
    </w:p>
    <w:p>
      <w:pPr>
        <w:spacing w:after="0" w:line="220" w:lineRule="exact"/>
        <w:rPr>
          <w:sz w:val="20"/>
          <w:szCs w:val="20"/>
          <w:color w:val="auto"/>
        </w:rPr>
      </w:pPr>
    </w:p>
    <w:p>
      <w:pPr>
        <w:jc w:val="both"/>
        <w:ind w:firstLine="448"/>
        <w:spacing w:after="0" w:line="257" w:lineRule="auto"/>
        <w:rPr>
          <w:sz w:val="20"/>
          <w:szCs w:val="20"/>
          <w:color w:val="auto"/>
        </w:rPr>
      </w:pPr>
      <w:r>
        <w:rPr>
          <w:rFonts w:ascii="Arial" w:cs="Arial" w:eastAsia="Arial" w:hAnsi="Arial"/>
          <w:sz w:val="17"/>
          <w:szCs w:val="17"/>
          <w:color w:val="auto"/>
        </w:rPr>
        <w:t>We have designed OPT-302 to function as a ligand trap, capable of binding and sequestering VEGF-C and VEGF-D, thereby preventing these growth factors from activating VEGFR-2 and VEGFR-3. OPT-302 is comprised of the first three extracellular domains of human VEGFR-3, fused to the Fc domain, or the constant fragment of human immunoglobulin G</w:t>
      </w:r>
      <w:r>
        <w:rPr>
          <w:rFonts w:ascii="Arial" w:cs="Arial" w:eastAsia="Arial" w:hAnsi="Arial"/>
          <w:sz w:val="14"/>
          <w:szCs w:val="14"/>
          <w:color w:val="auto"/>
        </w:rPr>
        <w:t>1</w:t>
      </w:r>
      <w:r>
        <w:rPr>
          <w:rFonts w:ascii="Arial" w:cs="Arial" w:eastAsia="Arial" w:hAnsi="Arial"/>
          <w:sz w:val="17"/>
          <w:szCs w:val="17"/>
          <w:color w:val="auto"/>
        </w:rPr>
        <w:t>, or IgG</w:t>
      </w:r>
      <w:r>
        <w:rPr>
          <w:rFonts w:ascii="Arial" w:cs="Arial" w:eastAsia="Arial" w:hAnsi="Arial"/>
          <w:sz w:val="14"/>
          <w:szCs w:val="14"/>
          <w:color w:val="auto"/>
        </w:rPr>
        <w:t>1</w:t>
      </w:r>
      <w:r>
        <w:rPr>
          <w:rFonts w:ascii="Arial" w:cs="Arial" w:eastAsia="Arial" w:hAnsi="Arial"/>
          <w:sz w:val="17"/>
          <w:szCs w:val="17"/>
          <w:color w:val="auto"/>
        </w:rPr>
        <w:t>, as illustrated in the figure below. VEGF-C and VEGF-D function independent of, but in parallel with, VEGF-A to drive neovascularization and vascular leakage, key hallmarks of both wet AMD and DME. In addition, treatment with VEGF-A inhibitors leads to upregulation of VEGF-C and VEGF-D to compensate for VEGF-A inhibition, which may represent an important mechanism of clinical resistance to VEGF-A monotherapy.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Structure of OPT-302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156210</wp:posOffset>
            </wp:positionV>
            <wp:extent cx="3292475" cy="17824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92475" cy="178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Ligand trap therapeutics that include the receptor-binding domains for other ligands have been approved for a number of indications. One such agent is aflibercept, marketed as Eylea, a ligand trap consisting of extracellular domains of VEGFR-1 and VEGFR-2, which primarily mediates its activity by binding and inhibiting VEGF-A. Aflibercept has marketing approval for the treatment of wet AMD, DME, macular edema secondary to RVO and DR. In rabbits, OPT-302 has been shown to have a comparable ocular biodistribution and intravitreal pharmacokinetic profile as aflibercept, with low systemic exposure.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Wet AMD</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AMD is a chronic, progressive disease of the macula, a part of the retina containing the greatest concentration of light-sensing cells responsible for detailed, high visual acuity and central vision. The development of AMD is strongly associated with age, affecting up to 40% of individuals over the age of 75. There are two forms of AMD, dry AMD and wet AMD. Dry AMD is the most common form, representing approximately 85% to 90% of all AMD cases. However, dry AMD can develop into wet AMD, and wet AMD accounts for 90% of the severe vision loss associated with the disease.</w:t>
      </w:r>
    </w:p>
    <w:p>
      <w:pPr>
        <w:spacing w:after="0" w:line="17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Wet AMD is a rapidly progressing disease with loss of central vision developing over a period of weeks to months, and is the leading cause of vision loss for individuals over the age of 50. The most common symptoms of wet AMD are loss of central vision, distortion of objects or blurred vision. Peripheral vision usually remains intact. The disease typically affects patients initially in one eye, with a high likelihood of it occurring in the second eye over time. If left untreated, wet AMD can lead to rapid loss of visual acuity and blindness, adversely impacting the patient’s ability to conduct daily activities, such as driving and reading.</w:t>
      </w:r>
    </w:p>
    <w:p>
      <w:pPr>
        <w:spacing w:after="0" w:line="18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Wet AMD occurs when new blood vessels in the choroid, or the vascular layer in the eye just under the retina, intrude into the retinal layers and leak fluid. The formation of these new blood vessels is referred to as CNV. These newly formed vessels are highly permeable, which can lead to fluid accumulation and adversely affect sensory cells in the retina.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72" w:name="page73"/>
    <w:bookmarkEnd w:id="72"/>
    <w:p>
      <w:pPr>
        <w:jc w:val="both"/>
        <w:ind w:firstLine="448"/>
        <w:spacing w:after="0" w:line="262" w:lineRule="auto"/>
        <w:rPr>
          <w:sz w:val="20"/>
          <w:szCs w:val="20"/>
          <w:color w:val="auto"/>
        </w:rPr>
      </w:pPr>
      <w:r>
        <w:rPr>
          <w:rFonts w:ascii="Arial" w:cs="Arial" w:eastAsia="Arial" w:hAnsi="Arial"/>
          <w:sz w:val="17"/>
          <w:szCs w:val="17"/>
          <w:color w:val="auto"/>
        </w:rPr>
        <w:t>Wet AMD can be classified as occult or classic, based on the neovascular pattern within lesions. In occult lesions, all of the blood vessels are below the retinal pigment epithelium, or RPE, and the areas on angiograms have a stippled appearance. Classic lesions, by contrast, appear as well-demarcated areas on angiograms due to neovascular blood vessels being located above the RPE. Classic lesions are further subdivided into predominantly classic if 50% or more of the blood vessels are above the RPE, and minimally classic, if greater than 0% and less than 50% of the blood vessels are above the RPE. Classic-containing lesions tend to be the most responsive to anti-VEGF-A therapies.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Classifications of Wet AMD Based on Neovascular Lesion Pattern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168275</wp:posOffset>
            </wp:positionV>
            <wp:extent cx="4662170" cy="14770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62170" cy="147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There is a further sub-type of wet AMD lesion referred to as retinal angiomatous proliferation, or RAP. RAP lesions are a type of CNV in which neovascularization in the retina protrudes into the sub-retinal space and connects to the choroidal circulation. Between 10% and 21% of wet AMD patients have RAP lesions which are more commonly found in older Caucasian patients. Although there are no therapies specifically approved to treat RAP lesions, patients are typically treated with VEGF-A inhibitors.</w:t>
      </w:r>
    </w:p>
    <w:p>
      <w:pPr>
        <w:spacing w:after="0" w:line="17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PCV is a further sub-type of wet AMD. PCV is an abnormality of inner choroidal vessels that causes dilations in the blood vessels in the retina that resemble polyps, known as polypoidal protrusions. PCV typically does not respond well to VEGF-A inhibitor therapies and many patients are diagnosed with PCV only after they fail to respond to these therapies. There is a high prevalence of PCV in Asian countries, with between 23% and 54% of patients with presumed cases of wet AMD in Japan having PCV. Prevalence rates of between 4% and 10% have been reported in Caucasian patients with presumed cases of wet AMD.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Treatments for Wet AMD and Their Limitations</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There are four VEGF-A inhibitors approved by the Food and Drug Administration, or FDA, for the treatment of wet AMD, all of which are administered by regular intravitreal injections as monotherapy. These VEGF-A inhibitors include: the VEGF-A specific antibody ranibizumab, the antibody fragment brolucizumab (Beovu) and the VEGFR-based ligand trap aflibercept. The VEGF-A antibody, bevacizumab, an FDA approved therapy for colorectal and other cancers, is also used off-label by many physicians to treat wet AMD, comprising approximately 46% of anti-VEGF-A injections administered globally. In addition, pegaptanib sodium (Macugen) is an aptamer or antibody-like RNA construct that inhibits VEGF-A but is now infrequently administered following the approval of biologic VEGF-A inhibitors. Recent clinical development has focused on maintaining vision gains with a VEGF-A inhibitor whilst reducing the number of injections.</w:t>
      </w:r>
    </w:p>
    <w:p>
      <w:pPr>
        <w:spacing w:after="0" w:line="181"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VEGF-A inhibitors stabilize loss vision in over 90% of wet AMD patients. However, the effectiveness of these therapies in many patients is limited. Improvements of ≥15 letters of visual acuity typically occur in less than 40% of treated patients. In addition, despite regular treatment with a VEGF-A inhibitor, many patients have insufficient gains in visual acuity to resume routine daily activities such as driving and reading. Chronic vision loss can also occur despite ongoing treatment with an anti-VEGF-A inhibitor. Retrospective and prospective analyses of patients treated with VEGF-A inhibitor therapies for five years have found that, after initial gains in visual function following one year of treatment, many patients then had a gradual decline in visual acuity in subsequent years, resulting in the eventual reversal of the majority of gains. In addition, in clinical settings, up to two-thirds of patients treated with VEGF-A inhibitor therapies continue to have retinal fluid following treatment and approximately 25% experience further vision loss 12 months following treatment. Treatment options are limited for patients who do not respond adequately or experience visual decline despite ongoing therapy with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73" w:name="page74"/>
    <w:bookmarkEnd w:id="73"/>
    <w:p>
      <w:pPr>
        <w:jc w:val="both"/>
        <w:spacing w:after="0" w:line="285" w:lineRule="auto"/>
        <w:rPr>
          <w:sz w:val="20"/>
          <w:szCs w:val="20"/>
          <w:color w:val="auto"/>
        </w:rPr>
      </w:pPr>
      <w:r>
        <w:rPr>
          <w:rFonts w:ascii="Arial" w:cs="Arial" w:eastAsia="Arial" w:hAnsi="Arial"/>
          <w:sz w:val="17"/>
          <w:szCs w:val="17"/>
          <w:color w:val="auto"/>
        </w:rPr>
        <w:t>standard of care VEGF-A inhibitors, and typically involve switching treatment from one anti-VEGF-A monotherapy to another with minimal additional visual benefit achieved.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Opportunity for the Treatment of Wet AMD</w:t>
      </w:r>
    </w:p>
    <w:p>
      <w:pPr>
        <w:spacing w:after="0" w:line="220" w:lineRule="exact"/>
        <w:rPr>
          <w:sz w:val="20"/>
          <w:szCs w:val="20"/>
          <w:color w:val="auto"/>
        </w:rPr>
      </w:pPr>
    </w:p>
    <w:p>
      <w:pPr>
        <w:jc w:val="both"/>
        <w:ind w:firstLine="448"/>
        <w:spacing w:after="0" w:line="302" w:lineRule="auto"/>
        <w:rPr>
          <w:sz w:val="20"/>
          <w:szCs w:val="20"/>
          <w:color w:val="auto"/>
        </w:rPr>
      </w:pPr>
      <w:r>
        <w:rPr>
          <w:rFonts w:ascii="Arial" w:cs="Arial" w:eastAsia="Arial" w:hAnsi="Arial"/>
          <w:sz w:val="15"/>
          <w:szCs w:val="15"/>
          <w:color w:val="auto"/>
        </w:rPr>
        <w:t>Wet AMD affects approximately 1 million people in the United States and 2.5 million in Europe.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 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53"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believe that OPT-302, used in combination with standard of care VEGF-A inhibitors, can address the significant unmet need for wet AMD patients by providing improved outcomes over that which can be achieved by inhibiting VEGF-A alone.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1/2a Clinical Trial Results in Wet AMD</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In 2017, we completed a Phase 1/2a clinical trial of OPT-302 in wet AMD patients under an investigational new drug, or IND, application accepted by the FDA in 2015. The trial was divided into two parts. Part 1 was a Phase 1 first-in-human 20-patient dose-escalation study in which OPT-302 was administered at three escalating doses (0.3 mg, 1.0 mg or 2.0 mg), either in combination with 0.5 mg ranibizumab or alone as a 2.0 mg monotherapy, once every four weeks for a total of three doses, with a follow-up visit at week 12. Part 2 was a Phase 2a 31-patient dose-expansion trial in which 2.0 mg OPT-302 was administered in combination with ranibizumab or as a monotherapy once every four weeks for a total of three doses, with a follow-up visit at week 12. Of the 51 patients dosed, 49% were treatment naive and 51% were previously treated with anti-VEGF-A therapy. The previously-treated patients had received an average of 17 prior treatments, equating to prior treatment over an average of 1.3 years, of an intravitreal VEGF-A inhibitor prior to enrolling in the trial. The Phase 1/2a trial was conducted at 14 trial sites in the United States.</w:t>
      </w:r>
    </w:p>
    <w:p>
      <w:pPr>
        <w:spacing w:after="0" w:line="184"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OPT-302 was well tolerated up to the highest dose tested both in combination with ranibizumab and as a monotherapy. No dose-limiting toxicities, or DLTs, were observed and the maximum tolerated dose, or MTD, was not reached. There were no treatment-related serious adverse events, or SAEs. The most common TEAEs were conjunctival hemorrhage, eye pain and corneal inflammation mainly related to the intravitreal injection procedure. TEAEs did not lead to permanent discontinuation of the study for any patient. The pharmacokinetic profile of OPT-302 was similar in the absence or presence of ranibizumab, and there was no evidence of OPT-302 immunogenicity in this clinical trial.</w:t>
      </w:r>
    </w:p>
    <w:p>
      <w:pPr>
        <w:spacing w:after="0" w:line="18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Although the focus of this trial was safety, we also observed preliminary signals of clinical benefit. Improvements in visual acuity were observed in treatment-naive patients as well as patients previously treated with anti-VEGF-A therapy, as measured by the number of letters that could be read on a standard eye chart following OPT-302 monotherapy and OPT-302 combination therapy. As illustrated in the figure below, after 12 weeks, in patients across all dose groups, the mean change in visual acuity from baseline increased by +10.8 letters in treatment-naive patients and +4.9 letters in previously treated patients who received OPT-302 combination therapy.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74" w:name="page75"/>
    <w:bookmarkEnd w:id="74"/>
    <w:p>
      <w:pPr>
        <w:jc w:val="both"/>
        <w:spacing w:after="0" w:line="293" w:lineRule="auto"/>
        <w:rPr>
          <w:sz w:val="20"/>
          <w:szCs w:val="20"/>
          <w:color w:val="auto"/>
        </w:rPr>
      </w:pPr>
      <w:r>
        <w:rPr>
          <w:rFonts w:ascii="Arial" w:cs="Arial" w:eastAsia="Arial" w:hAnsi="Arial"/>
          <w:sz w:val="17"/>
          <w:szCs w:val="17"/>
          <w:b w:val="1"/>
          <w:bCs w:val="1"/>
          <w:color w:val="auto"/>
        </w:rPr>
        <w:t>Mean Change in Visual Acuity from Baseline to Week 12 in Treatment-Naive and Previously-Treated Wet AMD Patients Administered OPT-302 in Combination with Ranibizumab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104775</wp:posOffset>
            </wp:positionV>
            <wp:extent cx="2813685" cy="2087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13685" cy="208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 addition, improvements in visual acuity following treatment with OPT-302 combination therapy were consistent with anatomical outcomes, such as reductions in intraretinal and subretinal fluid. Retinal thickness, which is assessed by spectral domain optical coherence tomography, or SD-OCT, using a standard criterion called central subfield thickness, or CST, was also reduced following OPT-302 combination therapy.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2b Clinical Trial Results in Wet AMD</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Based on the positive results of the Phase 1/2a trial, we completed an international, multi-center, double-masked Phase 2b clinical trial of OPT-302 in combination with ranibizumab in a total of 366 treatment-naive patients in August 2019. As illustrated in the figure below, patients were randomized into three groups to receive either 0.5 mg or 2.0 mg OPT-302 with 0.5 mg ranibizumab or ranibizumab monotherapy, which included a sham injection. A sham intravitreal injection involves pressing a syringe hub against the surface of the eye to mimic an intravitreal injection so that the patient remains masked to the treatment group to which they have been randomized. Administration was by intravitreal injection once every four weeks for 20 weeks (six treatments in total). The primary endpoint of the clinical trial was the mean change in BCVA from baseline on the ETDRS standardized eye chart at week 24. Secondary outcome measures included the proportion of patients gaining ³15 letters in BCVA, changes in retinal thickness, change in intraretinal and subretinal fluid and proportion of patients losing ³15 letters in BCVA.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Design of the Phase 2b Clinical Trial of OPT-302 with Ranibizumab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168275</wp:posOffset>
            </wp:positionV>
            <wp:extent cx="4612640" cy="13284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1264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As illustrated in the figure below, 366 treatment-naive patients were randomized 1:1:1 to each of the three treatment groups. We used data from the 362 patients who had a baseline assessment of their visual acuity and completed at least one post-dose visit as the modified intent to treat population, or mITT, in all analyses. Key inclusion criteria for patients in the trial included CNV classified as either occult, minimally classic or predominantly classic, and BCVA on the ETDRS standardized eye chart of ≥25 and ≥60 letters. The Phase 2b trial was conducted at 109 trial sites in the United States, Europe, Israel and the United Kingdom.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Patient Distribution in the Phase 2b Clinical Trial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168275</wp:posOffset>
            </wp:positionV>
            <wp:extent cx="4959350" cy="29044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59350" cy="290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Q4W refers to administration every four weeks. IVT refers to administration by intravitreal injection.</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presentations of statistical results in this annual report, a p-value is a measure of statistical significance of the observed results, or the probability that the observed results were achieved purely by chance. By convention, a p-value of 0.05 or lower is commonly considered statistically significant. The FDA and comparable non-U.S. regulatory authorities utilize the reported statistical measures when evaluating the results of a clinical trial, including statistical significance as measured by p-value, to evaluate the reported evidence of a drug product’s safety and efficacy.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Improvements in Visual Acuity</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The Phase 2b clinical trial met the primary endpoint, demonstrating a statistically significant superior mean gain in visual acuity at week 24 compared to baseline in the 2.0 mg OPT-302 combination therapy group compared to the ranibizumab monotherapy group. The figure below illustrates patients in the 2.0 mg OPT-302 combination therapy group had a mean visual acuity improvement of +14.22 letters relative to baseline, compared to +10.84 letters for those treated with ranibizumab monotherapy at week 24 (p=0.0107). This represents a statistically significant benefit of +3.4 letters and a greater than 30% relative improvement in vision outcomes in the OPT-302 combination group compared to ranibizumab monotherapy. Evidence of improved visual acuity was observed beginning as early as week 8 and continued throughout the course of the trial to week 24. Mean visual acuity in the lower dose 0.5 mg OPT-302 combination therapy group was not significantly different from the ranibizumab monotherapy group. However, evidence of a dose response was observed between the 2.0 mg and 0.5 mg OPT-302 combination therapy groups on several anatomical outcomes, such as retinal thickness and the proportion of patients with intraretinal and subretinal fluid at week 24.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6" w:name="page77"/>
    <w:bookmarkEnd w:id="76"/>
    <w:p>
      <w:pPr>
        <w:jc w:val="both"/>
        <w:spacing w:after="0" w:line="293" w:lineRule="auto"/>
        <w:rPr>
          <w:sz w:val="20"/>
          <w:szCs w:val="20"/>
          <w:color w:val="auto"/>
        </w:rPr>
      </w:pPr>
      <w:r>
        <w:rPr>
          <w:rFonts w:ascii="Arial" w:cs="Arial" w:eastAsia="Arial" w:hAnsi="Arial"/>
          <w:sz w:val="17"/>
          <w:szCs w:val="17"/>
          <w:b w:val="1"/>
          <w:bCs w:val="1"/>
          <w:color w:val="auto"/>
        </w:rPr>
        <w:t>Mean Change in Visual Acuity from Baseline to Week 24 in Treatment-Naive Wet AMD Patients Administered Ranibizumab Monotherapy or OPT-302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121285</wp:posOffset>
            </wp:positionV>
            <wp:extent cx="4959350" cy="2450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59350" cy="245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Error bars shown in all figures represent the SEM, or the standard error of the mean.</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Secondary outcome measurements from the trial were also supportive of the primary endpoint. As illustrated in the figure below, we observed a greater proportion of patients gaining ≥15, ≥10 and ≥5 letters in the 2.0 mg OPT-302 combination therapy group compared to the ranibizumab monotherapy group. In addition, the proportion of patients losing ≥15, ≥10 and ≥5 letters was lower in the 2.0 mg OPT-302 combination therapy group compared to the ranibizumab monotherapy group. The Phase 2b trial was not designed for statistical significance on secondary and exploratory endpoints and was not powered to detect statistically significant differences in secondary outcome measurements.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jc w:val="both"/>
        <w:spacing w:after="0" w:line="293" w:lineRule="auto"/>
        <w:rPr>
          <w:sz w:val="20"/>
          <w:szCs w:val="20"/>
          <w:color w:val="auto"/>
        </w:rPr>
      </w:pPr>
      <w:r>
        <w:rPr>
          <w:rFonts w:ascii="Arial" w:cs="Arial" w:eastAsia="Arial" w:hAnsi="Arial"/>
          <w:sz w:val="17"/>
          <w:szCs w:val="17"/>
          <w:b w:val="1"/>
          <w:bCs w:val="1"/>
          <w:color w:val="auto"/>
        </w:rPr>
        <w:t>Greater Proportion of Patients Gaining, and Fewer Patients Losing, ≥15, ≥10 and ≥5 Letters with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121285</wp:posOffset>
            </wp:positionV>
            <wp:extent cx="3902710" cy="3333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02710" cy="333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Reductions in Retinal Thickness and Fluid</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addition to the statistically significant improvement in visual acuity, treatment with OPT-302 combination therapy led to greater reductions in retinal thickness. The reductions in retinal thickness in patients is consistent with less fluid accumulation in the retina and reduced disease severity as increased fluid accumulation in the retina is associated with the loss of visual acuity in wet AMD patients. The figure below depicts the greater mean reduction in retinal thickness in the OPT-302 combination therapy group compared to the ranibizumab monotherapy group at week 24.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Greater Reduction in Retinal Thickness from Baseline to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175260</wp:posOffset>
            </wp:positionV>
            <wp:extent cx="2788920" cy="23431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88920"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Fewer patients in the OPT-302 combination therapy group had subretinal fluid and intraretinal fluid present compared to the ranibizumab monotherapy group. The presence of subretinal fluid is a hallmark of wet AMD and its resolution is referred to as “drying” of the retina while intraretinal fluid is a prognostic biomarker for poor visual acuity and sub-optimal response to anti-VEGF-A therapies. As illustrated in the figure below, there were approximately 10% fewer patients with subretinal fluid and 5% fewer patients with intraretinal fluid following administration of OPT-302 combination therapy compared to ranibizumab monotherapy.</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Fewer Patients with Subretinal and Intraretinal Fluid Present at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121285</wp:posOffset>
            </wp:positionV>
            <wp:extent cx="3366770" cy="24999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6770" cy="249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48"/>
        <w:spacing w:after="0" w:line="322" w:lineRule="auto"/>
        <w:rPr>
          <w:sz w:val="20"/>
          <w:szCs w:val="20"/>
          <w:color w:val="auto"/>
        </w:rPr>
      </w:pPr>
      <w:r>
        <w:rPr>
          <w:rFonts w:ascii="Arial" w:cs="Arial" w:eastAsia="Arial" w:hAnsi="Arial"/>
          <w:sz w:val="15"/>
          <w:szCs w:val="15"/>
          <w:color w:val="auto"/>
        </w:rPr>
        <w:t>Greater improvements in anatomical indicators of disease severity, including on exploratory endpoints of mean reduction in total lesion area and CNV area, were observed in the OPT-302 combination therapy group compared to ranibizumab monotherapy. As illustrated in the figure below, the patients treated with OPT-302 combination therapy had an approximately 39% further reduction in both total lesion area and CNV area compared to ranibizumab monotherapy.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9" w:name="page80"/>
    <w:bookmarkEnd w:id="79"/>
    <w:p>
      <w:pPr>
        <w:jc w:val="both"/>
        <w:spacing w:after="0" w:line="293" w:lineRule="auto"/>
        <w:rPr>
          <w:sz w:val="20"/>
          <w:szCs w:val="20"/>
          <w:color w:val="auto"/>
        </w:rPr>
      </w:pPr>
      <w:r>
        <w:rPr>
          <w:rFonts w:ascii="Arial" w:cs="Arial" w:eastAsia="Arial" w:hAnsi="Arial"/>
          <w:sz w:val="17"/>
          <w:szCs w:val="17"/>
          <w:b w:val="1"/>
          <w:bCs w:val="1"/>
          <w:color w:val="auto"/>
        </w:rPr>
        <w:t>Greater Reduction in Total Lesion Area and CNV Area from Baseline to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121285</wp:posOffset>
            </wp:positionV>
            <wp:extent cx="3688080" cy="24174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8808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Improved Therapeutic Outcomes in Wet AMD Lesion Subtypes</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 number of pre-specified subgroup and exploratory analyses were incorporated into the Phase 2b trial design in order to identify those wet AMD patients who may respond best to OPT-302. The Phase 2b trial randomized patients with a broad range of lesion morphologies including occult, minimally classic and predominantly classic lesions. In addition, the Phase 2b trial investigated efficacy in post-hoc analyses in other wet AMD subtypes, including PCV and RAP. This trial was not designed for statistical significance on these subgroup and exploratory analyses and was not powered to detect statistically significant differences in related measurements.</w:t>
      </w:r>
    </w:p>
    <w:p>
      <w:pPr>
        <w:spacing w:after="0" w:line="18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Patients enrolled in our Phase 2b trial consisted of 44% occult, 43% minimally classic and 13% predominantly classic lesion types, which is similar to the distribution reported in treatment-naive wet AMD patients. Predominantly classic patients typically respond well to VEGF-A inhibitor therapy and an additive benefit of OPT-302 combination therapy could not be discerned in this small patient group of only 15 patients per treatment arm. The majority of patients randomized in the Phase 2b trial had occult or minimally classic lesions. These patients did not respond as well to ranibizumab monotherapy as those with predominantly classic lesions. Patients with occult and minimally classic lesions treated with OPT-302 combination therapy experienced improvement in visual acuity beginning at week 8 and persisting through week 24 compared to ranibizumab monotherapy. The figure below illustrates the mean change in visual acuity over 24 weeks in each of the lesion classifications treated with OPT-302 combination therapy compared to ranibizumab monotherapy.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0" w:name="page81"/>
    <w:bookmarkEnd w:id="80"/>
    <w:p>
      <w:pPr>
        <w:jc w:val="both"/>
        <w:spacing w:after="0" w:line="293" w:lineRule="auto"/>
        <w:rPr>
          <w:sz w:val="20"/>
          <w:szCs w:val="20"/>
          <w:color w:val="auto"/>
        </w:rPr>
      </w:pPr>
      <w:r>
        <w:rPr>
          <w:rFonts w:ascii="Arial" w:cs="Arial" w:eastAsia="Arial" w:hAnsi="Arial"/>
          <w:sz w:val="17"/>
          <w:szCs w:val="17"/>
          <w:b w:val="1"/>
          <w:bCs w:val="1"/>
          <w:color w:val="auto"/>
        </w:rPr>
        <w:t>Mean Change in Visual Acuity from Baseline to Week 24 in Wet AMD Lesion Types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121285</wp:posOffset>
            </wp:positionV>
            <wp:extent cx="4959350" cy="17246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59350" cy="172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a post-hoc analysis, in the occult lesion subgroup, the mean visual acuity gain from baseline to week 24 in the OPT-302 combination therapy group was +16.2 letters (n=53), compared to +10.2 letters in the ranibizumab monotherapy group (n=51), a benefit of +6.0 letters. In addition, in the minimally classic subgroup, the mean visual acuity gain from baseline to week 24 in the OPT-302 combination therapy group was +13.7 letters (n=53), compared to +11.1 letters in the ranibizumab monotherapy group (n=53), a benefit of +2.7 letters.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Gains in Visual Acuity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121285</wp:posOffset>
            </wp:positionV>
            <wp:extent cx="3993515" cy="2516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93515" cy="251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particular, in the occult lesion subgroup, we observed a greater proportion of patients gaining ≥15 and ≥10 letters in the OPT-302 combination therapy group compared to the ranibizumab monotherapy group (approximately 22% and 19% over ranibizumab monotherapy, respectively). In the minimally classic subgroup, we observed a greater proportion of patients (approximately 10% over ranibizumab monotherapy) gaining ≥10 letters in the OPT-302 combination therapy group compared to the ranibizumab monotherapy group.</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 patients with occult lesions, treatment with OPT-302 combination therapy also led to a greater mean reduction in retinal thickness of -134.6 µm from baseline compared to -103.5 µm for ranibizumab monotherapy. OPT-302 combination therapy did not have greater clinical benefit in the reduction of retinal thickness in minimally classic lesions, compared to the ranibizumab monotherapy group.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1" w:name="page82"/>
    <w:bookmarkEnd w:id="81"/>
    <w:p>
      <w:pPr>
        <w:jc w:val="both"/>
        <w:ind w:firstLine="448"/>
        <w:spacing w:after="0" w:line="294" w:lineRule="auto"/>
        <w:rPr>
          <w:sz w:val="20"/>
          <w:szCs w:val="20"/>
          <w:color w:val="auto"/>
        </w:rPr>
      </w:pPr>
      <w:r>
        <w:rPr>
          <w:rFonts w:ascii="Arial" w:cs="Arial" w:eastAsia="Arial" w:hAnsi="Arial"/>
          <w:sz w:val="16"/>
          <w:szCs w:val="16"/>
          <w:color w:val="auto"/>
        </w:rPr>
        <w:t>In patients with occult lesions, approximately 13% and 12% fewer patients in the OPT-302 combination group had subretinal fluid and intraretinal fluid, respectively, as compared to ranibizumab monotherapy at week 24. In patients with minimally classic lesions, approximately 2% fewer patients treated with OPT-302 combination therapy had subretinal fluid and intraretinal fluid compared to patients treated with ranibizumab monotherapy at week 24.</w:t>
      </w:r>
    </w:p>
    <w:p>
      <w:pPr>
        <w:spacing w:after="0" w:line="155"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As shown in the figures below, by week 24, patients with occult and minimally classic lesions also had greater reductions in both wet AMD total lesion area and CNV area following OPT-302 combination therapy compared to patients receiving ranibizumab monotherapy.</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Greater Reduction in Total Lesion Area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121285</wp:posOffset>
            </wp:positionV>
            <wp:extent cx="3449320" cy="24174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493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Greater Reduction in CNV Area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1842770</wp:posOffset>
            </wp:positionH>
            <wp:positionV relativeFrom="paragraph">
              <wp:posOffset>121285</wp:posOffset>
            </wp:positionV>
            <wp:extent cx="3457575" cy="2334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57575" cy="233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OPT-302 combination therapy improved visual acuity to the greatest extent in occult lesions compared to minimally classic or predominantly classic lesions, in each case compared to ranibizumab monotherapy. While these results were generated in treatment-naive wet AMD patients, classification of lesions following treatment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82" w:name="page83"/>
    <w:bookmarkEnd w:id="82"/>
    <w:p>
      <w:pPr>
        <w:jc w:val="both"/>
        <w:spacing w:after="0" w:line="270" w:lineRule="auto"/>
        <w:rPr>
          <w:sz w:val="20"/>
          <w:szCs w:val="20"/>
          <w:color w:val="auto"/>
        </w:rPr>
      </w:pPr>
      <w:r>
        <w:rPr>
          <w:rFonts w:ascii="Arial" w:cs="Arial" w:eastAsia="Arial" w:hAnsi="Arial"/>
          <w:sz w:val="17"/>
          <w:szCs w:val="17"/>
          <w:color w:val="auto"/>
        </w:rPr>
        <w:t>with either OPT-302 combination therapy or ranibizumab monotherapy suggests that virtually all lesions shifted toward an occult morphology. This suggests that OPT-302 combination therapy also has the potential to provide benefit to patients who have been previously treated with anti-VEGF-A monotherapy, given the predominantly occult morphology of their lesions following treatment.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RAP and PCV Lesion Subtypes</w:t>
      </w:r>
    </w:p>
    <w:p>
      <w:pPr>
        <w:spacing w:after="0" w:line="22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In our Phase 2b clinical trial, over 85% of patients enrolled did not have RAP lesions detected at randomization and these patients responded better to OPT-302 than patients with RAP lesions. In patients without RAP lesions, the mean visual acuity gain from baseline to week 24 was +15.0 letters (n=103) with OPT-302 combination therapy, compared to +10.6 letters for those treated with ranibizumab monotherapy (n=102), a benefit of +4.4 letters.</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Mean Change in Visual Acuity from Baseline to Week 24 in Patients Without RAP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121285</wp:posOffset>
            </wp:positionV>
            <wp:extent cx="2863215" cy="2334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63215" cy="233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In patients without RAP lesions who had occult or minimally classic lesions, representing the majority of wet AMD patients, the mean visual acuity gain from baseline to week 24 was +16.1 letters with OPT-302 combination therapy (n=88) compared to +10.3 letters for those treated with ranibizumab monotherapy (n=87), a benefit of +5.7 letters. This represents the patient population for which the primary analysis of the primary endpoint of the planned Phase 3 trials of OPT-302 combination therapy for the treatment of wet AMD will be first conducted, followed by analysis of the total patient population and the every-eight week dosing groups.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3" w:name="page84"/>
    <w:bookmarkEnd w:id="83"/>
    <w:p>
      <w:pPr>
        <w:jc w:val="both"/>
        <w:spacing w:after="0" w:line="293" w:lineRule="auto"/>
        <w:rPr>
          <w:sz w:val="20"/>
          <w:szCs w:val="20"/>
          <w:color w:val="auto"/>
        </w:rPr>
      </w:pPr>
      <w:r>
        <w:rPr>
          <w:rFonts w:ascii="Arial" w:cs="Arial" w:eastAsia="Arial" w:hAnsi="Arial"/>
          <w:sz w:val="17"/>
          <w:szCs w:val="17"/>
          <w:b w:val="1"/>
          <w:bCs w:val="1"/>
          <w:color w:val="auto"/>
        </w:rPr>
        <w:t>Mean Change in Visual Acuity from Baseline to Week 24 in the combined group of RAP Absent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121285</wp:posOffset>
            </wp:positionV>
            <wp:extent cx="4959350" cy="26238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59350" cy="262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Patients with RAP absent occult lesions demonstrated a mean visual acuity gain at week 24 of +16.8 letters with OPT-302 combination therapy (n=49) compared to +10.2 letters for those treated with ranibizumab monotherapy (n=47), a gain of +6.5 letters. Patients with RAP absent minimally classic lesions demonstrated a mean visual acuity gain at week 24 of +14.9 letters with OPT-302 combination therapy (n=39) compared to +10.0 letters for those treated with ranibizumab monotherapy (n=40), a gain of +4.7 letters.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Mean Change in Visual Acuity from Baseline to Week 24 in RAP Absent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121285</wp:posOffset>
            </wp:positionV>
            <wp:extent cx="4959350" cy="22358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59350" cy="223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Improved Therapeutic Outcomes of OPT-302 in PCV Lesions</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 patients with PCV lesions, the mean visual acuity gain from baseline to week 24 in the OPT-302 combination therapy group was +13.5 letters (n=22), compared to +6.9 letters in the ranibizumab monotherapy group (n=20). This equates to a benefit of +6.7 letters and is almost a two-fold improvement in visual acuity gain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84" w:name="page85"/>
    <w:bookmarkEnd w:id="84"/>
    <w:p>
      <w:pPr>
        <w:jc w:val="both"/>
        <w:spacing w:after="0" w:line="285" w:lineRule="auto"/>
        <w:rPr>
          <w:sz w:val="20"/>
          <w:szCs w:val="20"/>
          <w:color w:val="auto"/>
        </w:rPr>
      </w:pPr>
      <w:r>
        <w:rPr>
          <w:rFonts w:ascii="Arial" w:cs="Arial" w:eastAsia="Arial" w:hAnsi="Arial"/>
          <w:sz w:val="17"/>
          <w:szCs w:val="17"/>
          <w:color w:val="auto"/>
        </w:rPr>
        <w:t>observed from baseline following OPT-302 combination therapy. Ranibizumab monotherapy was not observed to be as effective in patients with PCV compared to other wet AMD subtypes.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Safety and Tolerability</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OPT-302 was well tolerated in this Phase 2b trial with a very low incidence of ocular inflammation and no safety issues identified with addition of OPT-302 to ranibizumab intravitreal therapy. The incidence of ocular TEAEs was similar in OPT-302 combination groups compared to the ranibizumab monotherapy group. TEAEs were considered potentially treatment related in approximately 15% of patients. The most common treatment-related TEAEs were eye pain, vitreous floaters, eye irritation and raised intraocular pressure. One patient discontinued from the trial due to a TEAE, which was not considered treatment related. Three patients treated with OPT-302 combination therapy had potentially treatment-related SAEs: one case each of vitritis, endophthalmitis and myocardial infarction.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Pivotal Phase 3 Clinical Trials in Wet AMD</w:t>
      </w:r>
    </w:p>
    <w:p>
      <w:pPr>
        <w:spacing w:after="0" w:line="220" w:lineRule="exact"/>
        <w:rPr>
          <w:sz w:val="20"/>
          <w:szCs w:val="20"/>
          <w:color w:val="auto"/>
        </w:rPr>
      </w:pPr>
    </w:p>
    <w:p>
      <w:pPr>
        <w:jc w:val="both"/>
        <w:ind w:firstLine="448"/>
        <w:spacing w:after="0" w:line="276" w:lineRule="auto"/>
        <w:rPr>
          <w:sz w:val="20"/>
          <w:szCs w:val="20"/>
          <w:color w:val="auto"/>
        </w:rPr>
      </w:pPr>
      <w:r>
        <w:rPr>
          <w:rFonts w:ascii="Arial" w:cs="Arial" w:eastAsia="Arial" w:hAnsi="Arial"/>
          <w:sz w:val="16"/>
          <w:szCs w:val="16"/>
          <w:color w:val="auto"/>
        </w:rPr>
        <w:t>We initiated two concurrent pivotal Phase 3 clinical trials for the treatment of wet AMD in March 2021. These double-masked, sham-controlled Phase 3 clinical trials enroll treatment-naive patients and assess the efficacy and safety of 2.0 mg of OPT-302 in combination with anti-VEGF-A therapy for treatment-naive patients with wet AMD compared to a standard of care anti-VEGF-A monotherapy. In addition, to understand the durability of OPT-302 treatment effect with less frequent dosing, each trial compares the clinical efficacy of OPT-302 administered in combination with the applicable VEGF-A inhibitor on an every 4-week and every 8-week dosing regimen. The primary endpoint of both trials will be the mean change in visual acuity from baseline at week 52. Patients will continue to be dosed until week 96 to further assess long-term safety at week 100. We expect to report topline data in 2023. If the results at the completion of the primary efficacy phase at week 52 of the Phase 3 clinical trials are favorable, we intend to file for marketing approval for OPT-302 for the treatment of wet AMD in the United States, European Union and certain other territories. The Company has activated clinical trial sites, initiated patient recruitment, received regulatory and ethics committee approval to do so, from multiple countries around the world, including the U.S. and several countries in Europe and the Asia Pacific region. As planned, sites will continue to be activated during the course of the patient recruitment periods for each Phase 3 clinical trial.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Study of OPT-302 in Combination with Ranibizumab (ShORe) Phase 3 Trial</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In the Study of OPT-302 in combination with Ranibizumab, or ShORe, Phase 3 trial, treatment-naive patients with wet AMD will be randomized to one of three treatment groups. Patients randomized to the standard dosing arm will receive standard of care 0.5 mg ranibizumab every four weeks in combination with 2.0 mg OPT-302 on a standard every four weeks dosing regimen. In the extended dosing arm, 0.5 mg ranibizumab will be administered every four weeks to week 52, in combination with 2.0 mg OPT-302 administered every four weeks for three total doses over 12 weeks, followed by OPT-302 dosing every eight weeks to week 52, with a sham injection administered at visits where OPT-302 is not administered. Patients randomized to the control arm will receive 0.5 mg ranibizumab administered in combination with sham intravitreal injections administered every four weeks to week 52. The primary and secondary efficacy outcomes will be determined at the end of the efficacy phase at week 52. Each patient will then continue to be treated for an additional year in the safety phase to reach week 100 to evaluate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133985</wp:posOffset>
            </wp:positionV>
            <wp:extent cx="4959350" cy="13614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9350" cy="136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i w:val="1"/>
          <w:iCs w:val="1"/>
          <w:color w:val="auto"/>
        </w:rPr>
        <w:t>Combination of OPT-302 with Aflibercept STudy (COAST) Phase 3 Trial</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In the Combination OPT-302 with Aflibercept STudy, or COAST, Phase 3 trial, treatment-naive wet AMD patients will be randomized to one of three treatment groups. Patients randomized to the standard dosing arm will receive 2.0 mg aflibercept administered every four weeks for three total doses over 12 weeks, followed by aflibercept dosing every eight weeks to week 52, in combination with 2.0 mg OPT-302 administered every four weeks to week 52. In the extended dosing arm, 2.0 mg aflibercept in combination with 2.0 mg OPT-302 will be administered every four weeks for three total doses over 12 weeks, followed by dosing every eight weeks to week 52, with a sham injection administered at visits where OPT-302 and aflibercept are not administered. Patients randomized to the control arm, will receive 2.0 mg aflibercept administered every four weeks for three total doses over 12 weeks, followed by dosing every eight weeks to week 52, in combination with sham intravitreal injections administered every four weeks to week 52. Similar to the ShORe trial, the primary and secondary efficacy outcomes of the COAST trial will be assessed at the end of the efficacy phase at week 52. Each patient will then continue to be treated for an additional year in the safety phase to reach week 100 to evaluate the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130810</wp:posOffset>
            </wp:positionV>
            <wp:extent cx="4959350" cy="1377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9350" cy="137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In addition, the results of our Phase 2b clinical trial has informed the design of the Phase 3 trials. Analysis of the Phase 2b trial demonstrated that OPT-302 combination therapy increased visual acuity by a further +5.7 letters over ranibizumab monotherapy in wet AMD patients with minimally classic and occult lesions, representing the majority of wet AMD patients. Based on these positive data, primary analysis of the primary endpoint of the Phase 3 trials will be first conducted in patients with minimally classic and occult lesions administered OPT-302 every four weeks, followed by analysis on the total patient population and the every-eight week dosing groups.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Co-Formulation</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OPT-302 is currently administered as a combination therapy consisting of a sequential injection of OPT-302 following intravitreal administration of a VEGF-A inhibitor. We plan to develop a co-formulation of OPT-302 with an approved and/or biosimilar anti-VEGF-A therapy to achieve VEGF-A, VEGF-C and VEGF-D inhibition following the administration of a single intravitreal injection of the co-formulated product. We believe that a co-formulated OPT-302 and VEGF-A inhibitor product could provide flexibility of treatment options for physicians and reduce the frequency and number of injections for patients.</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are currently assessing opportunities with multiple third parties to in-license and/or generate a biosimilar anti-VEGF-A therapy, which we intend to co-formulate with OPT-302 and advance through non-clinical studies, including IND-enabling safety and tolerability studies. We intend to file an IND for the co-formulated product in in a Phase 1 clinical trial for the treatment of wet AMD.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Diabetic Macular Edema</w:t>
      </w:r>
    </w:p>
    <w:p>
      <w:pPr>
        <w:spacing w:after="0" w:line="22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Diabetic macular edema is a complication of DR, a disease affecting the blood vessels of the retina in diabetics. Chronically elevated blood glucose levels, or hyperglycemia, causes damage to the small blood vessels or capillaries in the retina in patients with diabetes. The consequent chronic decrease in oxygen supply to retinal cells results in tissue damage that is referred to as DR. Approximately one-third of patients with DR or up to 10% of diabetics develop DME, which is characterized by accumulation of fluid and retinal thickening within the macula and is responsible for most of the central visual loss experienced in the diabetic population. Central-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involved DME is diagnosed when swelling or edema occurs from fluid leaking into the central fovea region of the macula.</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Treatments for DME and Their Limitations</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VEGF-A inhibitor therapy is the first-line standard of care therapy for DME. Both ranibizumab and aflibercept are approved for the treatment of DME, and similarly to wet AMD, many patients receive bevacizumab as an off-label, lower cost alternative VEGF-A inhibitor therapy. Many patients with central-involved DME require near-monthly administration of intravitreal VEGF-A inhibitors during the first 12 months of treatment, with fewer injections needed in subsequent years to maintain clinical benefit. VEGF-A inhibitors have largely replaced the use of laser photocoagulation as a treatment for DME.</w:t>
      </w:r>
    </w:p>
    <w:p>
      <w:pPr>
        <w:spacing w:after="0" w:line="159"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The anti-inflammatory corticosteroid therapies dexamethasone (Ozurdex) and fluocinolone acetonide (Illuvian) are also approved for use in central-involved DME. These agents, however, are rarely used as first-line therapy due to inferior visual acuity outcomes compared to anti-VEGF-A therapy. Patients with persistent DME and who are insufficiently responsive to anti-VEGF-A therapy have shown some treatment benefit with intravitreal corticosteroids. However, as intravitreal corticosteroids are associated with high rates of ocular adverse events including cataract progression and intraocular pressure elevation, switching to corticosteroids from an anti-VEGF-A therapy with a sub-optimal response needs to be carefully considered.</w:t>
      </w:r>
    </w:p>
    <w:p>
      <w:pPr>
        <w:spacing w:after="0" w:line="163"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Despite the widespread use of treatments targeting VEGF-A in the management of DME, there is still a significant unmet need as many patients demonstrate a sub-optimal response, remain treatment refractory or require frequent injections for persistent leakage in the macula. Up to two-thirds of patients with central-involved DME treated with VEGF-A inhibitors do not show reductions in the fluid or clinically meaningful improvement in visual acuity. In addition, approximately 25% of DME patients treated with VEGF-A inhibitors continue to have macula thickening and swelling following treatment. This resistance may occur as treatment selective anti-VEGF-A monotherapies do not fully address all of the factors involved in the pathogenesis of DME. As such, combination therapies targeting alternative factors and pathways have the potential for improved clinical outcomes in DME patients.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Opportunity for the Treatment of DME</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It is estimated that between 1.3 million and 2.0 million people worldwide, including 14% of Type 1 diabetics and 6% of Type 2 diabetics, have DME . The risk of developing DME increases with time. According to the Wisconsin Epidemiologic Study of Diabetic Retinopathy, after 10 years of follow-up, 20% of patients with Type 1 diabetes and 25% of those with Type 2 diabetes will have developed DME. Ranibizumab and aflibercept, two VEGF-A inhibitors approved for the treatment of DME, generated combined annual worldwide sales of over US$11.9 billion in 2019. Approximately 22% of these sales are attributable to the treatment of DME.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for OPT-302 in DME</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We believe that as a potent inhibitor of VEGF-C and VEGF-D, OPT-302 has the potential to provide significant therapeutic benefit to patients affected by DME. Although the underlying causes of wet AMD and DME differ, members of the VEGF family play a role in the progression of both diseases. VEGF-C and VEGF-D and their receptors are specifically implicated in the progression of diabetes. For example, patients with diabetes have higher levels of VEGF-C and VEGF-A and increased expression of both VEGFR-2 and VEGFR-3 in the retina compared to non-diabetics. The VEGF-A inhibitors ranibizumab and aflibercept, originally approved for treatment of wet AMD patients, have also been approved for treatment of DME patients. Similar to wet AMD, bevacizumab is also frequently used off-label as a treatment for DME.</w:t>
      </w:r>
    </w:p>
    <w:p>
      <w:pPr>
        <w:spacing w:after="0" w:line="18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our completed Phase 1b dose escalation clinical trial in patients with persistent DME, we observed what we believe to be promising evidence of a dose response of OPT-302 in combination with aflibercept, including further improvements in visual acuity despite patients’ having been previously treated with anti-VEGF-A therapy. In our completed Phase 2a clinical trial, we observed improved visual acuity outcomes and evidence of a reduction in retinal thickness in treatment-refractory DME patients following OPT-302 combination therapy.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1b Clinical Trial of OPT-302 in DME</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In 2018, we completed a Phase 1b dose-escalation clinical trial of OPT-302 in combination with aflibercept in nine patients with persistent DME that were previously treated with anti-VEGF-A therapies. Patients were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87" w:name="page88"/>
    <w:bookmarkEnd w:id="87"/>
    <w:p>
      <w:pPr>
        <w:jc w:val="both"/>
        <w:spacing w:after="0" w:line="285" w:lineRule="auto"/>
        <w:rPr>
          <w:sz w:val="20"/>
          <w:szCs w:val="20"/>
          <w:color w:val="auto"/>
        </w:rPr>
      </w:pPr>
      <w:r>
        <w:rPr>
          <w:rFonts w:ascii="Arial" w:cs="Arial" w:eastAsia="Arial" w:hAnsi="Arial"/>
          <w:sz w:val="17"/>
          <w:szCs w:val="17"/>
          <w:color w:val="auto"/>
        </w:rPr>
        <w:t>administered three escalating doses (0.3 mg, 1.0 mg or 2.0 mg) of OPT-302 in combination with 2.0 mg aflibercept by intravitreal injections once every four weeks for a total of three doses. The primary analysis was conducted at week 12, four weeks after the final dose.</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Across all nine patients in the Phase 1b trial, a mean gain in visual acuity of +7.7 letters from baseline to week 12 was observed across all dose groups, with a clear dose response of improved visual acuity with increasing doses of OPT-302. There was a corresponding mean decrease in retinal thickness at week 12 of -71 µm from baseline and six of nine (67%) patients had a ≥50% reduction in excess foveal thickness.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Dose-dependent Increases in Visual Acuity and Reduction in Retinal Thickness at Week 12 Following Treatment with OPT-302 in Combination with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1570355</wp:posOffset>
            </wp:positionH>
            <wp:positionV relativeFrom="paragraph">
              <wp:posOffset>46990</wp:posOffset>
            </wp:positionV>
            <wp:extent cx="4001770" cy="23926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0177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Five of the nine patients in the Phase 1b trial had bilateral, persistent treatment-refractory DME. In these patients, study eyes received OPT-302 in combination with aflibercept, and fellow eyes received standard of care anti-VEGF-A monotherapy. In these bilateral disease patients, the mean change in visual acuity from baseline to week 12 was +10.0 letters in the study eye and +2.6 letters in the fellow eye. The corresponding reduction in retinal thickness from baseline to week 12 was -80 µm for OPT-302 combination treated study eyes, compared to -6 µm in fellow eyes that received anti-VEGF-A monotherapy.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88" w:name="page89"/>
    <w:bookmarkEnd w:id="88"/>
    <w:p>
      <w:pPr>
        <w:spacing w:after="0" w:line="293" w:lineRule="auto"/>
        <w:rPr>
          <w:sz w:val="20"/>
          <w:szCs w:val="20"/>
          <w:color w:val="auto"/>
        </w:rPr>
      </w:pPr>
      <w:r>
        <w:rPr>
          <w:rFonts w:ascii="Arial" w:cs="Arial" w:eastAsia="Arial" w:hAnsi="Arial"/>
          <w:sz w:val="17"/>
          <w:szCs w:val="17"/>
          <w:b w:val="1"/>
          <w:bCs w:val="1"/>
          <w:color w:val="auto"/>
        </w:rPr>
        <w:t>In Patients with Bilateral DME, OPT-302 Combination Therapy Improved Visual Acuity and Reduced Retinal Thickness Compared to Fellow Eyes Treated with Anti-VEGF-A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13970</wp:posOffset>
            </wp:positionV>
            <wp:extent cx="3606165" cy="26650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06165"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hanging="436"/>
        <w:spacing w:after="0" w:line="285" w:lineRule="auto"/>
        <w:tabs>
          <w:tab w:leader="none" w:pos="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Patients with bilateral disease and persistent DME in the fellow eye receiving anti-VEGF-A (ranibizumab or aflibercept) monotherapy. Prior anti-VEGF-A therapy in Fellow Eyes BL to Week 12 (5 patients): 3x Aflibercept, 3x Ranibizumab, 1x Ranibizumab, 4x Ranibizumab, 3x Aflibercept.</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OPT-302 in combination with aflibercept was well tolerated at all dose levels, with no DLTs and the MTD was not reached. There were no treatment-related clinically significant changes in intraocular pressure, electrocardiograms or vital signs. The most common AEs were related to the intravitreal injection procedure.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2a Clinical Trial of OPT-302 in DME</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Based on the positive results of our Phase 1b trial, we reported outcomes from a Phase 2a trial in persistent DME patients refractory to anti-VEGF-A therapy in June 2020. Similar to the Phase 1b trial, this proof-of-concept trial was designed to investigate the ability of OPT-302 to improve outcomes in persistent DME patients. The primary endpoints were clinical response rate in visual acuity as well as safety and tolerability.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Clinical Trial Design</w:t>
      </w:r>
    </w:p>
    <w:p>
      <w:pPr>
        <w:spacing w:after="0" w:line="2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This Phase 2a trial was a randomized, double-masked, dose expansion trial that enrolled patients diagnosed with persistent center-involved DME despite regular administration of prior anti-VEGF-A monotherapy. These patients are considered to be a difficult-to-treat patient population since they have received prior anti-VEGF-A therapy and experienced a suboptimal clinical response. In our trial, these patients were defined as having visual acuity between 20/40 and 20/320 Snellen equivalent, or ≤73 and ≥24 BCVA letters on the ETDRS standardized eye chart, and retinal thickness of ≥320 µm on SD-OCT. In this Phase 2a trial, the mean number of prior intravitreal anti-VEGF-A injections was eight in each of the treatment groups, reflecting that the patients recruited into this trial were heavily pre-treated, with a mean of 39 days since the immediate prior injection to the start of the trial.</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Phase 2a trial was conducted at 53 trial sites in the United States, Israel, Australia and Latvia. Of the 144 patients randomized in the trial, 115 patients conformed sufficiently with the trial protocol and were included in our analyses of clinical efficacy. Patients were randomized 2:1 to receive either 2.0 mg OPT-302 in combination with 2.0 mg aflibercept or a sham injection and 2.0 mg aflibercept. Patients received intravitreal injections once every four weeks for a total of three doses. The primary analysis was conducted at week 12, four weeks after the final dose.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Design of the Phase 2a Clinical Trial of OPT-302 in Combination with Aflibercept in Persistent Diabetic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1570355</wp:posOffset>
            </wp:positionH>
            <wp:positionV relativeFrom="paragraph">
              <wp:posOffset>168275</wp:posOffset>
            </wp:positionV>
            <wp:extent cx="4001770" cy="1047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01770" cy="104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PRN refers to </w:t>
      </w:r>
      <w:r>
        <w:rPr>
          <w:rFonts w:ascii="Arial" w:cs="Arial" w:eastAsia="Arial" w:hAnsi="Arial"/>
          <w:sz w:val="17"/>
          <w:szCs w:val="17"/>
          <w:i w:val="1"/>
          <w:iCs w:val="1"/>
          <w:color w:val="auto"/>
        </w:rPr>
        <w:t>pro re nata</w:t>
      </w:r>
      <w:r>
        <w:rPr>
          <w:rFonts w:ascii="Arial" w:cs="Arial" w:eastAsia="Arial" w:hAnsi="Arial"/>
          <w:sz w:val="17"/>
          <w:szCs w:val="17"/>
          <w:color w:val="auto"/>
        </w:rPr>
        <w:t>, or treatment on an as needed basis.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Improvements in Visual Acuity</w:t>
      </w:r>
    </w:p>
    <w:p>
      <w:pPr>
        <w:spacing w:after="0" w:line="220"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color w:val="auto"/>
        </w:rPr>
        <w:t>The primary efficacy endpoint of the trial was the clinical response rate, defined as the proportion of patients receiving OPT-302 combination therapy that achieved a ≥5 letter gain in visual acuity at week 12 compared to baseline. Our predefined measure of success was a response rate of greater than or equal to 38%, based on historical observations that show limited ability to achieve a ≥5 letter improvement in DME patients on long-term anti-VEGF-A monotherapy. As an exploratory trial, this Phase 2a was not powered to detect statistical significance of OPT-302 combination therapy compared to aflibercept monotherapy.</w:t>
      </w:r>
    </w:p>
    <w:p>
      <w:pPr>
        <w:spacing w:after="0" w:line="14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observed that 52.8% of patients treated with OPT-302 combination therapy achieved a ≥5 letter improvement in visual acuity at week 12 compared to baseline, meeting the pre-specified primary efficacy endpoint for this trial.</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mean change in visual acuity at week 12 compared to baseline was +5.9 letters in patients receiving OPT-302 combination therapy and +6.1 letters in the aflibercept monotherapy group. In the OPT-302 combination therapy group, the percentage of patients with visual acuity gains of ≥10 and ≥15 letters was higher, and the percentage of patients who lost ≥5 letters was lower than that in the aflibercept monotherapy group. These measures of visual function are shown in the figure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Measures of Visual Acuity at Week 12 Following OPT-302 Combination Therapy and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168275</wp:posOffset>
            </wp:positionV>
            <wp:extent cx="4752975" cy="18732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52975"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Patients treated with OPT-302 combination therapy also had decreased retinal thickness compared to aflibercept monotherapy, as shown in the figure below.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Greater Reduction in Retinal Thickness from Baseline to Week 12 following OPT-302 Combination Therapy Compared to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1644650</wp:posOffset>
            </wp:positionH>
            <wp:positionV relativeFrom="paragraph">
              <wp:posOffset>175260</wp:posOffset>
            </wp:positionV>
            <wp:extent cx="3861435" cy="2541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61435" cy="2541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Prior Treatment History in Persistent DME Patients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Prior studies have shown that DME patients with mild visual acuity loss of 20/40 or better at baseline, show similar outcomes to any of the VEGF-A therapies: ranibizumab, aflibercept and bevacizumab. However, in patients with poorer baseline vision of 20/50 or worse, aflibercept has better outcomes compared to ranibizumab and bevacizumab over the first 12 months of treatment. It has also been shown that DME patients who experience inadequate responses to ranibizumab have achieved further anatomical and functional improvements upon switching to aflibercept.</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Due to the challenge of enrolling a large group of patients with identical prior treatment histories, we designed our Phase 2a trial to accelerate enrollment by randomizing patients with variable prior treatment histories. This strategy allowed us to more broadly understand the prior treatment history in persistent DME patients, which will inform the design of our future trials in DME.</w:t>
      </w:r>
    </w:p>
    <w:p>
      <w:pPr>
        <w:spacing w:after="0" w:line="172"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In order to explore the importance of differences in prior treatment history, we collected detailed anti-VEGF-A treatment histories for patients enrolled in our Phase 2a DME trial. Patients randomized into our Phase 2a trial had variable prior treatment histories which included infrequent or irregular dosing and/or therapy with aflibercept, ranibizumab and bevacizumab. Approximately one third of patients had a prior treatment history of having received only aflibercept, or aflibercept for their three anti-VEGF-A treatments immediately before trial enrollment. Approximately 11% of patients had a prior treatment history of having received only ranibizumab, or ranibizumab for their three anti-VEGF-A treatments immediately before trial enrolment, whereas approximately 44% of patients had received only bevacizumab prior to trial enrollment. Patients with a prior treatment history of bevacizumab were required to receive at least one injection of either aflibercept or ranibizumab immediately prior to randomization into the trial. Post-hoc analyses of the results from our Phase 2a trial suggest that some patients may have benefitted from the increased efficacy of aflibercept and/or from the switch to aflibercept therapy as administered in our trial on an every four-week dosing cycle. In the subset of patients who had only received aflibercept, or received aflibercept for their three anti-VEGF-A treatments immediately before trial enrollment, referred to as treatment history of prior aflibercept, the mean improvement in visual acuity observed for the aflibercept monotherapy group was +3.4 letters (n=13), compared to a mean improvement of +7.4 letters for those patients with more variable prior treatment history who received aflibercept monotherapy (n=27) following randomization into the trial. This suggests that the majority of patients enrolled in the trial had not achieved a maximal response to all anti-VEGF-A therapies prior to enrolling in the trial.</w:t>
      </w:r>
    </w:p>
    <w:p>
      <w:pPr>
        <w:spacing w:after="0" w:line="17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Due to the observed increase in treatment benefit for patients with a variable treatment history who then received aflibercept every four weeks in the trial, the subset of patients with a treatment history of prior aflibercept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91" w:name="page92"/>
    <w:bookmarkEnd w:id="91"/>
    <w:p>
      <w:pPr>
        <w:jc w:val="both"/>
        <w:spacing w:after="0" w:line="270" w:lineRule="auto"/>
        <w:rPr>
          <w:sz w:val="20"/>
          <w:szCs w:val="20"/>
          <w:color w:val="auto"/>
        </w:rPr>
      </w:pPr>
      <w:r>
        <w:rPr>
          <w:rFonts w:ascii="Arial" w:cs="Arial" w:eastAsia="Arial" w:hAnsi="Arial"/>
          <w:sz w:val="17"/>
          <w:szCs w:val="17"/>
          <w:color w:val="auto"/>
        </w:rPr>
        <w:t>may represent the most stringent and least variable patient population in which to test the ability of OPT-302 to provide additional benefit. In this more homogeneous patient population, as shown in the figure below, patients administered OPT-302 combination therapy demonstrated a mean improvement in visual acuity of +6.6 letters (n=22) from baseline to week 12, compared to +3.4 letters (n=13) in the aflibercept monotherapy group.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Greater Gains in Visual Acuity following OPT-302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168275</wp:posOffset>
            </wp:positionV>
            <wp:extent cx="3770630" cy="2367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70630"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In addition, 27.3% of patients gained ≥10 letters and 9.1% gained ≥15 letters of visual acuity from baseline to week 12 following OPT-302 combination therapy. There were no patients with a treatment history of prior aflibercept that gained ≥10 letters of visual acuity in the aflibercept monotherapy group. Furthermore, the proportion of patients who lost ≥1 letters was 9.1% in the OPT-302 combination therapy group and 23.1% in the aflibercept monotherapy group. We believe that these results, as shown in the figures below, strongly support the potential of OPT-302 to improve the visual acuity in patients with persistent DME despite prior treatment with anti-VEGF-A monotherapy.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Proportion of Patients with a Treatment History of Prior Aflibercept Who Gained and Lost Visual Acuity from Baseline to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168275</wp:posOffset>
            </wp:positionV>
            <wp:extent cx="4876800" cy="1939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76800"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 this subgroup of patients with a treatment history of prior aflibercept, anatomical changes were consistent with functional visual acuity outcomes. As shown in the figure below, a greater mean reduction in retinal thickness was observed in the OPT-302 combination therapy group compared to the aflibercept monotherapy group at week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2" w:name="page93"/>
    <w:bookmarkEnd w:id="92"/>
    <w:p>
      <w:pPr>
        <w:ind w:firstLine="4"/>
        <w:spacing w:after="0" w:line="285" w:lineRule="auto"/>
        <w:tabs>
          <w:tab w:leader="none" w:pos="263"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particular, 22.7% of patients in the OPT-302 combination therapy group experienced at least a 300 µm reduction in retinal thickness at week 12, compared to 7.7% of patients in the aflibercept monotherapy group.</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Greater Mean Reduction in Retinal Thickness following OPT-302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158750</wp:posOffset>
            </wp:positionV>
            <wp:extent cx="4109085" cy="2450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09085" cy="245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Safety and Tolerability</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OPT-302 combination therapy was well tolerated. There was one potentially treatment-related SAE of cerebrovascular accident, or stroke, resulting in one patient discontinuing treatment and withdrawing from the trial. The most common TEAEs were conjunctival hemorrhage and increased intraocular pressure and were mainly related to the intravitreal injection procedure. TEAEs did not lead to discontinuation of the trial for any patient. The incidence of intra-ocular inflammation was low, occurring in one patient for each treatment group, and the observed events were manageable and able to be resolved.</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now have extensive global clinical dosing experience demonstrating a favorable tolerability profile following repeated intravitreal administration of OPT-302 in 399 patients, with over 1,800 doses of OPT-302 administered across three international clinical studies in two disease indications and in combination with the two leading standard of care anti-VEGF-A therapies, ranibizumab and aflibercept. In particular, across our clinical trials, the incidence of intra-ocular inflammation was similar across all treatment groups.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Retinal Vein Occlusion</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Based on the positive clinical data from our clinical trials of OPT-302 in wet AMD and DME, we intend to prioritize future development in these two indications while exploring potential opportunities to develop OPT-302 in other ophthalmic indications such as RVO, DR and other diseases involving aberrant CNV.</w:t>
      </w:r>
    </w:p>
    <w:p>
      <w:pPr>
        <w:spacing w:after="0" w:line="172"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RVO is a sight-threatening visual disorder resulting from blockage of one of the veins carrying blood out of the retina. This blocked vein can leak blood and fluid resulting in swelling that can cause macular edema. Persistent, inadequately-treated macular edema associated with RVO can blur vision, cause significant loss in visual acuity and eventually lead to blindness. Macular edema is the most common cause of vision loss in people who suffer from RVO.</w:t>
      </w:r>
    </w:p>
    <w:p>
      <w:pPr>
        <w:spacing w:after="0" w:line="155"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Similar to wet AMD and DME, the first-line standard of care to treat macular edema associated with RVO is intravitreal anti-VEGF-A monotherapy. VEGF-A inhibitors however, are only effective in significantly improving vision in approximately 30% to 40% of patients with macular edema associated with RVO above sham control. The prevalence of RVO in people over the age of 50 has been reported to be 0.7%, or approximately 1.8 million people in the United States and Europe. Over 500,000 individuals in the United States and Europe have macular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3" w:name="page94"/>
    <w:bookmarkEnd w:id="93"/>
    <w:p>
      <w:pPr>
        <w:spacing w:after="0"/>
        <w:rPr>
          <w:sz w:val="20"/>
          <w:szCs w:val="20"/>
          <w:color w:val="auto"/>
        </w:rPr>
      </w:pPr>
      <w:r>
        <w:rPr>
          <w:rFonts w:ascii="Arial" w:cs="Arial" w:eastAsia="Arial" w:hAnsi="Arial"/>
          <w:sz w:val="15"/>
          <w:szCs w:val="15"/>
          <w:color w:val="auto"/>
        </w:rPr>
        <w:t>edema associated with RVO. We believe that OPT-302 has the potential to bring therapeutic benefit to patients suffering from macular edema secondary to RVO.</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6"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The biotechnology and pharmaceutical industries, and the ophthalmic disease subsector, are characterized by rapidly advancing technologies, evolving understanding of disease etiology, intense competition and a strong emphasis on intellectual property. While we believe that OPT-302 and our knowledge and experience provide us with certain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70" w:lineRule="exact"/>
        <w:rPr>
          <w:sz w:val="20"/>
          <w:szCs w:val="20"/>
          <w:color w:val="auto"/>
        </w:rPr>
      </w:pPr>
    </w:p>
    <w:p>
      <w:pPr>
        <w:jc w:val="both"/>
        <w:ind w:firstLine="448"/>
        <w:spacing w:after="0" w:line="302" w:lineRule="auto"/>
        <w:rPr>
          <w:sz w:val="20"/>
          <w:szCs w:val="20"/>
          <w:color w:val="auto"/>
        </w:rPr>
      </w:pPr>
      <w:r>
        <w:rPr>
          <w:rFonts w:ascii="Arial" w:cs="Arial" w:eastAsia="Arial" w:hAnsi="Arial"/>
          <w:sz w:val="15"/>
          <w:szCs w:val="15"/>
          <w:color w:val="auto"/>
        </w:rPr>
        <w:t>We are developing OPT-302 for the treatment of wet AMD and additional retinal disease indications, such as DME and RVO, together with certain combination agents. Companies that have products that may compete with OPT-302 include Roche Group, Regeneron Pharmaceuticals, Inc. and Novartis AG, which have marketed anti-VEGF-A therapies including ranibizumab (Lucentis) and aflibercept (Eylea), each a standard of care treatment for wet AMD, and brolucizumab (Beovu), as well as Ocugen, Inc., Ocular Therapeutix, EyePoint Pharmaceuticals, Kodiak Sciences Inc. and Graybug Vision, Inc., which have product candidates in development for the treatment of wet AMD and DME. We are also aware of other companies that are working on therapies for the whole eye, including Santen, Inc. and Ocular Therapeutix, Inc. In addition, bevacizumab (Avastin), marketed by Genentech, Inc., is used off-label to treat wet AMD.</w:t>
      </w:r>
    </w:p>
    <w:p>
      <w:pPr>
        <w:spacing w:after="0" w:line="153"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It is possible that our competitors will succeed in developing technologies that are more effective than our product candidates or that would render our technology obsolete or noncompetitive, or will succeed in developing biosimilar or interchangeable products for our product candidates. We anticipate that we will continue to face increasing competition in the future as new companies enter our market and scientific developments surrounding biosimilars and other retinal therapies continue to accelerate, particularly once ranibizumab and aflibercept approach loss of exclusivity. We cannot predict to what extent the entry of biosimilars or other competing products will impact potential future sales of our products or our product candidates.</w:t>
      </w:r>
    </w:p>
    <w:p>
      <w:pPr>
        <w:spacing w:after="0" w:line="163"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59" w:lineRule="exact"/>
        <w:rPr>
          <w:sz w:val="20"/>
          <w:szCs w:val="20"/>
          <w:color w:val="auto"/>
        </w:rPr>
      </w:pPr>
    </w:p>
    <w:p>
      <w:pPr>
        <w:ind w:left="880" w:hanging="434"/>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advance the development of OPT-302 and any other product candidates;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license additional technology;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complete clinical trials which position our products for regulatory and commercial success;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maintain a proprietary position in our products;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obtain required government and other public and private approvals on a timely basis;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attract and retain key personnel;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4" w:name="page95"/>
    <w:bookmarkEnd w:id="94"/>
    <w:p>
      <w:pPr>
        <w:ind w:left="880" w:hanging="43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commercialize effectively;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obtain reimbursement for our products in approved indications;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 efficient manufacturing processes and supply chain;</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enter into additional collaborations to advance the development and commercialization of our product candidates.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Commercial License Arrangement with Selexis SA</w:t>
      </w:r>
    </w:p>
    <w:p>
      <w:pPr>
        <w:spacing w:after="0" w:line="22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 by Selexis to manufacture OPT-302 and related products and to use, sale and otherwise exploit such products.</w:t>
      </w:r>
    </w:p>
    <w:p>
      <w:pPr>
        <w:spacing w:after="0" w:line="155"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80"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6"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As of June 30, 2021, we have rights to over 21 issued U.S. patents, over four U.S. patent applications, over 71 issued non-U.S. patents and over five pending non-U.S. applications. All of our current issued patents and patent applications are projected to expire between April 2022 and November 2034.</w:t>
      </w:r>
    </w:p>
    <w:p>
      <w:pPr>
        <w:spacing w:after="0" w:line="13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With respect to soluble forms of VEGFR-3, we own and have licensed rights to patent families including issued patents in the United States, Europe, Canada and Australia, which are expected to expire between 2022 and 2031. These patents cover composition of matter and/or method of use claims, including claims directed at the treatment of eye diseases associated with abnormal blood vessel growth, such as wet AMD.</w:t>
      </w:r>
    </w:p>
    <w:p>
      <w:pPr>
        <w:spacing w:after="0" w:line="172"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With respect to OPT-302, we own a patent family with two issued U.S. patents, an issued European patent validated in 38 countries and over eight issued non-U.S. patents granted in jurisdictions such as Japan, Australia, South Africa, Mexico, Malaysia, New Zealand, Colombia, Singapore and Russia. Patent applications are pending in the United States and in over eight other non-U.S. jurisdictions, including Europe, China, Brazil, South Korea and India. The two issued U.S. patents have claims covering the composition of matter of OPT-302 and its use and/or nucleic acids, vectors, and host cells for producing it. These issued patents and pending patent applications, if issued, are expected to expire in 2034, without taking into account any patent term extension.</w:t>
      </w:r>
    </w:p>
    <w:p>
      <w:pPr>
        <w:spacing w:after="0" w:line="163"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The actual protection afforded by a patent, which can vary from country to country, depends on the type of patent, the scope of its coverage as determined by the patent office or courts in the country, and the availability of legal remedies in the country. 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5" w:name="page96"/>
    <w:bookmarkEnd w:id="95"/>
    <w:p>
      <w:pPr>
        <w:jc w:val="both"/>
        <w:spacing w:after="0" w:line="270" w:lineRule="auto"/>
        <w:rPr>
          <w:sz w:val="20"/>
          <w:szCs w:val="20"/>
          <w:color w:val="auto"/>
        </w:rPr>
      </w:pPr>
      <w:r>
        <w:rPr>
          <w:rFonts w:ascii="Arial" w:cs="Arial" w:eastAsia="Arial" w:hAnsi="Arial"/>
          <w:sz w:val="17"/>
          <w:szCs w:val="17"/>
          <w:color w:val="auto"/>
        </w:rPr>
        <w:t>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72"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In most countries, including the United States, the patent term is 20 years from the earliest claimed filing date of a non-provisional patent application or its foreign equivalent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In the United States, a patent may also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w:t>
      </w:r>
    </w:p>
    <w:p>
      <w:pPr>
        <w:spacing w:after="0" w:line="176"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 xml:space="preserve">Although we believe our owned and licensed patents and patent applications provide us with a competitive advantage, the patent positions of biotechnology and pharmaceutical companies can be uncertain and involve complex legal and factual questions. We may not be able to develop patentable products or processes or obtain patents from pending patent applications. In the event of patent issuance, the patents may not be sufficient to protect the proprietary technology owned by or licensed to us or our partners. Our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w:t>
      </w:r>
    </w:p>
    <w:p>
      <w:pPr>
        <w:spacing w:after="0" w:line="173"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Furthermore, we rely upon trade secrets and know-how and continuing technological innovation to develop and maintain our competitive position. We seek to protect our proprietary information, in part, by using confidentiality and invention assignment agreements with its commercial partners, collaborators, employees and consultants. These agreements are designed to protect our proprietary information and, in the case of the invention assignment agreements, to grant it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81"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its development or commercial strategies for our product candidates or processes, or to obtain licenses or cease certain activities. Our breach of any license agreements or failure to obtain a license to proprietary rights that it may require to develop or commercialize its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163"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As of June 30, 2021, we or our subsidiaries have registered and own “Opthea” as a trademark in nine jurisdictions, including the United States and Europe. Other than the registered trademark listed above, we currently rely on our unregistered trademarks, trade names and service marks, as well as our domain names and logos, as appropriate, to market our brands and to build and maintain brand recognition.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color w:val="auto"/>
        </w:rPr>
        <w:t>Government Regulation</w:t>
      </w:r>
    </w:p>
    <w:p>
      <w:pPr>
        <w:spacing w:after="0" w:line="22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The FDA and other regulatory authorities at federal, state, and local levels, as well as in non-U.S.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nonclinical, clinical and commercial approval requirements of the governing regulatory agencies of the countries in which we wish to conduct studies or seek approval or licensure of OPT-302 or any future product candidate.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Biological Product Development</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In the United States, the FDA regulates biologics under both the Federal Food, Drug and Cosmetic Act and the Public Health Service Act and their implementing regulations. Both drugs and biologics also are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license revocation,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72"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Our product candidates and any future biological product candidates we develop must be approved by the FDA through a biologics license application, or BLA, process before they may be legally marketed in the United States. The BLA is a request for approval to market the biologic for one or more specified indications and must contain proof of safety, purity and potency. The FDA review and approval process generally involves the following:</w:t>
      </w:r>
    </w:p>
    <w:p>
      <w:pPr>
        <w:spacing w:after="0" w:line="155" w:lineRule="exact"/>
        <w:rPr>
          <w:sz w:val="20"/>
          <w:szCs w:val="20"/>
          <w:color w:val="auto"/>
        </w:rPr>
      </w:pPr>
    </w:p>
    <w:p>
      <w:pPr>
        <w:ind w:left="880" w:hanging="434"/>
        <w:spacing w:after="0"/>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completion of preclinical laboratory tests and animal studies performed in accordance with the FDA’s current Good Laboratory Practices regulations;</w:t>
      </w:r>
    </w:p>
    <w:p>
      <w:pPr>
        <w:spacing w:after="0" w:line="243" w:lineRule="exact"/>
        <w:rPr>
          <w:rFonts w:ascii="Arial" w:cs="Arial" w:eastAsia="Arial" w:hAnsi="Arial"/>
          <w:sz w:val="15"/>
          <w:szCs w:val="15"/>
          <w:color w:val="auto"/>
        </w:rPr>
      </w:pPr>
    </w:p>
    <w:p>
      <w:pPr>
        <w:ind w:left="880" w:hanging="434"/>
        <w:spacing w:after="0" w:line="285"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clinical trials may begin and must be updated annually or when significant changes are made;</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approval by an institutional review board, or IRB, or ethics committee at each clinical site before the trial is commenced;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purity and potency of the proposed biologic product candidate for its intended purpose;</w:t>
      </w:r>
    </w:p>
    <w:p>
      <w:pPr>
        <w:spacing w:after="0" w:line="159" w:lineRule="exact"/>
        <w:rPr>
          <w:rFonts w:ascii="Arial" w:cs="Arial" w:eastAsia="Arial" w:hAnsi="Arial"/>
          <w:sz w:val="17"/>
          <w:szCs w:val="17"/>
          <w:color w:val="auto"/>
        </w:rPr>
      </w:pPr>
    </w:p>
    <w:p>
      <w:pPr>
        <w:ind w:left="880" w:hanging="434"/>
        <w:spacing w:after="0" w:line="318"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preparation of and submission to the FDA of a BLA after completion of all pivotal clinical trials that includes substantial evidence of safety, purity and potency from results of nonclinical testing and clinical trials; satisfactory completion of an FDA advisory committee review, if applicable;</w:t>
      </w:r>
    </w:p>
    <w:p>
      <w:pPr>
        <w:spacing w:after="0" w:line="136" w:lineRule="exact"/>
        <w:rPr>
          <w:rFonts w:ascii="Arial" w:cs="Arial" w:eastAsia="Arial" w:hAnsi="Arial"/>
          <w:sz w:val="16"/>
          <w:szCs w:val="16"/>
          <w:color w:val="auto"/>
        </w:rPr>
      </w:pPr>
    </w:p>
    <w:p>
      <w:pPr>
        <w:ind w:left="880" w:hanging="434"/>
        <w:spacing w:after="0"/>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 BLA to file the application for review;</w:t>
      </w:r>
    </w:p>
    <w:p>
      <w:pPr>
        <w:spacing w:after="0" w:line="220" w:lineRule="exact"/>
        <w:rPr>
          <w:rFonts w:ascii="Arial" w:cs="Arial" w:eastAsia="Arial" w:hAnsi="Arial"/>
          <w:sz w:val="17"/>
          <w:szCs w:val="17"/>
          <w:color w:val="auto"/>
        </w:rPr>
      </w:pPr>
    </w:p>
    <w:p>
      <w:pPr>
        <w:jc w:val="both"/>
        <w:ind w:left="880" w:hanging="434"/>
        <w:spacing w:after="0" w:line="322"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GCP; and</w:t>
      </w:r>
    </w:p>
    <w:p>
      <w:pPr>
        <w:spacing w:after="0" w:line="137" w:lineRule="exact"/>
        <w:rPr>
          <w:rFonts w:ascii="Arial" w:cs="Arial" w:eastAsia="Arial" w:hAnsi="Arial"/>
          <w:sz w:val="15"/>
          <w:szCs w:val="15"/>
          <w:color w:val="auto"/>
        </w:rPr>
      </w:pPr>
    </w:p>
    <w:p>
      <w:pPr>
        <w:ind w:left="880" w:hanging="434"/>
        <w:spacing w:after="0" w:line="285"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FDA review and approval, or licensure, of the BLA to permit commercial marketing of the product for particular indications for use in the United States.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i w:val="1"/>
          <w:iCs w:val="1"/>
          <w:color w:val="auto"/>
        </w:rPr>
        <w:t>Nonclinical Studies and IND</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72"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PK, pharmacology, and PD characteristics of the product candidate;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22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For purposes of BLA approval, human clinical trials are typically conducted in three sequential phases that may overlap.</w:t>
      </w:r>
    </w:p>
    <w:p>
      <w:pPr>
        <w:spacing w:after="0" w:line="17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76" w:lineRule="exact"/>
        <w:rPr>
          <w:sz w:val="20"/>
          <w:szCs w:val="20"/>
          <w:color w:val="auto"/>
        </w:rPr>
      </w:pPr>
    </w:p>
    <w:p>
      <w:pPr>
        <w:jc w:val="both"/>
        <w:ind w:left="880" w:hanging="434"/>
        <w:spacing w:after="0" w:line="270"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Phase 1 — The investigational product is initially introduced into healthy human subjects or patients with the target disease or condition. These studies are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171"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Phase 3 —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8" w:name="page99"/>
    <w:bookmarkEnd w:id="98"/>
    <w:p>
      <w:pPr>
        <w:ind w:left="880"/>
        <w:spacing w:after="0"/>
        <w:rPr>
          <w:sz w:val="20"/>
          <w:szCs w:val="20"/>
          <w:color w:val="auto"/>
        </w:rPr>
      </w:pPr>
      <w:r>
        <w:rPr>
          <w:rFonts w:ascii="Arial" w:cs="Arial" w:eastAsia="Arial" w:hAnsi="Arial"/>
          <w:sz w:val="16"/>
          <w:szCs w:val="16"/>
          <w:color w:val="auto"/>
        </w:rPr>
        <w:t>to establish the overall risk/benefit ratio of the investigational product and to provide an adequate basis for product approval and product labeling.</w:t>
      </w:r>
    </w:p>
    <w:p>
      <w:pPr>
        <w:spacing w:after="0" w:line="232"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BLA Submission, Review and Approval</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Assuming successful completion of the clinical trials,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8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Once a BLA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9" w:name="page100"/>
    <w:bookmarkEnd w:id="99"/>
    <w:p>
      <w:pPr>
        <w:jc w:val="both"/>
        <w:spacing w:after="0" w:line="294" w:lineRule="auto"/>
        <w:rPr>
          <w:sz w:val="20"/>
          <w:szCs w:val="20"/>
          <w:color w:val="auto"/>
        </w:rPr>
      </w:pPr>
      <w:r>
        <w:rPr>
          <w:rFonts w:ascii="Arial" w:cs="Arial" w:eastAsia="Arial" w:hAnsi="Arial"/>
          <w:sz w:val="16"/>
          <w:szCs w:val="16"/>
          <w:color w:val="auto"/>
        </w:rPr>
        <w:t>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Any marketing application for a biologic submitted to the FDA for approval may be eligible for FDA programs intended to expedite the FDA review and approval process, such as priority review, fast track designation, breakthrough therapy and accelerated approval.</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 In July 2021, OPT-302 was granted Fast Track Designation by the FDA for the treatment of wet AMD.</w:t>
      </w:r>
    </w:p>
    <w:p>
      <w:pPr>
        <w:spacing w:after="0" w:line="18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 The benefits of breakthrough therapy designation include the same benefits as fast track designation, plus intensive guidance from the FDA to ensure an efficient drug development program.</w:t>
      </w:r>
    </w:p>
    <w:p>
      <w:pPr>
        <w:spacing w:after="0" w:line="166"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 track designation, breakthrough therapy designation, and accelerated approval do not change the standards for approval but may expedite the development or approval process.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designation must be requested before submitting a BLA. After the FDA grants orphan designation, the generic identity of the therapeutic agent and its potential orphan use are disclosed publicly by the FDA. The orphan drug designation does not convey any advantage in, or automatically shorten the duration of, the regulatory review or approval process.</w:t>
      </w:r>
    </w:p>
    <w:p>
      <w:pPr>
        <w:spacing w:after="0" w:line="18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for which it has such designation, the product is entitled to orphan exclusivity, which means that the FDA may not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0" w:name="page101"/>
    <w:bookmarkEnd w:id="100"/>
    <w:p>
      <w:pPr>
        <w:jc w:val="both"/>
        <w:spacing w:after="0" w:line="260" w:lineRule="auto"/>
        <w:rPr>
          <w:sz w:val="20"/>
          <w:szCs w:val="20"/>
          <w:color w:val="auto"/>
        </w:rPr>
      </w:pPr>
      <w:r>
        <w:rPr>
          <w:rFonts w:ascii="Arial" w:cs="Arial" w:eastAsia="Arial" w:hAnsi="Arial"/>
          <w:sz w:val="17"/>
          <w:szCs w:val="17"/>
          <w:color w:val="auto"/>
        </w:rPr>
        <w:t>approve any other applications, including a full BLA, to market the same product for the same indication for seven years, except in limited circumstances, such as a showing of clinical superiority to the product with orphan drug exclusivity. Orphan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 A designated orphan product may not receive orphan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22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quality control and quality assurance,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7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0" w:lineRule="exact"/>
        <w:rPr>
          <w:sz w:val="20"/>
          <w:szCs w:val="20"/>
          <w:color w:val="auto"/>
        </w:rPr>
      </w:pPr>
    </w:p>
    <w:p>
      <w:pPr>
        <w:jc w:val="both"/>
        <w:ind w:left="880" w:hanging="434"/>
        <w:spacing w:after="0" w:line="29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 other safety information about the product, or complete withdrawal of the product from the market or product recalls;</w:t>
      </w:r>
    </w:p>
    <w:p>
      <w:pPr>
        <w:spacing w:after="0" w:line="155" w:lineRule="exact"/>
        <w:rPr>
          <w:rFonts w:ascii="Arial" w:cs="Arial" w:eastAsia="Arial" w:hAnsi="Arial"/>
          <w:sz w:val="16"/>
          <w:szCs w:val="16"/>
          <w:color w:val="auto"/>
        </w:rPr>
      </w:pPr>
    </w:p>
    <w:p>
      <w:pPr>
        <w:ind w:left="880" w:hanging="43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fines, warning or untitled letters or holds on post-approval clinical studies;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product seizure or detention, or refusal of the FDA to permit the import or export of products; or</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injunctions, consent decrees or the imposition of civil or criminal penalties.</w:t>
      </w:r>
    </w:p>
    <w:p>
      <w:pPr>
        <w:spacing w:after="0" w:line="220"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The FDA does not regulate the behavior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of physicians in their choice of treatments. The FDA does, however, restrict manufacturer’s communications on the subject of off-label use of their products.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Affordable Care Act signed into law in 2010, includes a subtitle called the Biologics Price Competition and Innovation Act of 2009,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its approach to the review and approval of biosimilars.</w:t>
      </w:r>
    </w:p>
    <w:p>
      <w:pPr>
        <w:spacing w:after="0" w:line="18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6"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1"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U.S. Healthcare Laws and Compliance Requirements</w:t>
      </w:r>
    </w:p>
    <w:p>
      <w:pPr>
        <w:spacing w:after="0" w:line="220" w:lineRule="exact"/>
        <w:rPr>
          <w:sz w:val="20"/>
          <w:szCs w:val="20"/>
          <w:color w:val="auto"/>
        </w:rPr>
      </w:pPr>
    </w:p>
    <w:p>
      <w:pPr>
        <w:jc w:val="both"/>
        <w:ind w:firstLine="448"/>
        <w:spacing w:after="0" w:line="276" w:lineRule="auto"/>
        <w:rPr>
          <w:sz w:val="20"/>
          <w:szCs w:val="20"/>
          <w:color w:val="auto"/>
        </w:rPr>
      </w:pPr>
      <w:r>
        <w:rPr>
          <w:rFonts w:ascii="Arial" w:cs="Arial" w:eastAsia="Arial" w:hAnsi="Arial"/>
          <w:sz w:val="16"/>
          <w:szCs w:val="16"/>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transparency and price reporting laws, the privacy and security provisions of the Health Insurance Portability and Accountability Act, or HIPAA and similar state laws, each as amended, as applicable. Our business operations and current and future arrangements with investigators, healthcare professionals, consultants, third-party payors and customers may be subject to healthcare laws, regulations and enforcement by the federal government and by authorities in the states and foreign jurisdictions in which we conduct our business. Such laws include, without limitation, state and federal anti-kickback, fraud and abuse, false claims, privacy and security, price reporting, and transparency laws. Some of our pre-commercial activities are subject to some of these laws.</w:t>
      </w:r>
    </w:p>
    <w:p>
      <w:pPr>
        <w:spacing w:after="0" w:line="171"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2" w:name="page103"/>
    <w:bookmarkEnd w:id="102"/>
    <w:p>
      <w:pPr>
        <w:jc w:val="both"/>
        <w:spacing w:after="0" w:line="260" w:lineRule="auto"/>
        <w:rPr>
          <w:sz w:val="20"/>
          <w:szCs w:val="20"/>
          <w:color w:val="auto"/>
        </w:rPr>
      </w:pPr>
      <w:r>
        <w:rPr>
          <w:rFonts w:ascii="Arial" w:cs="Arial" w:eastAsia="Arial" w:hAnsi="Arial"/>
          <w:sz w:val="17"/>
          <w:szCs w:val="17"/>
          <w:color w:val="auto"/>
        </w:rPr>
        <w:t>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81"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Further, courts have found that if “one purpose” of remuneration is to induce referrals, the federal Anti-Kickback statute is violated. Violations of the Anti-Kickback Statute can result in significant civil and criminal fines and penalties for each violation, imprisonment, and exclusion from federal healthcare programs. In addition, the Affordable Care Act codified case law that a claim including items or services resulting from a violation of the federal Anti-Kickback Statute constitutes a false or fraudulent claim for purposes of the federal False Claims Act, or the FCA, as discussed below.</w:t>
      </w:r>
    </w:p>
    <w:p>
      <w:pPr>
        <w:spacing w:after="0" w:line="18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federal false claims laws, including the FCA, which can be enforced by private citizens through civil qui tam actions, and civil monetary penalty laws,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w:t>
      </w:r>
    </w:p>
    <w:p>
      <w:pPr>
        <w:spacing w:after="0" w:line="172"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5"/>
          <w:szCs w:val="15"/>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58" w:lineRule="exact"/>
        <w:rPr>
          <w:sz w:val="20"/>
          <w:szCs w:val="20"/>
          <w:color w:val="auto"/>
        </w:rPr>
      </w:pPr>
    </w:p>
    <w:p>
      <w:pPr>
        <w:jc w:val="both"/>
        <w:ind w:firstLine="448"/>
        <w:spacing w:after="0" w:line="296" w:lineRule="auto"/>
        <w:rPr>
          <w:sz w:val="20"/>
          <w:szCs w:val="20"/>
          <w:color w:val="auto"/>
        </w:rPr>
      </w:pPr>
      <w:r>
        <w:rPr>
          <w:rFonts w:ascii="Arial" w:cs="Arial" w:eastAsia="Arial" w:hAnsi="Arial"/>
          <w:sz w:val="15"/>
          <w:szCs w:val="15"/>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on certain covered healthcare providers, health plans, and healthcare clearinghouses as well as their respective business associates and their covered subcontractors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create, maintain, transmit,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3" w:name="page104"/>
    <w:bookmarkEnd w:id="103"/>
    <w:p>
      <w:pPr>
        <w:jc w:val="both"/>
        <w:ind w:firstLine="448"/>
        <w:spacing w:after="0" w:line="277" w:lineRule="auto"/>
        <w:rPr>
          <w:sz w:val="20"/>
          <w:szCs w:val="20"/>
          <w:color w:val="auto"/>
        </w:rPr>
      </w:pPr>
      <w:r>
        <w:rPr>
          <w:rFonts w:ascii="Arial" w:cs="Arial" w:eastAsia="Arial" w:hAnsi="Arial"/>
          <w:sz w:val="16"/>
          <w:szCs w:val="16"/>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Effective January 1, 2022, covered manufacturers will be required to report payments and other transfers of value made in the previous year to certain non-physician providers, including physician assistants, nurse practitioners, clinical nurse specialists, anesthesiologist assistants, certified registered nurse anesthetists and certified nurse midwives</w:t>
      </w:r>
    </w:p>
    <w:p>
      <w:pPr>
        <w:spacing w:after="0" w:line="172"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Certain state and local laws also require the registration of pharmaceutical sales representatives. We may be subject to state and foreign laws governing the privacy and security of health information, some of which may be more stringent than those in the United States (such as the GDPR, which was adopted by the EU and subsequently became effective in May 2018). These laws may differ from each other in significant ways and may not have the same effect, further complicating compliance efforts.</w:t>
      </w:r>
    </w:p>
    <w:p>
      <w:pPr>
        <w:spacing w:after="0" w:line="154" w:lineRule="exact"/>
        <w:rPr>
          <w:sz w:val="20"/>
          <w:szCs w:val="20"/>
          <w:color w:val="auto"/>
        </w:rPr>
      </w:pPr>
    </w:p>
    <w:p>
      <w:pPr>
        <w:jc w:val="both"/>
        <w:ind w:firstLine="448"/>
        <w:spacing w:after="0" w:line="296" w:lineRule="auto"/>
        <w:rPr>
          <w:sz w:val="20"/>
          <w:szCs w:val="20"/>
          <w:color w:val="auto"/>
        </w:rPr>
      </w:pPr>
      <w:r>
        <w:rPr>
          <w:rFonts w:ascii="Arial" w:cs="Arial" w:eastAsia="Arial" w:hAnsi="Arial"/>
          <w:sz w:val="15"/>
          <w:szCs w:val="15"/>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Additionally, to the extent that we have business operations in foreign countries or sell any of our products in foreign countries and jurisdictions, including Canada or the EU, we may be subject to additional regulation.</w:t>
      </w:r>
    </w:p>
    <w:p>
      <w:pPr>
        <w:spacing w:after="0" w:line="160"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its ability to operate our business and results of operations.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Pricing and Reimbursement in the U.S.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in foreign markets, sales of any products for which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4" w:name="page105"/>
    <w:bookmarkEnd w:id="104"/>
    <w:p>
      <w:pPr>
        <w:jc w:val="both"/>
        <w:spacing w:after="0" w:line="262" w:lineRule="auto"/>
        <w:rPr>
          <w:sz w:val="20"/>
          <w:szCs w:val="20"/>
          <w:color w:val="auto"/>
        </w:rPr>
      </w:pPr>
      <w:r>
        <w:rPr>
          <w:rFonts w:ascii="Arial" w:cs="Arial" w:eastAsia="Arial" w:hAnsi="Arial"/>
          <w:sz w:val="17"/>
          <w:szCs w:val="17"/>
          <w:color w:val="auto"/>
        </w:rPr>
        <w:t>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Third-party payors decide which medications they will pay for and establish reimbursement levels. Adequate coverage and reimbursement from governmental healthcare programs, such as Medicare and Medicaid in the United States, and commercial payors are critical to new product acceptance.</w:t>
      </w:r>
    </w:p>
    <w:p>
      <w:pPr>
        <w:spacing w:after="0" w:line="180"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In the United States, the principal decisions about reimbursement for new medicines are typically made by CMS, an agency within HHS. CMS decides whether and to what extent our products will be covered and reimbursed under Medicare and private payors tend to follow CMS to a substantial degree. Coverage and reimbursement by a third-party payor may depend upon a number of factors, including the third-party payor’s determination that use of a therapeutic is:</w:t>
      </w:r>
    </w:p>
    <w:p>
      <w:pPr>
        <w:spacing w:after="0" w:line="163" w:lineRule="exact"/>
        <w:rPr>
          <w:sz w:val="20"/>
          <w:szCs w:val="20"/>
          <w:color w:val="auto"/>
        </w:rPr>
      </w:pPr>
    </w:p>
    <w:p>
      <w:pPr>
        <w:ind w:left="880" w:hanging="43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2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155" w:lineRule="exact"/>
        <w:rPr>
          <w:sz w:val="20"/>
          <w:szCs w:val="20"/>
          <w:color w:val="auto"/>
        </w:rPr>
      </w:pPr>
    </w:p>
    <w:p>
      <w:pPr>
        <w:jc w:val="both"/>
        <w:ind w:firstLine="448"/>
        <w:spacing w:after="0" w:line="322" w:lineRule="auto"/>
        <w:rPr>
          <w:sz w:val="20"/>
          <w:szCs w:val="20"/>
          <w:color w:val="auto"/>
        </w:rPr>
      </w:pPr>
      <w:r>
        <w:rPr>
          <w:rFonts w:ascii="Arial" w:cs="Arial" w:eastAsia="Arial" w:hAnsi="Arial"/>
          <w:sz w:val="15"/>
          <w:szCs w:val="15"/>
          <w:color w:val="auto"/>
        </w:rPr>
        <w:t>We may develop products that, once approved, may be administered by a physician.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37" w:lineRule="exact"/>
        <w:rPr>
          <w:sz w:val="20"/>
          <w:szCs w:val="20"/>
          <w:color w:val="auto"/>
        </w:rPr>
      </w:pPr>
    </w:p>
    <w:p>
      <w:pPr>
        <w:jc w:val="both"/>
        <w:ind w:firstLine="448"/>
        <w:spacing w:after="0" w:line="295" w:lineRule="auto"/>
        <w:rPr>
          <w:sz w:val="20"/>
          <w:szCs w:val="20"/>
          <w:color w:val="auto"/>
        </w:rPr>
      </w:pPr>
      <w:r>
        <w:rPr>
          <w:rFonts w:ascii="Arial" w:cs="Arial" w:eastAsia="Arial" w:hAnsi="Arial"/>
          <w:sz w:val="15"/>
          <w:szCs w:val="15"/>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 If reimbursement is not available or is available only at limited levels, we may not be able to successfully commercialize any product candidate that we successfully develop.</w:t>
      </w:r>
    </w:p>
    <w:p>
      <w:pPr>
        <w:spacing w:after="0" w:line="163"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5" w:name="page106"/>
    <w:bookmarkEnd w:id="105"/>
    <w:p>
      <w:pPr>
        <w:jc w:val="both"/>
        <w:spacing w:after="0" w:line="270" w:lineRule="auto"/>
        <w:rPr>
          <w:sz w:val="20"/>
          <w:szCs w:val="20"/>
          <w:color w:val="auto"/>
        </w:rPr>
      </w:pPr>
      <w:r>
        <w:rPr>
          <w:rFonts w:ascii="Arial" w:cs="Arial" w:eastAsia="Arial" w:hAnsi="Arial"/>
          <w:sz w:val="17"/>
          <w:szCs w:val="17"/>
          <w:color w:val="auto"/>
        </w:rPr>
        <w:t>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220"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1"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172" w:lineRule="exact"/>
        <w:rPr>
          <w:sz w:val="20"/>
          <w:szCs w:val="20"/>
          <w:color w:val="auto"/>
        </w:rPr>
      </w:pPr>
    </w:p>
    <w:p>
      <w:pPr>
        <w:ind w:left="880" w:hanging="434"/>
        <w:spacing w:after="0" w:line="285"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159"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 and 13% of the average manufacturer price for most branded and generic drugs, respectively, and capped the total rebate amount for innovator drugs at 100% of the Average Manufacturer Price;</w:t>
      </w:r>
    </w:p>
    <w:p>
      <w:pPr>
        <w:spacing w:after="0" w:line="171" w:lineRule="exact"/>
        <w:rPr>
          <w:rFonts w:ascii="Arial" w:cs="Arial" w:eastAsia="Arial" w:hAnsi="Arial"/>
          <w:sz w:val="17"/>
          <w:szCs w:val="17"/>
          <w:color w:val="auto"/>
        </w:rPr>
      </w:pPr>
    </w:p>
    <w:p>
      <w:pPr>
        <w:jc w:val="both"/>
        <w:ind w:left="880" w:hanging="434"/>
        <w:spacing w:after="0" w:line="322" w:lineRule="auto"/>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new Medicare Part D coverage gap discount program, in which manufacturers must agree to offer 50% (increased to 70% pursuant to the Bipartisan Budget Act of 2018, or BBA, effective as of January 2019) point-of-sale discounts off negotiated prices of applicable branded drugs to eligible beneficiaries during their coverage gap period, as a condition for the manufacturers’ outpatient drugs to be covered under Medicare Part D;</w:t>
      </w:r>
    </w:p>
    <w:p>
      <w:pPr>
        <w:spacing w:after="0" w:line="137" w:lineRule="exact"/>
        <w:rPr>
          <w:rFonts w:ascii="Arial" w:cs="Arial" w:eastAsia="Arial" w:hAnsi="Arial"/>
          <w:sz w:val="15"/>
          <w:szCs w:val="15"/>
          <w:color w:val="auto"/>
        </w:rPr>
      </w:pPr>
    </w:p>
    <w:p>
      <w:pPr>
        <w:ind w:left="880" w:hanging="434"/>
        <w:spacing w:after="0" w:line="285"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59"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71" w:lineRule="exact"/>
        <w:rPr>
          <w:rFonts w:ascii="Arial" w:cs="Arial" w:eastAsia="Arial" w:hAnsi="Arial"/>
          <w:sz w:val="17"/>
          <w:szCs w:val="17"/>
          <w:color w:val="auto"/>
        </w:rPr>
      </w:pPr>
    </w:p>
    <w:p>
      <w:pPr>
        <w:ind w:left="880" w:hanging="434"/>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340B Drug Discount Program;</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FCA and the Anti-Kickback Statute, new government investigative powers, and enhanced penalties for noncompliance;</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requirements to report certain financial arrangements with certain healthcare providers and teaching hospitals;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6" w:name="page107"/>
    <w:bookmarkEnd w:id="106"/>
    <w:p>
      <w:pPr>
        <w:ind w:left="880" w:hanging="434"/>
        <w:spacing w:after="0" w:line="285" w:lineRule="auto"/>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establishment of a Center for Medicare and Medicaid Innovation at CMS to test innovative payment and service delivery models to lower Medicare and Medicaid spending; and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licensure framework for follow on biologic products.</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Since its enactment, there have been executive, legal and political challenges to certain aspects of the Affordable Care Act. By way of example, the Tax Cuts and Jobs Act, or TCJA,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It is possible that the Affordable Care Act will be subject to judicial or Congressional challenges in the future. It is unclear how any such challenges and the healthcare reform measures of the Biden administration will impact the Affordable Care Act.</w:t>
      </w:r>
    </w:p>
    <w:p>
      <w:pPr>
        <w:spacing w:after="0" w:line="181"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through 2030 unless additional Congressional action is taken. These Medicare sequester reductions have been suspended from May 1, 2020 through December 31, 2021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executive order to tie Medicare Part B payments for certain physician-administered drugs to the lowest price paid in other economically advanced countries. As a result of litigation challenging the Most Favored Nation model, on August 10, 2021, CMS published a proposed rule that seeks to rescind the Most Favored Nation Model interim final rule. Further,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the budget reconciliation process. Individual states in the United States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7" w:name="page108"/>
    <w:bookmarkEnd w:id="107"/>
    <w:p>
      <w:pPr>
        <w:jc w:val="both"/>
        <w:spacing w:after="0" w:line="270" w:lineRule="auto"/>
        <w:rPr>
          <w:sz w:val="20"/>
          <w:szCs w:val="20"/>
          <w:color w:val="auto"/>
        </w:rPr>
      </w:pPr>
      <w:r>
        <w:rPr>
          <w:rFonts w:ascii="Arial" w:cs="Arial" w:eastAsia="Arial" w:hAnsi="Arial"/>
          <w:sz w:val="17"/>
          <w:szCs w:val="17"/>
          <w:color w:val="auto"/>
        </w:rPr>
        <w:t>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72"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We expect that these and other healthcare reform measures that may be adopted in the future, may result in more rigorous coverage criteria and lower reimbursement, and in additional downward pressure on the price that we receive for any approved product. It is possible that additional governmental action is taken in response to the COVID-19 pandemic.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Union Product Approval Process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Non-Clinical Studies and Clinical Trials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Similar to the United States, the various phases of non-clinical research in the EU are subject to significant regulatory controls.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Non-clinical studies are performed to demonstrate the health or environmental safety of new chemical or biological substances. In particular, non-clinical studies, both in vitro and in vivo, must be planned, performed, monitored, recorded, reported and archived in accordance with the GLP principles, as set forth in Directive 2004/10/EC, which define a set of rules and criteria for a quality system for the organizational process and the conditions for non-clinical studies. These GLP standards reflect the Organization for Economic Co-operation and Development requirements.</w:t>
      </w:r>
    </w:p>
    <w:p>
      <w:pPr>
        <w:spacing w:after="0" w:line="17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The Clinical Trials Directive 2001/20/EC, the Directive 2005/28/EC on Good Clinical Practice, or GCP, and the related national implementing provisions of the individual EU member states currently govern the system for the approval of clinical trials in the EU.</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of EU members states and the International Conference on Harmonization, or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increasingly in EU member states, the sponsor is liable to provide “no fault” compensation to any study subject injured in the clinical trial.</w:t>
      </w:r>
    </w:p>
    <w:p>
      <w:pPr>
        <w:spacing w:after="0" w:line="18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Under the applicable regulatory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related favorable opinion. The application for authorization of a clinical trial must be accompanied by, among other documents, a copy of the trial protocol and an investigational medicinal product dossier containing information about the manufacture and quality of the medicinal product under investigation as prescribed by Directive 2001/20/EC, Directive 2005/28/EC, where relevant the related implementing national provisions of the individual EU member states, and further detailed in applicable guidance documents. Any substantial changes to the trial protocol or to other information submitted with the clinical trial application must be notified to and approved by the relevant competent national authorities and ethics committees. Medicinal products used in clinical trials must be manufactured in accordance with good manufacturing practice (GMP).</w:t>
      </w:r>
    </w:p>
    <w:p>
      <w:pPr>
        <w:spacing w:after="0" w:line="172"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In April 2014, the new Clinical Trials Regulation, (EU) No 536/2014 (Clinical Trials Regulation) was adopted. The Regulation is anticipated to enter into force on January 31, 2022. The Clinical Trials Regulation will be directly applicable in all the EU member states, repealing the current Clinical Trials Directive 2001/20/EC.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the duration of the individual clinical trial. If a clinical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8" w:name="page109"/>
    <w:bookmarkEnd w:id="108"/>
    <w:p>
      <w:pPr>
        <w:jc w:val="both"/>
        <w:spacing w:after="0" w:line="285" w:lineRule="auto"/>
        <w:rPr>
          <w:sz w:val="20"/>
          <w:szCs w:val="20"/>
          <w:color w:val="auto"/>
        </w:rPr>
      </w:pPr>
      <w:r>
        <w:rPr>
          <w:rFonts w:ascii="Arial" w:cs="Arial" w:eastAsia="Arial" w:hAnsi="Arial"/>
          <w:sz w:val="17"/>
          <w:szCs w:val="17"/>
          <w:color w:val="auto"/>
        </w:rPr>
        <w:t>trial continues for more than three years from the day on which the Clinical Trials Regulation becomes applicable the Clinical Trials Regulation will at that time begin to apply to the clinical trial.</w:t>
      </w:r>
    </w:p>
    <w:p>
      <w:pPr>
        <w:spacing w:after="0" w:line="159"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The new Clinical Trials Regulation aims to simplify and streamline the approval of clinical trials in the EU.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first by a single “reference” member state whose conclusions are then assessed by the competent authorities of all EU member states in which an application for authorization of a clinical trial has been submitted “concerned” member states. Part II is assessed separately by each concerned EU member state.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Marketing Authorizations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To obtain a marketing authorization, or MA, for a product in the EU, an applicant must submit an Marketing Authorization Application, or MAA, either under a centralized procedure administered by the European Medicines Agency, or EMA, or one of the procedures administered by competent authorities in the EU member states (decentralized procedure, national procedure or mutual recognition procedure). An MA may be granted only to an applicant established in the EU.</w:t>
      </w:r>
    </w:p>
    <w:p>
      <w:pPr>
        <w:spacing w:after="0" w:line="176"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 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the centralized procedure may be optional on the related approval of the EMA.</w:t>
      </w:r>
    </w:p>
    <w:p>
      <w:pPr>
        <w:spacing w:after="0" w:line="167"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Under the centralized procedure, the EMA’s Committee for Medicinal Products for Human Use (CHMP) is responsible for conducting the assessment of a product. The CHMP is also responsible for several post-authorization and maintenance activities, such as the assessment of modifications or extensions to an existing MA.</w:t>
      </w:r>
    </w:p>
    <w:p>
      <w:pPr>
        <w:spacing w:after="0" w:line="172"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(not including clock stops). The CHMP can, however, revert to the standard time limit for the centralized procedure if it considers that it is no longer appropriate to conduct an accelerated assessment.</w:t>
      </w:r>
    </w:p>
    <w:p>
      <w:pPr>
        <w:spacing w:after="0" w:line="18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(CMDh) for review. The subsequent decision of the European Commission is binding on all EU member states.</w:t>
      </w:r>
    </w:p>
    <w:p>
      <w:pPr>
        <w:spacing w:after="0" w:line="184"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The mutual recognition procedure allows companies that have a medicinal product already authorized in one EU member state to apply for this authorization to be recognized by the competent authorities in other EU member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9" w:name="page110"/>
    <w:bookmarkEnd w:id="109"/>
    <w:p>
      <w:pPr>
        <w:jc w:val="both"/>
        <w:spacing w:after="0" w:line="294" w:lineRule="auto"/>
        <w:rPr>
          <w:sz w:val="20"/>
          <w:szCs w:val="20"/>
          <w:color w:val="auto"/>
        </w:rPr>
      </w:pPr>
      <w:r>
        <w:rPr>
          <w:rFonts w:ascii="Arial" w:cs="Arial" w:eastAsia="Arial" w:hAnsi="Arial"/>
          <w:sz w:val="16"/>
          <w:szCs w:val="16"/>
          <w:color w:val="auto"/>
        </w:rPr>
        <w:t>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55"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In principle, an MA has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7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the MA will cease to be renewed.</w:t>
      </w:r>
    </w:p>
    <w:p>
      <w:pPr>
        <w:spacing w:after="0" w:line="17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applicable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is withdrawn in case the risk-benefit ratio is no longer favorable.</w:t>
      </w:r>
    </w:p>
    <w:p>
      <w:pPr>
        <w:spacing w:after="0" w:line="172" w:lineRule="exact"/>
        <w:rPr>
          <w:sz w:val="20"/>
          <w:szCs w:val="20"/>
          <w:color w:val="auto"/>
        </w:rPr>
      </w:pPr>
    </w:p>
    <w:p>
      <w:pPr>
        <w:jc w:val="both"/>
        <w:ind w:firstLine="448"/>
        <w:spacing w:after="0" w:line="300" w:lineRule="auto"/>
        <w:rPr>
          <w:sz w:val="20"/>
          <w:szCs w:val="20"/>
          <w:color w:val="auto"/>
        </w:rPr>
      </w:pPr>
      <w:r>
        <w:rPr>
          <w:rFonts w:ascii="Arial" w:cs="Arial" w:eastAsia="Arial" w:hAnsi="Arial"/>
          <w:sz w:val="15"/>
          <w:szCs w:val="15"/>
          <w:color w:val="auto"/>
        </w:rPr>
        <w:t>In addition to an MA,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 holders and/or manufacturing and import authorization, or MIA holders and/or distribution authorization holders may be subject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0" w:name="page111"/>
    <w:bookmarkEnd w:id="110"/>
    <w:p>
      <w:pPr>
        <w:jc w:val="both"/>
        <w:spacing w:after="0" w:line="285" w:lineRule="auto"/>
        <w:rPr>
          <w:sz w:val="20"/>
          <w:szCs w:val="20"/>
          <w:color w:val="auto"/>
        </w:rPr>
      </w:pPr>
      <w:r>
        <w:rPr>
          <w:rFonts w:ascii="Arial" w:cs="Arial" w:eastAsia="Arial" w:hAnsi="Arial"/>
          <w:sz w:val="17"/>
          <w:szCs w:val="17"/>
          <w:color w:val="auto"/>
        </w:rPr>
        <w:t>to civil, criminal or administrative sanctions, including suspension of manufacturing authorization, in case of non-compliance with the EU or EU member states’ requirements applicable to the manufacturing of medicinal products.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Data and Market Exclusivity</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Orphan Medicinal Products</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in ten thousand persons in the EU when the application is made, or (b) the product, without the benefits derived from orphan status, would not generate sufficient return in the EU; and (3) there exists no satisfactory method of diagnosis, prevention or treatment of the condition in question that has been authorized in the EU or, if such method exists, the product will be of significant benefit to those affected by that condition.</w:t>
      </w:r>
    </w:p>
    <w:p>
      <w:pPr>
        <w:spacing w:after="0" w:line="18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In the EU, an application for designation as an orphan product can be made any time prior to the filing of the MAA. Orphan medicinal product designation entitles an applicant to incentives such fee reductions or fee waivers, protocol assistance, and access to the centralized MA procedure. Upon grant of an MA, orphan medicinal products are entitled to a ten-year period of exclusivity for the approved therapeutic indication, which means that the EMA cannot accept another MAA, or grant an MA, or accept an application to extend an MA for a similar product for the same indication for a period of ten years. The period of exclusivity is extended by two years for orphan medicinal products that have also complied with an agreed PIP. No extension to any supplementary protection certificate can be granted on the basis of paediatric studies for orphan indications. Orphan medicinal product designation does not convey any advantage in, or shorten the duration of, the regulatory review and approval process.</w:t>
      </w:r>
    </w:p>
    <w:p>
      <w:pPr>
        <w:spacing w:after="0" w:line="181"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The period of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1" w:name="page112"/>
    <w:bookmarkEnd w:id="111"/>
    <w:p>
      <w:pPr>
        <w:jc w:val="both"/>
        <w:spacing w:after="0" w:line="285" w:lineRule="auto"/>
        <w:rPr>
          <w:sz w:val="20"/>
          <w:szCs w:val="20"/>
          <w:color w:val="auto"/>
        </w:rPr>
      </w:pPr>
      <w:r>
        <w:rPr>
          <w:rFonts w:ascii="Arial" w:cs="Arial" w:eastAsia="Arial" w:hAnsi="Arial"/>
          <w:sz w:val="17"/>
          <w:szCs w:val="17"/>
          <w:color w:val="auto"/>
        </w:rPr>
        <w:t>safer, more effective or otherwise clinically superior to the original orphan medicinal product. A company may voluntarily remove a product from the register of orphan products.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Post-Approval Requirements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Where an MA is granted in relation to a medicinal product in the EU, the holder of the MA is required to comply with a range of regulatory requirements applicable to the manufacturing, marketing, promotion and sale of medicinal products.</w:t>
      </w:r>
    </w:p>
    <w:p>
      <w:pPr>
        <w:spacing w:after="0" w:line="159"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Coverage, Pricing and Reimbursement outside the United States</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Outside the U.S., pharmaceutical companies, products and distributors are also generally subject to extensive governmental price controls and other market regulations. We believe the increasing emphasis on cost-containment initiatives in EEA and other countries has and will continue to put pressure on the pricing and usage of our products. In many countries, the prices of medical products are subject to varying price control mechanisms as part of national health systems that fund a large part of the cost of those products to consumers. Some countries operate positive and negative list systems under which products may only be marketed once a reimbursement price has been agreed. To obtain reimbursement or pricing approval, some of these countries may require the completion of comparative trials that compare the cost effectiveness of a particular product candidate to currently available therapies. Other countries allow companies to fix their own prices for medical products, but monitor and control company profits. Additional price controls in foreign countries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spacing w:after="0" w:line="168"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Moreover, increasing efforts by governmental and third-party payors abroad, as in the U.S., to control healthcare costs may cause such organizations to limit both coverage and the level of reimbursement for new products approved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w:t>
      </w:r>
    </w:p>
    <w:p>
      <w:pPr>
        <w:spacing w:after="0" w:line="176"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If we are unable to establish or sustain coverage and adequate reimbursement for any of products from third-party payors, the adoption of those products and sales revenue will be adversely affected, which, in turn, could adversely affect the ability to market or sell those product candidates, if approved.</w:t>
      </w:r>
    </w:p>
    <w:p>
      <w:pPr>
        <w:spacing w:after="0" w:line="13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In various EEA countries, we expect to be subject to continuous cost-cutting measures, such as lower maximum prices, lower or lack of reimbursement coverage and incentives to use cheaper products as an alternative. Health Technology Assessment, or HTA, of medicinal products is becoming an increasingly common part of the pricing and reimbursement procedures in some EEA countries, including countries representing major markets. The HTA process, which is currently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EEA Member States. On January 31, 2018, the European Commission adopted a proposal for a regulation on health technologies assessment. The proposed regulation is intended to boost cooperation among EEA Member States in assessing health technologies, including new medicinal products, and providing the basis for cooperation at the EEA level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2" w:name="page113"/>
    <w:bookmarkEnd w:id="112"/>
    <w:p>
      <w:pPr>
        <w:jc w:val="both"/>
        <w:spacing w:after="0" w:line="270" w:lineRule="auto"/>
        <w:rPr>
          <w:sz w:val="20"/>
          <w:szCs w:val="20"/>
          <w:color w:val="auto"/>
        </w:rPr>
      </w:pPr>
      <w:r>
        <w:rPr>
          <w:rFonts w:ascii="Arial" w:cs="Arial" w:eastAsia="Arial" w:hAnsi="Arial"/>
          <w:sz w:val="17"/>
          <w:szCs w:val="17"/>
          <w:color w:val="auto"/>
        </w:rPr>
        <w:t>for joint clinical assessments in these areas. In June 2021, the European Parliament and Council reached a provisional agreement on the draft regulation. Entry into application of the Regulation could impose stricter and more detailed procedures to be followed by MAHs concerning conduct of HTA in relation to their products which may influence related pricing and reimbursement decisions.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Advertising Regulation</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rules, the details are governed by regulations in individual EU member states and can differ from one country to another. Applicable laws require that promotional materials and advertising in relation to medicinal products comply with the product’s Summary of Product Characteristics, or SmPC, as approved by the competent authorities in connection with an MA, therefore all off-label promotion is prohibited.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184"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 of the World Regulation</w:t>
      </w:r>
    </w:p>
    <w:p>
      <w:pPr>
        <w:spacing w:after="0" w:line="22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55"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2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Regulations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are also subject to numerous federal, state and local laws and foreign laws relating to such matters as safe working conditions, manufacturing practices, environmental protection, fire hazard control, and disposal 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hazardous or potentially hazardous substances. We may incur significant costs to comply with such laws and regulations now or in the future.</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In addition to regulation in the United States and the EEA, a variety of foreign regulations govern clinical trials, commercial sales and distribution of drugs. Pharmaceutical firms who wish to market their medicinal drugs outside the EEA and the United States must submit marketing authorization application to the national authorities of the concerned countries, such as the Pharmaceutical and Medical Device Agency, or PMDA in Japan. The approval process varies from jurisdiction to jurisdiction and the time to approval may be longer or shorter than that required by the FDA or European Commission.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w:t>
      </w:r>
    </w:p>
    <w:p>
      <w:pPr>
        <w:spacing w:after="0" w:line="22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are dependent on specialized third parties, who are subject to cGMP requirements and regulations, for the supply and manufacture of OPT-302 drug substance and drug product. We do not have any internal manufacturing and control capabilities. We source the drug substance for OPT-302 and our clinical trials on a purchase order basis. However, we believe that competitive pricing is achieved because there are a number of potential long-term replacements for our suppliers of drug substance.</w:t>
      </w:r>
    </w:p>
    <w:p>
      <w:pPr>
        <w:spacing w:after="0" w:line="17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In October 2013, we entered into a biopharmaceutical manufacturing agreement, or the Patheon Agreement, with Patheon Biologics Company, Austria Pty Ltd. and Patheon Biologics Company B.V., or collectively Patheon. The Patheon Agreement establishes the general terms and conditions pursuant to which Patheon or its affiliates will manufacture OPT-302 drug product for us in accordance with cGMP requirements. Under the Patheon Agreement, Patheon granted us a perpetual, royalty-free, fully paid-up, non-exclusive, worldwide, transferable and sublicensable license, under all of Patheon’s intellectual property rights embedded in the development and manufacture process to the extent necessary for developing, making, using and selling OPT-302.</w:t>
      </w:r>
    </w:p>
    <w:p>
      <w:pPr>
        <w:spacing w:after="0" w:line="163"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The Patheon Agreement will expire on the date that all of the manufacturing services to be performed by Patheon are completed. We may terminate the Patheon Agreement for any reason upon prior written notice. Patheon may terminate the Patheon Agreement upon prior written notice if Patheon has not performed any activities under the Patheon Agreement for certain period of time or if, despite Patheon’s commercially reasonably best efforts, Patheon determines that the services cannot be completed according to specifications approved by us or within a reasonable time after the originally planned timeframe. Either party may terminate the Patheon Agreement for the other party’s uncured material breach or bankruptcy. In addition, the Patheon Agreement will terminate if the parties are unable to reach agreement regarding necessary changes to the services based on the results of individual stage of development work. Upon termination of the Patheon Agreement, we are required to pay Patheon for services properly performed, including non-cancelable costs. Based upon the timing of the termination, we may also be required to pay Patheon certain close out cost for canceled services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As of June 30, 2021, we had nine full-time employees, four of whom had an M.D. or Ph.D. degree. None of our employees are represented by collective bargaining agreements. We believe that our management maintains good relations with our employees. As of June 30, 2021, all of our employees were based in Australia, with four employees in our research and development department and five employees in our general and administrative department.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We are currently not a party to any material legal proceedings.</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4C.</w:t>
      </w:r>
      <w:r>
        <w:rPr>
          <w:sz w:val="20"/>
          <w:szCs w:val="20"/>
          <w:color w:val="auto"/>
        </w:rPr>
        <w:tab/>
      </w:r>
      <w:r>
        <w:rPr>
          <w:rFonts w:ascii="Arial" w:cs="Arial" w:eastAsia="Arial" w:hAnsi="Arial"/>
          <w:sz w:val="16"/>
          <w:szCs w:val="16"/>
          <w:b w:val="1"/>
          <w:bCs w:val="1"/>
          <w:color w:val="auto"/>
        </w:rPr>
        <w:t>Organizational Structure</w:t>
      </w:r>
    </w:p>
    <w:p>
      <w:pPr>
        <w:spacing w:after="0" w:line="22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Opthea Limited is the parent company of two wholly-owned subsidiaries for which it holds 100% of the voting power: Vegenics Pty Ltd, incorporated in Australia in January 2006 and Opthea US Inc, incorporated in the United States in May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4" w:name="page115"/>
    <w:bookmarkEnd w:id="114"/>
    <w:p>
      <w:pPr>
        <w:spacing w:after="0"/>
        <w:tabs>
          <w:tab w:leader="none" w:pos="420" w:val="left"/>
        </w:tabs>
        <w:rPr>
          <w:sz w:val="20"/>
          <w:szCs w:val="20"/>
          <w:color w:val="auto"/>
        </w:rPr>
      </w:pPr>
      <w:r>
        <w:rPr>
          <w:rFonts w:ascii="Arial" w:cs="Arial" w:eastAsia="Arial" w:hAnsi="Arial"/>
          <w:sz w:val="17"/>
          <w:szCs w:val="17"/>
          <w:b w:val="1"/>
          <w:bCs w:val="1"/>
          <w:color w:val="auto"/>
        </w:rPr>
        <w:t>4D.</w:t>
      </w:r>
      <w:r>
        <w:rPr>
          <w:sz w:val="20"/>
          <w:szCs w:val="20"/>
          <w:color w:val="auto"/>
        </w:rPr>
        <w:tab/>
      </w:r>
      <w:r>
        <w:rPr>
          <w:rFonts w:ascii="Arial" w:cs="Arial" w:eastAsia="Arial" w:hAnsi="Arial"/>
          <w:sz w:val="15"/>
          <w:szCs w:val="15"/>
          <w:b w:val="1"/>
          <w:bCs w:val="1"/>
          <w:color w:val="auto"/>
        </w:rPr>
        <w:t>Property, Plants and Equipment</w:t>
      </w:r>
    </w:p>
    <w:p>
      <w:pPr>
        <w:spacing w:after="0" w:line="22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occupy approximately 591 square feet of office space in South Yarra, Victoria, Australia under a lease that expires in July 2022. We believe that our existing facilities are adequate to meet our current needs and that suitable additional alternative facilities will be available in the future on commercially reasonable terms to meet our future needs.</w:t>
      </w:r>
    </w:p>
    <w:p>
      <w:pPr>
        <w:spacing w:after="0" w:line="1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4E.</w:t>
        <w:tab/>
        <w:t>Unresolved Staff Comments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5.Operating and Financial Review and Prospects</w:t>
      </w:r>
    </w:p>
    <w:p>
      <w:pPr>
        <w:spacing w:after="0" w:line="22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The following “Operating and Financial Review and Prospects” should be read together with our consolidated financial statements and the accompanying notes included elsewhere in this annual report. The following discussion is based on our financial information prepared in accordance with IFRS, as issued by the IASB, which might differ in material respects from accounting principles generally accepted in other jurisdictions, including U.S. GAAP.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“Risk Factors” and elsewhere in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6"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6"/>
          <w:szCs w:val="16"/>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initiated two pivotal Phase 3 clinical trials in treatment-naive patients with wet AMD to evaluate the efficacy and safety of OPT-302 in combination with anti-VEGF-A therapies compared to anti-VEGF-A monotherapy in March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17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We were founded in 1984 and completed our initial public offering and listing of ordinary shares on the Australian Securities Exchange in 1985. In October 2020, we completed a U.S, initial public offering of ADSs on Nasdaq. In April 2007, we acquired intellectual property relating to VEGF receptor 3 and subsequently developed the intellectual property for our lead product candidate, OPT-302. Our development focus on the treatment of retinal diseases began in 2013. Since then, we have devoted substantially all of our efforts to organizing and staffing our company, business planning, raising capital, developing and manufacturing our lead product candidate, OPT-302, conducting research and development activities, including preclinical studies and clinical trials, and providing general and administrative support for these operations. Our operations relating to the development of OPT-302 have been financed primarily through the issuance and sale of new ordinary shares totaling US$234.1 million through June 30, 2021. We have also received an aggregate of US$28.5 million (A$40.5 million) in cash tax incentives for the five fiscal years ended June 30, 2021 under the Research and Development, or R&amp;D, Tax Incentive Scheme for the funding of the development of and clinical trials for OPT-302.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15" w:name="page116"/>
    <w:bookmarkEnd w:id="115"/>
    <w:p>
      <w:pPr>
        <w:jc w:val="both"/>
        <w:ind w:firstLine="448"/>
        <w:spacing w:after="0" w:line="276" w:lineRule="auto"/>
        <w:rPr>
          <w:sz w:val="20"/>
          <w:szCs w:val="20"/>
          <w:color w:val="auto"/>
        </w:rPr>
      </w:pPr>
      <w:r>
        <w:rPr>
          <w:rFonts w:ascii="Arial" w:cs="Arial" w:eastAsia="Arial" w:hAnsi="Arial"/>
          <w:sz w:val="16"/>
          <w:szCs w:val="16"/>
          <w:color w:val="auto"/>
        </w:rPr>
        <w:t>We have incurred operating losses since 2013. Our ability to generate product revenue sufficient to achieve profitability will be dependent on the successful development and eventual commercialization of OPT-302 and any future product candidates. Our total comprehensive loss was US$14.8 million, US$11.1 million, and US$44.9 million for the years ended June 30, 2019, 2020 and 2021, respectively. As of June 30, 2021, we had an accumulated loss of US$124.1 million. We expect to continue to incur significant expenses for at least the next several years as we advance OPT-302 through late-stage clinical development, including our planned pivotal Phase 3 trials of OPT-302 in combination with anti-VEGF-A therapy for the treatment of wet AMD, and, if these results are favorable, seek regulatory approval for OPT-302. In addition, we may also pursue development of OPT-302 for the treatment of additional indications, including DME, retinal vein occlusion and other indications in which OPT-302 has the potential to provide therapeutic benefit. In addition, if we obtain marketing approval for OPT-302, we expect to incur significant commercialization expenses related to product manufacturing, marketing, sales and distribution. As a company whose ADSs are publicly traded in the United States, we have incurred and will continue to incur additional costs associated with operating as a public company in the United States, including significant additional legal, accounting, investor relations, compliance and other expenses.</w:t>
      </w:r>
    </w:p>
    <w:p>
      <w:pPr>
        <w:spacing w:after="0" w:line="171" w:lineRule="exact"/>
        <w:rPr>
          <w:sz w:val="20"/>
          <w:szCs w:val="20"/>
          <w:color w:val="auto"/>
        </w:rPr>
      </w:pPr>
    </w:p>
    <w:p>
      <w:pPr>
        <w:jc w:val="both"/>
        <w:ind w:firstLine="448"/>
        <w:spacing w:after="0" w:line="305" w:lineRule="auto"/>
        <w:rPr>
          <w:sz w:val="20"/>
          <w:szCs w:val="20"/>
          <w:color w:val="auto"/>
        </w:rPr>
      </w:pPr>
      <w:r>
        <w:rPr>
          <w:rFonts w:ascii="Arial" w:cs="Arial" w:eastAsia="Arial" w:hAnsi="Arial"/>
          <w:sz w:val="15"/>
          <w:szCs w:val="15"/>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as well as Australian research and development tax incentives.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OPT-302.</w:t>
      </w:r>
    </w:p>
    <w:p>
      <w:pPr>
        <w:spacing w:after="0" w:line="151"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Because of the numerous risks and uncertainties associated with the development of biopharmaceutical product candidates, we are unable to predict the timing or amount of increased expenses or when or if we will be able to achieve or maintain profitability. Even if we are able to generate product sales, we may never become profitable. If we fail to become profitable or are unable to sustain profitability on a continuing basis, then we may be unable to continue our operations at planned levels and be forced to scale back or discontinue our operations.</w:t>
      </w:r>
    </w:p>
    <w:p>
      <w:pPr>
        <w:spacing w:after="0" w:line="176" w:lineRule="exact"/>
        <w:rPr>
          <w:sz w:val="20"/>
          <w:szCs w:val="20"/>
          <w:color w:val="auto"/>
        </w:rPr>
      </w:pPr>
    </w:p>
    <w:p>
      <w:pPr>
        <w:jc w:val="both"/>
        <w:ind w:firstLine="448"/>
        <w:spacing w:after="0" w:line="322" w:lineRule="auto"/>
        <w:rPr>
          <w:sz w:val="20"/>
          <w:szCs w:val="20"/>
          <w:color w:val="auto"/>
        </w:rPr>
      </w:pPr>
      <w:r>
        <w:rPr>
          <w:rFonts w:ascii="Arial" w:cs="Arial" w:eastAsia="Arial" w:hAnsi="Arial"/>
          <w:sz w:val="15"/>
          <w:szCs w:val="15"/>
          <w:color w:val="auto"/>
        </w:rPr>
        <w:t>As of June 30, 2021, we had cash and cash equivalents of US$118.2 million. We believe that our existing cash and cash equivalents as of June 30, 2021 will enable us to fund our operating and research and development expenses through the third calendar quarter of 2023. We have based this estimate on assumptions that may prove to be wrong, and we could exhaust our available capital resources sooner than we expect. See “—Liquidity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26" w:lineRule="exact"/>
        <w:rPr>
          <w:sz w:val="20"/>
          <w:szCs w:val="20"/>
          <w:color w:val="auto"/>
        </w:rPr>
      </w:pPr>
    </w:p>
    <w:p>
      <w:pPr>
        <w:jc w:val="both"/>
        <w:ind w:firstLine="448"/>
        <w:spacing w:after="0" w:line="296" w:lineRule="auto"/>
        <w:rPr>
          <w:sz w:val="20"/>
          <w:szCs w:val="20"/>
          <w:color w:val="auto"/>
        </w:rPr>
      </w:pPr>
      <w:r>
        <w:rPr>
          <w:rFonts w:ascii="Arial" w:cs="Arial" w:eastAsia="Arial" w:hAnsi="Arial"/>
          <w:sz w:val="15"/>
          <w:szCs w:val="15"/>
          <w:color w:val="auto"/>
        </w:rPr>
        <w:t>We are closely monitoring how the COVID-19 pandemic is affecting our employees, business, preclinical studies and clinical trials. In response to the COVID-19 pandemic, all of our employees have transitioned to working remotely and travel has been restricted. Although operations to date have not been materially negatively affected by the COVID-19 pandemic, at this time, there is significant uncertainty relating to the trajectory of the pandemic, including due to emerging variant strains of the virus with varying degrees of vaccine resistance as well as resulting continued quarantine and lockdown measures implemented by governments and authorities.. The impact of related responses and disruptions caused by the COVID-19 pandemic may result in difficulties or delays in initiating, enrolling, conducting or completing our planned clinical trials and the incurrence of unforeseen costs as a result of disruptions in clinical supply or clinical trial delays. The impact of COVID-19 on our future results will largely depend on future developments, which are highly uncertain and cannot be predicted with confidence, such as the ultimate geographic spread of the disease, the duration of the pandemic, emerging variant strains of COVID-19, travel restrictions and social distancing in Australia, the United States and other countries, business closures or business disruptions, the ultimate impact on financial markets and the global economy and the effectiveness of actions taken in Australia, the United States and other countries to contain and treat the disease.</w:t>
      </w:r>
    </w:p>
    <w:p>
      <w:pPr>
        <w:spacing w:after="0" w:line="15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5A.</w:t>
      </w:r>
      <w:r>
        <w:rPr>
          <w:sz w:val="20"/>
          <w:szCs w:val="20"/>
          <w:color w:val="auto"/>
        </w:rPr>
        <w:tab/>
      </w:r>
      <w:r>
        <w:rPr>
          <w:rFonts w:ascii="Arial" w:cs="Arial" w:eastAsia="Arial" w:hAnsi="Arial"/>
          <w:sz w:val="15"/>
          <w:szCs w:val="15"/>
          <w:b w:val="1"/>
          <w:bCs w:val="1"/>
          <w:color w:val="auto"/>
        </w:rPr>
        <w:t>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6" w:name="page117"/>
    <w:bookmarkEnd w:id="116"/>
    <w:p>
      <w:pPr>
        <w:jc w:val="both"/>
        <w:ind w:firstLine="448"/>
        <w:spacing w:after="0" w:line="311" w:lineRule="auto"/>
        <w:rPr>
          <w:sz w:val="20"/>
          <w:szCs w:val="20"/>
          <w:color w:val="auto"/>
        </w:rPr>
      </w:pPr>
      <w:r>
        <w:rPr>
          <w:rFonts w:ascii="Arial" w:cs="Arial" w:eastAsia="Arial" w:hAnsi="Arial"/>
          <w:sz w:val="15"/>
          <w:szCs w:val="15"/>
          <w:color w:val="auto"/>
        </w:rPr>
        <w:t>Revenue consists of sales-based royalties in connection with the out-licensing of certain intellectual property assets that are unrelated to our core business and the development of OPT-302 and are not currently under development. These licenses are primarily used by third-party licensees for research purposes, and we expect revenue from these out-licensing arrangements to be nominal in future periods. These are variable consideration amounts and are recognized when the sales by our license partners to third parties occur, as the performance obligation to transfer the intellectual property to the license partner is already satisfied.</w:t>
      </w:r>
    </w:p>
    <w:p>
      <w:pPr>
        <w:spacing w:after="0" w:line="14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color w:val="auto"/>
        </w:rPr>
        <w:t>To date, we have not generated any revenue from sales of approved products. Because of the numerous risks and uncertainties associated with product development and regulatory approval, we are unable to predict the amount, timing or whether we will be able to obtain revenue from sales of approved products, and we may never succeed in obtaining regulatory approval for OPT-302 or any other product candidate. If our development efforts for OPT-302 are successful and result in an approved and marketed product, or if we enter into additional collaboration or license agreements with third parties, we may generate revenue in the future from a combination of product sales or payments from such collaboration or license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Other income primarily comprises finance income from interest on bank deposits and funding under a one-time Australian government grant and the Australian Tax Office.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comprise the research project costs related to the development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clinical trials, for OPT-302 for the treatment of wet AMD and DME. R&amp;D expenses also include:</w:t>
      </w:r>
    </w:p>
    <w:p>
      <w:pPr>
        <w:spacing w:after="0" w:line="159" w:lineRule="exact"/>
        <w:rPr>
          <w:sz w:val="20"/>
          <w:szCs w:val="20"/>
          <w:color w:val="auto"/>
        </w:rPr>
      </w:pPr>
    </w:p>
    <w:p>
      <w:pPr>
        <w:ind w:left="880" w:hanging="434"/>
        <w:spacing w:after="0" w:line="285"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expenses incurred in connection with the clinical development of our product candidates, including under agreements with third parties, such as consultants and contract research organizations, or CROs;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cost of manufacturing and purchasing drug products for use in our clinical trials, including under agreements with third parties, such as consultants and contract manufacturing organizations, or CMOs;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facilities, depreciation and other expenses, which include direct or allocated expenses for rent, maintenance of facilities and insurance;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costs related to compliance with regulatory requirements;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clinical trial insurance.</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expense R&amp;D costs as incurred and have not capitalized any amounts of R&amp;D costs as of June 30, 2021. For the years ended June 30, 2019 and 2020, we did not make any advance payments for goods or services to be received in future periods for use in R&amp;D activities however in the year ended June 30, 2021 we made advance payments for R&amp;D activities that will be provided by our CRO.</w:t>
      </w:r>
    </w:p>
    <w:p>
      <w:pPr>
        <w:spacing w:after="0" w:line="172"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Our direct R&amp;D expenses are tracked on a program-by-program basis for our product candidate and consist primarily of external costs, such as fees paid to CROs, CMOs, research laboratories and outside consultants in connection with our process development, manufacturing and clinical development activities. We do not allocate employee costs associated with our research efforts, laboratory supplies and facilities, including depreciation and other indirect costs, to specific programs because these costs are deployed across multiple development activities and indications for OPT-302 and, as such, are not separately classified. We use internal resources primarily to conduct our research activities as well as for managing our process development, manufacturing and clinical development activities. These employees work across multiple development programs and, therefore, we do not track these costs by program.</w:t>
      </w:r>
    </w:p>
    <w:p>
      <w:pPr>
        <w:spacing w:after="0" w:line="167"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R&amp;D expenses in fiscal years after June 30, 2021 are expected to comprise costs of a similar nature to that recorded to date. Product candidates in later stages of clinical development, such as OPT-302, generally have higher development costs than those in earlier stages of clinical development, primarily due to the increased size and duration of later-stage clinical trials. We expect that our R&amp;D expenses will increase in connection with our planned clinical development, manufacturing and regulatory approval activities in the near term and in the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including as we continue our pivotal Phase 3 clinical trials of OPT-302 in combination with anti-VEGF-A therapy for the treatment of wet AMD.</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At this time, we cannot accurately estimate or know the nature, timing and costs of the efforts that will be necessary to complete the clinical development of OPT-302 and any future product candidates. We may never succeed in achieving regulatory approval for any of our product candidates. The duration, costs and timing of clinical trials and development of our product candidates will depend on a variety of factors, including:</w:t>
      </w:r>
    </w:p>
    <w:p>
      <w:pPr>
        <w:spacing w:after="0" w:line="172" w:lineRule="exact"/>
        <w:rPr>
          <w:sz w:val="20"/>
          <w:szCs w:val="20"/>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scope, rate of progress and expense of our planned clinical trials as well as other R&amp;D activities;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clinical trial results;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terms and timing of regulatory approvals;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expense of filing, maintaining, prosecuting, defending and enforcing patent claims and other intellectual property rights;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ability to raise necessary additional funds;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ability to obtain and maintain third-party insurance coverage and adequate reimbursement;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ability to market, commercialize and achieve market acceptance for any products that receive regulatory approval;</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continued acceptable safety profile of OPT-302 combination therapy following approval in any indication; and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establishing and maintaining agreements with third-party suppliers and manufacturers for clinical supply and commercial manufacturing of OPT-302, or any other product candidate, if approved.</w:t>
      </w:r>
    </w:p>
    <w:p>
      <w:pPr>
        <w:spacing w:after="0" w:line="15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A change in the outcome of any of these factors with respect to the development of OPT-302 could significantly change the duration, costs and timing associated with clinical trials and development of OPT-302.</w:t>
      </w:r>
    </w:p>
    <w:p>
      <w:pPr>
        <w:spacing w:after="0" w:line="159"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7"/>
          <w:szCs w:val="17"/>
          <w:i w:val="1"/>
          <w:iCs w:val="1"/>
          <w:color w:val="auto"/>
        </w:rPr>
        <w:t>Patent Expenses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Patent expenses comprise the cost of outside patent attorneys to manage and prosecute our patent portfolio.</w:t>
      </w:r>
    </w:p>
    <w:p>
      <w:pPr>
        <w:spacing w:after="0" w:line="220"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i w:val="1"/>
          <w:iCs w:val="1"/>
          <w:color w:val="auto"/>
        </w:rPr>
        <w:t>Intellectual Property Costs</w:t>
      </w:r>
      <w:r>
        <w:rPr>
          <w:rFonts w:ascii="Arial" w:cs="Arial" w:eastAsia="Arial" w:hAnsi="Arial"/>
          <w:sz w:val="16"/>
          <w:szCs w:val="16"/>
          <w:color w:val="auto"/>
        </w:rPr>
        <w:t>. Intellectual property costs relate to the license and patent assignment costs in respect of our in-license agreements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not currently under development and unrelated to our out-licensing arrangements under which we receive sales-based royalties.</w:t>
      </w:r>
    </w:p>
    <w:p>
      <w:pPr>
        <w:spacing w:after="0" w:line="136"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i w:val="1"/>
          <w:iCs w:val="1"/>
          <w:color w:val="auto"/>
        </w:rPr>
        <w:t>Administrative Expenses</w:t>
      </w:r>
      <w:r>
        <w:rPr>
          <w:rFonts w:ascii="Arial" w:cs="Arial" w:eastAsia="Arial" w:hAnsi="Arial"/>
          <w:sz w:val="17"/>
          <w:szCs w:val="17"/>
          <w:color w:val="auto"/>
        </w:rPr>
        <w:t>. Administrative expenses comprise employee benefit expenses, including share-based payment expenses; investor relations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insurance costs; audit, accountancy and legal fees; other personnel-related expenses; and depreciation expense. We anticipate that our administrative expenses will increase in the future as we increase our headcount to support development of OPT-302 and our continued research activities. We also anticipate that we will incur increased accounting, audit, legal, regulatory, compliance and director and officer insurance costs as well as investor and public relations expenses associated with being a public company in the United States.</w:t>
      </w:r>
    </w:p>
    <w:p>
      <w:pPr>
        <w:spacing w:after="0" w:line="18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i w:val="1"/>
          <w:iCs w:val="1"/>
          <w:color w:val="auto"/>
        </w:rPr>
        <w:t>Occupancy Expenses</w:t>
      </w:r>
      <w:r>
        <w:rPr>
          <w:rFonts w:ascii="Arial" w:cs="Arial" w:eastAsia="Arial" w:hAnsi="Arial"/>
          <w:sz w:val="17"/>
          <w:szCs w:val="17"/>
          <w:color w:val="auto"/>
        </w:rPr>
        <w:t>. Occupancy expenses represent the costs relating to our headquarters in Melbourne, Australia, including lease maintenance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costs.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Foreign Exchange Gain (Loss)</w:t>
      </w:r>
    </w:p>
    <w:p>
      <w:pPr>
        <w:spacing w:after="0" w:line="220"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Net foreign exchange gain (loss) represents the impact of the variance in exchange rates between the U.S. dollar and the Australian dollar, Euro, British Pound and Canadian dollar on our cash and cash equivalents, financial assets, financial liabilities and foreign currency denominated transactions.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Income Tax Benefit</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Income tax benefit represents the cash incentive amount receivable under the R&amp;D Tax Incentive Scheme, an Australian Federal Government program under which eligible companies with annual aggregated revenue of less than A$20.0 million can receive cash amounts equal to 43.5% of eligible R&amp;D expenditures from the Australian Taxation Office, or the ATO. The ATO may also make other changes to the eligibility of R&amp;D expenditures, including placing a cap on the amount of non-clinical trial R&amp;D expenses claimed under the scheme.</w:t>
      </w:r>
    </w:p>
    <w:p>
      <w:pPr>
        <w:spacing w:after="0" w:line="176"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color w:val="auto"/>
        </w:rPr>
        <w:t>The R&amp;D Tax Incentive Scheme incentive relates to eligible expenditures incurred in Australia and, under certain circumstances, in other countries in connection with the development of OPT-302. The R&amp;D tax incentive is applied annually to eligible expenditures incurred during the fiscal year following an annual application and subsequent filing of our income tax return subsequent to fiscal year end. We estimate the amount of R&amp;D tax incentive after the completion of a fiscal year based on eligible Australia and overseas expenditures incurred during that year. We expect to continue applying for the R&amp;D tax incentive as we further develop OPT-302. In particular, we intend to apply for the costs expected to be incurred in Australia related to our planned pivotal Phase 3 clinical trials of OPT-302 in combination with anti-VEGF-A therapy for the treatment of wet AMD to be eligible for the R&amp;D tax incentive for future fiscal years once incurred. However, there can be no assurance that the ATO will allow these costs to be eligible for the tax incentive.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Fiscal Years Ended June 30, 2019, 2020 and 2021</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a summary of our consolidated statement of profit or loss and other comprehensive income for the periods presented.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87"/>
              </w:rPr>
              <w:t>Restated</w:t>
            </w:r>
          </w:p>
        </w:tc>
        <w:tc>
          <w:tcPr>
            <w:tcW w:w="13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5"/>
        </w:trPr>
        <w:tc>
          <w:tcPr>
            <w:tcW w:w="666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US$</w:t>
            </w: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US$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30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20"/>
                <w:szCs w:val="20"/>
                <w:color w:val="auto"/>
              </w:rPr>
            </w:pPr>
            <w:r>
              <w:rPr>
                <w:rFonts w:ascii="Arial" w:cs="Arial" w:eastAsia="Arial" w:hAnsi="Arial"/>
                <w:sz w:val="17"/>
                <w:szCs w:val="17"/>
                <w:color w:val="auto"/>
              </w:rPr>
              <w:t>Research and development expenses</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(25,892)</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(12,064)</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(22,420)</w:t>
            </w: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Patent expenses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(137)</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(282)</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21"/>
        </w:trPr>
        <w:tc>
          <w:tcPr>
            <w:tcW w:w="6660" w:type="dxa"/>
            <w:vAlign w:val="bottom"/>
          </w:tcPr>
          <w:p>
            <w:pPr>
              <w:spacing w:after="0"/>
              <w:rPr>
                <w:sz w:val="20"/>
                <w:szCs w:val="20"/>
                <w:color w:val="auto"/>
              </w:rPr>
            </w:pPr>
            <w:r>
              <w:rPr>
                <w:rFonts w:ascii="Arial" w:cs="Arial" w:eastAsia="Arial" w:hAnsi="Arial"/>
                <w:sz w:val="17"/>
                <w:szCs w:val="17"/>
                <w:color w:val="auto"/>
              </w:rPr>
              <w:t>Intellectual property costs</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(291)</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(74)</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Administrative expenses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(13,400)</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(4,703)</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21"/>
        </w:trPr>
        <w:tc>
          <w:tcPr>
            <w:tcW w:w="6660" w:type="dxa"/>
            <w:vAlign w:val="bottom"/>
          </w:tcPr>
          <w:p>
            <w:pPr>
              <w:spacing w:after="0"/>
              <w:rPr>
                <w:sz w:val="20"/>
                <w:szCs w:val="20"/>
                <w:color w:val="auto"/>
              </w:rPr>
            </w:pPr>
            <w:r>
              <w:rPr>
                <w:rFonts w:ascii="Arial" w:cs="Arial" w:eastAsia="Arial" w:hAnsi="Arial"/>
                <w:sz w:val="17"/>
                <w:szCs w:val="17"/>
                <w:color w:val="auto"/>
              </w:rPr>
              <w:t>Occupancy expenses</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(18)</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(23)</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Net foreign exchange gain (loss)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(11,012)</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(265)</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color w:val="auto"/>
              </w:rPr>
              <w:t>Loss before income tax</w:t>
            </w: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60" w:type="dxa"/>
            <w:vAlign w:val="bottom"/>
            <w:vMerge w:val="continue"/>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(50,283)</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(16,832)</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(25,426)</w:t>
            </w: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Income tax benefit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4,939</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5,709</w:t>
            </w:r>
          </w:p>
        </w:tc>
        <w:tc>
          <w:tcPr>
            <w:tcW w:w="30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660" w:type="dxa"/>
            <w:vAlign w:val="bottom"/>
          </w:tcPr>
          <w:p>
            <w:pPr>
              <w:spacing w:after="0"/>
              <w:rPr>
                <w:sz w:val="20"/>
                <w:szCs w:val="20"/>
                <w:color w:val="auto"/>
              </w:rPr>
            </w:pPr>
            <w:r>
              <w:rPr>
                <w:rFonts w:ascii="Arial" w:cs="Arial" w:eastAsia="Arial" w:hAnsi="Arial"/>
                <w:sz w:val="17"/>
                <w:szCs w:val="17"/>
                <w:color w:val="auto"/>
              </w:rPr>
              <w:t>Loss for the year</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(45,344)</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(11,123)</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(14,952)</w:t>
            </w:r>
          </w:p>
        </w:tc>
        <w:tc>
          <w:tcPr>
            <w:tcW w:w="0" w:type="dxa"/>
            <w:vAlign w:val="bottom"/>
          </w:tcPr>
          <w:p>
            <w:pPr>
              <w:spacing w:after="0"/>
              <w:rPr>
                <w:sz w:val="1"/>
                <w:szCs w:val="1"/>
                <w:color w:val="auto"/>
              </w:rPr>
            </w:pPr>
          </w:p>
        </w:tc>
      </w:tr>
      <w:tr>
        <w:trPr>
          <w:trHeight w:val="200"/>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20"/>
                <w:szCs w:val="20"/>
                <w:color w:val="auto"/>
              </w:rPr>
            </w:pPr>
            <w:r>
              <w:rPr>
                <w:rFonts w:ascii="Arial" w:cs="Arial" w:eastAsia="Arial" w:hAnsi="Arial"/>
                <w:sz w:val="17"/>
                <w:szCs w:val="17"/>
                <w:color w:val="auto"/>
              </w:rPr>
              <w:t>Items that will not be reclassified subsequently to profit or loss: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Fair value gains on investments in financial assets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469</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30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comprehensive income for the period, net of tax</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26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30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Total comprehensive loss for the year</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(44,875)</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(11,082)</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(14,770)</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880" w:hanging="434"/>
        <w:spacing w:after="0"/>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Restatement of 2019 and 2020 is due to the change in presentation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14439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Revenue was US$59 thousand for the fiscal year ended June 30, 2020, compared to US$68 thousand for the fiscal year ended June 30, 2021. This increase was due to higher sales-based royalties received under our out-licensing arrangements. Revenue for the years ended June 30, 2020 and 2021 consisted of sales-based royalties in connection with the out-licensing of certain intellectual property assets that are unrelated to our core business and the development of OPT-302 and are not currently under development.</w:t>
      </w:r>
    </w:p>
    <w:p>
      <w:pPr>
        <w:spacing w:after="0" w:line="17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Revenue was US$112 thousand for the fiscal year ended June 30, 2019, compared to US$59 thousand for the fiscal year ended June 30, 2020. This decrease was due to lower sales-based royalties received under our out-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19" w:name="page120"/>
    <w:bookmarkEnd w:id="119"/>
    <w:p>
      <w:pPr>
        <w:jc w:val="both"/>
        <w:spacing w:after="0" w:line="318" w:lineRule="auto"/>
        <w:rPr>
          <w:sz w:val="20"/>
          <w:szCs w:val="20"/>
          <w:color w:val="auto"/>
        </w:rPr>
      </w:pPr>
      <w:r>
        <w:rPr>
          <w:rFonts w:ascii="Arial" w:cs="Arial" w:eastAsia="Arial" w:hAnsi="Arial"/>
          <w:sz w:val="16"/>
          <w:szCs w:val="16"/>
          <w:color w:val="auto"/>
        </w:rPr>
        <w:t>licensing arrangements. Revenue for the years ended June 30, 2019 and 2020 consisted of sales-based royalties in connection with the out-licensing of certain intellectual property assets that are unrelated to our core business and the development of OPT-302 and are not currently under development.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Other income was US$522 thousand for the fiscal year ended June 30, 2020, compared to US$399 thousand for the fiscal year ended June 30, 2021. This decrease was primarily due to lower finance income from interest on bank deposits and receipt of a US$27 thousand one-time ATO grant during the fiscal year ended June 30, 2021 compared to US$42 thousand in the fiscal year ended June 30, 2020.</w:t>
      </w:r>
    </w:p>
    <w:p>
      <w:pPr>
        <w:spacing w:after="0" w:line="172"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Other income was US$598 thousand for the fiscal year ended June 30, 2019, compared to US$522 thousand for the fiscal year ended June 30, 2020. This decrease was primarily due to lower finance income from interest on bank deposits and receipt of a US$57 thousand one-time Australian government grant from the CSIRO during the fiscal year ended June 30, 2019, partially offset by receipt of a US$42 thousand one-time ATO grant during the fiscal year ended June 20,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Research and development expenses were US$12.1 million for the fiscal year ended June 30, 2020, compared to US$25.9 million for the fiscal year ended June 30, 2021. This increase was primarily due to costs relating to our Phase 3 clinical trial of OPT-302 in wet AMD that started during the fiscal year ended June 30, 2021, chemistry manufacturing and controls costs incurred during the fiscal year ended June 30, 2021 related to manufacturing activities in preparation for our planned Phase 3 clinical trials of OPT-302 in combination with anti-VEGF-A therapy for the treatment of wet AMD.</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Research and development expenses were US$22.4 million for the fiscal year ended June 30, 2019, compared to US$12.1 million for the fiscal year ended June 30, 2020. This decrease was primarily due to costs related to our Phase 2b clinical trial of OPT-302 in wet AMD completed during the fiscal year ended June 30, 2019, partially offset by increased chemistry manufacturing and controls costs incurred during the fiscal year ended June 30, 2020 related to manufacturing activities in preparation for our planned Phase 3 clinical trials of OPT-302 in combination with anti-VEGF-A therapy for the treatment of wet AMD. Our research and development expenses are broken down as set forth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gridSpan w:val="2"/>
          </w:tcPr>
          <w:p>
            <w:pPr>
              <w:ind w:left="7300"/>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w w:val="87"/>
              </w:rPr>
              <w:t>Restated</w:t>
            </w:r>
          </w:p>
        </w:tc>
        <w:tc>
          <w:tcPr>
            <w:tcW w:w="120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6780" w:type="dxa"/>
            <w:vAlign w:val="bottom"/>
          </w:tcPr>
          <w:p>
            <w:pPr>
              <w:spacing w:after="0"/>
              <w:rPr>
                <w:sz w:val="14"/>
                <w:szCs w:val="14"/>
                <w:color w:val="auto"/>
              </w:rPr>
            </w:pP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95"/>
              </w:rPr>
              <w:t>US$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US$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149"/>
        </w:trPr>
        <w:tc>
          <w:tcPr>
            <w:tcW w:w="67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ind w:left="140"/>
              <w:spacing w:after="0" w:line="149"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1"/>
        </w:trPr>
        <w:tc>
          <w:tcPr>
            <w:tcW w:w="7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Costs related to the ShORe Phase 3 clinical trial of OPT-302 in wet AMD</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9,178</w:t>
            </w:r>
          </w:p>
        </w:tc>
        <w:tc>
          <w:tcPr>
            <w:tcW w:w="2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600" w:type="dxa"/>
            <w:vAlign w:val="bottom"/>
            <w:gridSpan w:val="2"/>
          </w:tcPr>
          <w:p>
            <w:pPr>
              <w:spacing w:after="0"/>
              <w:rPr>
                <w:sz w:val="20"/>
                <w:szCs w:val="20"/>
                <w:color w:val="auto"/>
              </w:rPr>
            </w:pPr>
            <w:r>
              <w:rPr>
                <w:rFonts w:ascii="Arial" w:cs="Arial" w:eastAsia="Arial" w:hAnsi="Arial"/>
                <w:sz w:val="17"/>
                <w:szCs w:val="17"/>
                <w:color w:val="auto"/>
              </w:rPr>
              <w:t>Costs related to the COAST Phase 3 clinical trial of OPT-302 in wet AMD</w:t>
            </w:r>
          </w:p>
        </w:tc>
        <w:tc>
          <w:tcPr>
            <w:tcW w:w="520" w:type="dxa"/>
            <w:vAlign w:val="bottom"/>
          </w:tcPr>
          <w:p>
            <w:pPr>
              <w:jc w:val="right"/>
              <w:spacing w:after="0"/>
              <w:rPr>
                <w:sz w:val="20"/>
                <w:szCs w:val="20"/>
                <w:color w:val="auto"/>
              </w:rPr>
            </w:pPr>
            <w:r>
              <w:rPr>
                <w:rFonts w:ascii="Arial" w:cs="Arial" w:eastAsia="Arial" w:hAnsi="Arial"/>
                <w:sz w:val="17"/>
                <w:szCs w:val="17"/>
                <w:color w:val="auto"/>
              </w:rPr>
              <w:t>7,787</w:t>
            </w:r>
          </w:p>
        </w:tc>
        <w:tc>
          <w:tcPr>
            <w:tcW w:w="26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Costs related to the Phase 2b clinical trial of OPT-302 in wet AMD</w:t>
            </w: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2,148</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14,817</w:t>
            </w:r>
          </w:p>
        </w:tc>
        <w:tc>
          <w:tcPr>
            <w:tcW w:w="120" w:type="dxa"/>
            <w:vAlign w:val="bottom"/>
            <w:shd w:val="clear" w:color="auto" w:fill="CFF0FC"/>
          </w:tcPr>
          <w:p>
            <w:pPr>
              <w:spacing w:after="0"/>
              <w:rPr>
                <w:sz w:val="19"/>
                <w:szCs w:val="19"/>
                <w:color w:val="auto"/>
              </w:rPr>
            </w:pPr>
          </w:p>
        </w:tc>
      </w:tr>
      <w:tr>
        <w:trPr>
          <w:trHeight w:val="221"/>
        </w:trPr>
        <w:tc>
          <w:tcPr>
            <w:tcW w:w="7600" w:type="dxa"/>
            <w:vAlign w:val="bottom"/>
            <w:gridSpan w:val="2"/>
          </w:tcPr>
          <w:p>
            <w:pPr>
              <w:spacing w:after="0"/>
              <w:rPr>
                <w:sz w:val="20"/>
                <w:szCs w:val="20"/>
                <w:color w:val="auto"/>
              </w:rPr>
            </w:pPr>
            <w:r>
              <w:rPr>
                <w:rFonts w:ascii="Arial" w:cs="Arial" w:eastAsia="Arial" w:hAnsi="Arial"/>
                <w:sz w:val="17"/>
                <w:szCs w:val="17"/>
                <w:color w:val="auto"/>
              </w:rPr>
              <w:t>Costs related to the Phase 1b/2a clinical trial of OPT-302 in DME</w:t>
            </w:r>
          </w:p>
        </w:tc>
        <w:tc>
          <w:tcPr>
            <w:tcW w:w="520" w:type="dxa"/>
            <w:vAlign w:val="bottom"/>
          </w:tcPr>
          <w:p>
            <w:pPr>
              <w:jc w:val="right"/>
              <w:spacing w:after="0"/>
              <w:rPr>
                <w:sz w:val="20"/>
                <w:szCs w:val="20"/>
                <w:color w:val="auto"/>
              </w:rPr>
            </w:pPr>
            <w:r>
              <w:rPr>
                <w:rFonts w:ascii="Arial" w:cs="Arial" w:eastAsia="Arial" w:hAnsi="Arial"/>
                <w:sz w:val="17"/>
                <w:szCs w:val="17"/>
                <w:color w:val="auto"/>
              </w:rPr>
              <w:t>795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5,390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6,898</w:t>
            </w:r>
          </w:p>
        </w:tc>
        <w:tc>
          <w:tcPr>
            <w:tcW w:w="120" w:type="dxa"/>
            <w:vAlign w:val="bottom"/>
          </w:tcPr>
          <w:p>
            <w:pPr>
              <w:spacing w:after="0"/>
              <w:rPr>
                <w:sz w:val="19"/>
                <w:szCs w:val="19"/>
                <w:color w:val="auto"/>
              </w:rPr>
            </w:pPr>
          </w:p>
        </w:tc>
      </w:tr>
      <w:tr>
        <w:trPr>
          <w:trHeight w:val="221"/>
        </w:trPr>
        <w:tc>
          <w:tcPr>
            <w:tcW w:w="7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Chemistry manufacturing and controls</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8,048</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3,958</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w:t>
            </w:r>
          </w:p>
        </w:tc>
        <w:tc>
          <w:tcPr>
            <w:tcW w:w="120" w:type="dxa"/>
            <w:vAlign w:val="bottom"/>
            <w:shd w:val="clear" w:color="auto" w:fill="CFF0FC"/>
          </w:tcPr>
          <w:p>
            <w:pPr>
              <w:spacing w:after="0"/>
              <w:rPr>
                <w:sz w:val="19"/>
                <w:szCs w:val="19"/>
                <w:color w:val="auto"/>
              </w:rPr>
            </w:pPr>
          </w:p>
        </w:tc>
      </w:tr>
      <w:tr>
        <w:trPr>
          <w:trHeight w:val="221"/>
        </w:trPr>
        <w:tc>
          <w:tcPr>
            <w:tcW w:w="6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direct non-clinical expenses</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w:t>
            </w:r>
          </w:p>
        </w:tc>
        <w:tc>
          <w:tcPr>
            <w:tcW w:w="3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FF0FC"/>
            </w:tcBorders>
          </w:tcPr>
          <w:p>
            <w:pPr>
              <w:spacing w:after="0"/>
              <w:rPr>
                <w:sz w:val="19"/>
                <w:szCs w:val="19"/>
                <w:color w:val="auto"/>
              </w:rPr>
            </w:pPr>
          </w:p>
        </w:tc>
      </w:tr>
      <w:tr>
        <w:trPr>
          <w:trHeight w:val="214"/>
        </w:trPr>
        <w:tc>
          <w:tcPr>
            <w:tcW w:w="7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research and development expenses</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25,892</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12,064</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22,420</w:t>
            </w:r>
          </w:p>
        </w:tc>
        <w:tc>
          <w:tcPr>
            <w:tcW w:w="120" w:type="dxa"/>
            <w:vAlign w:val="bottom"/>
            <w:shd w:val="clear" w:color="auto" w:fill="CFF0FC"/>
          </w:tcPr>
          <w:p>
            <w:pPr>
              <w:spacing w:after="0"/>
              <w:rPr>
                <w:sz w:val="18"/>
                <w:szCs w:val="18"/>
                <w:color w:val="auto"/>
              </w:rPr>
            </w:pPr>
          </w:p>
        </w:tc>
      </w:tr>
      <w:tr>
        <w:trPr>
          <w:trHeight w:val="20"/>
        </w:trPr>
        <w:tc>
          <w:tcPr>
            <w:tcW w:w="67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Expenses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Patent expenses were US$282 thousand for the fiscal year ended June 30, 2020, compared to US$137 thousand for the fiscal year ended June 30, 2021.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primarily due to validation work carried out on our European patent application across multiple jurisdictions in 2020.</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Patent expenses were US$114 thousand for the fiscal year ended June 30, 2019, compared to US$282 thousand for the fiscal year ended June 30, 2020.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primarily due to validation work carried out on our European patent application across multiple jurisdictions.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i w:val="1"/>
          <w:iCs w:val="1"/>
          <w:color w:val="auto"/>
        </w:rPr>
        <w:t>Intellectual Property Costs</w:t>
      </w:r>
    </w:p>
    <w:p>
      <w:pPr>
        <w:spacing w:after="0" w:line="220" w:lineRule="exact"/>
        <w:rPr>
          <w:sz w:val="20"/>
          <w:szCs w:val="20"/>
          <w:color w:val="auto"/>
        </w:rPr>
      </w:pPr>
    </w:p>
    <w:p>
      <w:pPr>
        <w:ind w:firstLine="448"/>
        <w:spacing w:after="0" w:line="285" w:lineRule="auto"/>
        <w:rPr>
          <w:sz w:val="20"/>
          <w:szCs w:val="20"/>
          <w:color w:val="auto"/>
        </w:rPr>
      </w:pPr>
      <w:r>
        <w:rPr>
          <w:rFonts w:ascii="Arial" w:cs="Arial" w:eastAsia="Arial" w:hAnsi="Arial"/>
          <w:sz w:val="17"/>
          <w:szCs w:val="17"/>
          <w:color w:val="auto"/>
        </w:rPr>
        <w:t>Intellectual property costs were US$74 thousand for the fiscal year ended June 30, 2020, compared to US$291 thousand for the fiscal year ended June 30, 2021. This increase related to a royalty milestone payment on initiation of our Phase 3 clinical trials.</w:t>
      </w:r>
    </w:p>
    <w:p>
      <w:pPr>
        <w:spacing w:after="0" w:line="159" w:lineRule="exact"/>
        <w:rPr>
          <w:sz w:val="20"/>
          <w:szCs w:val="20"/>
          <w:color w:val="auto"/>
        </w:rPr>
      </w:pPr>
    </w:p>
    <w:p>
      <w:pPr>
        <w:ind w:firstLine="448"/>
        <w:spacing w:after="0" w:line="285" w:lineRule="auto"/>
        <w:rPr>
          <w:sz w:val="20"/>
          <w:szCs w:val="20"/>
          <w:color w:val="auto"/>
        </w:rPr>
      </w:pPr>
      <w:r>
        <w:rPr>
          <w:rFonts w:ascii="Arial" w:cs="Arial" w:eastAsia="Arial" w:hAnsi="Arial"/>
          <w:sz w:val="17"/>
          <w:szCs w:val="17"/>
          <w:color w:val="auto"/>
        </w:rPr>
        <w:t>Intellectual property costs were US$80 thousand for the fiscal year ended June 30, 2019, compared to US$74 thousand for the fiscal year ended June 30, 2020. This decrease was due to fluctuations in exchange rates.</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Intellectual property costs for the years ended June 30, 2021, 2020 and 2019 consisted of the license and patent assignment costs in respect of our in-license agreements for certain technologies not currently under development and unrelated to our out-licensing arrangements under which we receive sales-based royalties.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Expenses</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Administrative expenses were US$4.7 million for the fiscal year ended June 30, 2020, compared to US$13.4 million for the fiscal year ended June 30, 2021. This increase was primarily due to a US$3.1 million increase in share-based payments, a US$0.8 million increase in professional fees and expenses and a US$0.7 million increase in personnel-related expenses, each resulting from increased headcount in supporting administrative functions to aid continued research and development and capital raising activities in the fiscal year ended June 30, 2021, as well as a US$4.1 million increase in insurance costs.</w:t>
      </w:r>
    </w:p>
    <w:p>
      <w:pPr>
        <w:spacing w:after="0" w:line="159"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Administrative expenses were US$3.7 million for the fiscal year ended June 30, 2019, compared to US$4.7 million for the fiscal year ended June 30, 2020. This increase was primarily due to a US$47 thousand increase in share-based payments, a US$0.9 million increase in professional fees and expenses and a US$0.1 million decrease in personnel-related expenses, each resulting from expansion of supporting administrative functions to aid continued research and development and capital raising activities in the fiscal year ended June 30, 2020, as well as a US$73 thousand increase in depreciation expense and a US$67 thousand increase in insurance costs.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Occupancy Expenses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Occupancy expenses were US$23 thousand for the fiscal year ended June 30, 2020, compared to US$18 thousand for the fiscal year ended June 30, 2021.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primarily due to translation of Australian dollars to U.S. dollars.</w:t>
      </w:r>
    </w:p>
    <w:p>
      <w:pPr>
        <w:spacing w:after="0" w:line="208"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Occupancy expenses were US$78 thousand for the fiscal year ended June 30, 2019, compared to US$23 thousand for the fiscal year ended June 30, 2020. This decrease was primarily due to a reduction in lease rental costs under the lease for our headquarters in Melbourne, Australia of US$55 thousand resulting from the reclassification of lease rental expenses into depreciation of right-of-use assets. This reclassification followed our adoption of accounting treatments required by IFRS 16 “Leases” during the fiscal year ended June 30,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Foreign Exchange Loss</w:t>
      </w:r>
    </w:p>
    <w:p>
      <w:pPr>
        <w:spacing w:after="0" w:line="220" w:lineRule="exact"/>
        <w:rPr>
          <w:sz w:val="20"/>
          <w:szCs w:val="20"/>
          <w:color w:val="auto"/>
        </w:rPr>
      </w:pPr>
    </w:p>
    <w:p>
      <w:pPr>
        <w:jc w:val="both"/>
        <w:ind w:firstLine="530"/>
        <w:spacing w:after="0" w:line="279" w:lineRule="auto"/>
        <w:rPr>
          <w:sz w:val="20"/>
          <w:szCs w:val="20"/>
          <w:color w:val="auto"/>
        </w:rPr>
      </w:pPr>
      <w:r>
        <w:rPr>
          <w:rFonts w:ascii="Arial" w:cs="Arial" w:eastAsia="Arial" w:hAnsi="Arial"/>
          <w:sz w:val="16"/>
          <w:szCs w:val="16"/>
          <w:color w:val="auto"/>
        </w:rPr>
        <w:t>Net foreign exchange differences were a loss of US$266 thousand for the fiscal year ended June 30, 2020, compared to a loss of US$11 million for the fiscal year ended June 30, 2021. Exchange differences arising on the translation of monetary items are recognized in the Statement Profit and Loss and other Comprehensive Income, except where deferred in equity as a qualifying cash flow or net investment hedge. After the Company’s US IPO in 2021 where the Company raised US$128 million, the Company entered into an Australian dollar denominated term deposit worth US$100 million (AUD141.9million) maturing on February 3, 2021. The Company simultaneously entered into a foreign currency exchange contract under which the term deposit converted back to US dollars at effectively the same foreign exchange rate as when the term deposit was entered into. As the Group’s functional currency was the Australian dollar (A$) until December 31, 2020, the Group recorded a foreign exchange loss of US$9 million in relation to this transaction</w:t>
      </w:r>
      <w:r>
        <w:rPr>
          <w:rFonts w:ascii="Arial" w:cs="Arial" w:eastAsia="Arial" w:hAnsi="Arial"/>
          <w:sz w:val="16"/>
          <w:szCs w:val="16"/>
          <w:b w:val="1"/>
          <w:bCs w:val="1"/>
          <w:i w:val="1"/>
          <w:iCs w:val="1"/>
          <w:color w:val="auto"/>
        </w:rPr>
        <w:t>.</w:t>
      </w:r>
    </w:p>
    <w:p>
      <w:pPr>
        <w:spacing w:after="0" w:line="192" w:lineRule="exact"/>
        <w:rPr>
          <w:sz w:val="20"/>
          <w:szCs w:val="20"/>
          <w:color w:val="auto"/>
        </w:rPr>
      </w:pPr>
    </w:p>
    <w:p>
      <w:pPr>
        <w:jc w:val="both"/>
        <w:ind w:firstLine="530"/>
        <w:spacing w:after="0" w:line="270" w:lineRule="auto"/>
        <w:rPr>
          <w:sz w:val="20"/>
          <w:szCs w:val="20"/>
          <w:color w:val="auto"/>
        </w:rPr>
      </w:pPr>
      <w:r>
        <w:rPr>
          <w:rFonts w:ascii="Arial" w:cs="Arial" w:eastAsia="Arial" w:hAnsi="Arial"/>
          <w:sz w:val="17"/>
          <w:szCs w:val="17"/>
          <w:color w:val="auto"/>
        </w:rPr>
        <w:t>Net foreign exchange differences were a gain of US$241 thousand for the fiscal year ended June 30, 2019, compared to a loss of US$265 thousand for the fiscal year ended June 30, 2020, primarily as a result of net variances of the exchange rate between the Australian dollar and U.S. dollar on U.S. dollar-denominated cash and cash equivalents, financial assets, financial liabilities and foreign currency denominated transactions.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i w:val="1"/>
          <w:iCs w:val="1"/>
          <w:color w:val="auto"/>
        </w:rPr>
        <w:t>Income Tax Benefit</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Income tax benefit was US$5.7 million for the fiscal year ended June 30, 2020, compared to US$4.9 million for the fiscal year ended June 30, 2021. This decrease was due to lower R&amp;D tax incentive receivable recognized during the fiscal year ended June 30, 2021.</w:t>
      </w:r>
    </w:p>
    <w:p>
      <w:pPr>
        <w:spacing w:after="0" w:line="15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Income tax benefit was US$10.4 million for the fiscal year ended June 30, 2019, compared to US$5.7 million for the fiscal years ended June 30, 2020. This decrease was due to lower R&amp;D tax incentive receivable recognized during the fiscal year ended June 30, 2020.</w:t>
      </w:r>
    </w:p>
    <w:p>
      <w:pPr>
        <w:spacing w:after="0" w:line="200" w:lineRule="exact"/>
        <w:rPr>
          <w:sz w:val="20"/>
          <w:szCs w:val="20"/>
          <w:color w:val="auto"/>
        </w:rPr>
      </w:pPr>
    </w:p>
    <w:p>
      <w:pPr>
        <w:spacing w:after="0" w:line="36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5B.</w:t>
        <w:tab/>
        <w:t>Liquidity and Capital Resources</w:t>
      </w:r>
    </w:p>
    <w:p>
      <w:pPr>
        <w:spacing w:after="0" w:line="226"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The liquidity and capital resources discussion that follows contains certain estimates as of the date of this annual report of our estimated future sources and uses of liquidity (including estimated future capital resources and capital expenditures) and future financial and operating results. These estimates reflect numerous assumptions made by us with respect to industry performance, general business, economic, regulatory, market and financial conditions and other future events, and matters specific to our businesses, all of which are difficult or impossible to predict and many of which are beyond our control.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Liquidity</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operations relating to the development of OPT-302 have been financed primarily through the issuance and sale of new ordinary shares totaling</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US$197.8 million in the five years ended June 30, 2021. We have also received an aggregate of US$28.5 million (A$40.5 million) in the five fiscal years ended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June 30, 2021 under the R&amp;D Tax Incentive Scheme for the funding of the development and clinical trials of OPT-302.</w:t>
      </w:r>
    </w:p>
    <w:p>
      <w:pPr>
        <w:spacing w:after="0" w:line="208"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As of June 30, 2021, we had cash and cash equivalents of US$118.2 million to fund the manufacturing of sufficient clinical grade OPT-302 drug product and complete the regulatory and clinical preparation activities to initiate our planned pivotal Phase 3 clinical trials of OPT-302 in combination with anti-VEGF-A therapy for the treatment of wet AMD. As of June 30, 2021, we had an accumulated loss of US$124.1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believe that our existing cash and cash equivalents will enable us to fund our operating and research and development expenses through the third calendar quarter of 2023. We have based this estimate on assumptions that may prove to be wrong, and we could use our capital resources sooner than we currently expect.</w:t>
      </w:r>
    </w:p>
    <w:p>
      <w:pPr>
        <w:spacing w:after="0" w:line="172"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OPT-302 and any future product candidates. In addition, if we obtain marketing approval for OPT-302 or any future product candidates, we expect to incur significant commercialization expenses related to sales, marketing, manufacturing and distribution to the extent that such sales, marketing and distribution are not the responsibility of any future collaborators. We have incurred and will continue to incur additional costs associated with operating as a public company in the United States. Accordingly, we will need to obtain substantial additional funding in connection with our continuing operations.</w:t>
      </w:r>
    </w:p>
    <w:p>
      <w:pPr>
        <w:spacing w:after="0" w:line="18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Until we can generate a sufficient amount of revenue from the sale of approved products, if ever, we expect to finance our operating activities through our existing liquidity, the net proceeds from the US IPO and future financing activities, including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additional funds through equity or debt financings when needed, we may be required to delay, limit, reduce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2" w:name="page123"/>
    <w:bookmarkEnd w:id="122"/>
    <w:p>
      <w:pPr>
        <w:spacing w:after="0" w:line="285" w:lineRule="auto"/>
        <w:rPr>
          <w:sz w:val="20"/>
          <w:szCs w:val="20"/>
          <w:color w:val="auto"/>
        </w:rPr>
      </w:pPr>
      <w:r>
        <w:rPr>
          <w:rFonts w:ascii="Arial" w:cs="Arial" w:eastAsia="Arial" w:hAnsi="Arial"/>
          <w:sz w:val="17"/>
          <w:szCs w:val="17"/>
          <w:color w:val="auto"/>
        </w:rPr>
        <w:t>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present and future funding requirements will depend on many factors, including, among other things:</w:t>
      </w:r>
    </w:p>
    <w:p>
      <w:pPr>
        <w:spacing w:after="0" w:line="220" w:lineRule="exact"/>
        <w:rPr>
          <w:sz w:val="20"/>
          <w:szCs w:val="20"/>
          <w:color w:val="auto"/>
        </w:rPr>
      </w:pPr>
    </w:p>
    <w:p>
      <w:pPr>
        <w:ind w:left="880" w:hanging="434"/>
        <w:spacing w:after="0" w:line="285"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our clinical trials for OPT-302, including our pivotal Phase 3 clinical trials of OPT-302 in combination with anti-VEGF-A therapies for the treatment of wet AMD, and any future product candidates we may develop;</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costs associated with expanding our organization, including our management infrastructure;</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costs involved in filing patent applications and maintaining and enforcing patents or defending against claims of infringement raised by third parties;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selling and marketing activities undertaken in connection with the commercialization of OPT-302, together with the costs involved in the creation of a sales and marketing organization; and</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costs of operating as a public listed company in both Australia and the United States.</w:t>
      </w:r>
    </w:p>
    <w:p>
      <w:pPr>
        <w:spacing w:after="0" w:line="220" w:lineRule="exact"/>
        <w:rPr>
          <w:sz w:val="20"/>
          <w:szCs w:val="20"/>
          <w:color w:val="auto"/>
        </w:rPr>
      </w:pPr>
    </w:p>
    <w:p>
      <w:pPr>
        <w:jc w:val="both"/>
        <w:ind w:firstLine="448"/>
        <w:spacing w:after="0" w:line="280" w:lineRule="auto"/>
        <w:rPr>
          <w:sz w:val="20"/>
          <w:szCs w:val="20"/>
          <w:color w:val="auto"/>
        </w:rPr>
      </w:pPr>
      <w:r>
        <w:rPr>
          <w:rFonts w:ascii="Arial" w:cs="Arial" w:eastAsia="Arial" w:hAnsi="Arial"/>
          <w:sz w:val="16"/>
          <w:szCs w:val="16"/>
          <w:color w:val="auto"/>
        </w:rPr>
        <w:t>Conducting clinical trials is a time-consuming, expensive and uncertain process that takes many years to complete, and we may never generate the necessary data or results required to obtain marketing approval and achieve product sales. In addition, OPT-302 or any future product candidate, if approved, may not achieve commercial success. Our commercial revenues, if any, will be derived from sales of OPT-302 and any future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 For more information as to the risks associated with our future funding needs, see “Item 3D—Risk Factors—Risks Related to Our Financial Position and Need for Capital.”</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156"/>
        </w:trPr>
        <w:tc>
          <w:tcPr>
            <w:tcW w:w="6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66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US$</w:t>
            </w:r>
          </w:p>
        </w:tc>
      </w:tr>
      <w:tr>
        <w:trPr>
          <w:trHeight w:val="149"/>
        </w:trPr>
        <w:tc>
          <w:tcPr>
            <w:tcW w:w="66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(45,546)</w:t>
            </w: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(5,689)</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(17,042)</w:t>
            </w:r>
          </w:p>
        </w:tc>
      </w:tr>
      <w:tr>
        <w:trPr>
          <w:trHeight w:val="221"/>
        </w:trPr>
        <w:tc>
          <w:tcPr>
            <w:tcW w:w="6640" w:type="dxa"/>
            <w:vAlign w:val="bottom"/>
          </w:tcPr>
          <w:p>
            <w:pPr>
              <w:spacing w:after="0"/>
              <w:rPr>
                <w:sz w:val="20"/>
                <w:szCs w:val="20"/>
                <w:color w:val="auto"/>
              </w:rPr>
            </w:pPr>
            <w:r>
              <w:rPr>
                <w:rFonts w:ascii="Arial" w:cs="Arial" w:eastAsia="Arial" w:hAnsi="Arial"/>
                <w:sz w:val="17"/>
                <w:szCs w:val="17"/>
                <w:color w:val="auto"/>
              </w:rPr>
              <w:t>Net cash provided by investing activities</w:t>
            </w:r>
          </w:p>
        </w:tc>
        <w:tc>
          <w:tcPr>
            <w:tcW w:w="1320" w:type="dxa"/>
            <w:vAlign w:val="bottom"/>
          </w:tcPr>
          <w:p>
            <w:pPr>
              <w:jc w:val="right"/>
              <w:spacing w:after="0"/>
              <w:rPr>
                <w:sz w:val="20"/>
                <w:szCs w:val="20"/>
                <w:color w:val="auto"/>
              </w:rPr>
            </w:pPr>
            <w:r>
              <w:rPr>
                <w:rFonts w:ascii="Arial" w:cs="Arial" w:eastAsia="Arial" w:hAnsi="Arial"/>
                <w:sz w:val="17"/>
                <w:szCs w:val="17"/>
                <w:color w:val="auto"/>
              </w:rPr>
              <w:t>656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240</w:t>
            </w:r>
          </w:p>
        </w:tc>
        <w:tc>
          <w:tcPr>
            <w:tcW w:w="120" w:type="dxa"/>
            <w:vAlign w:val="bottom"/>
          </w:tcPr>
          <w:p>
            <w:pPr>
              <w:spacing w:after="0"/>
              <w:rPr>
                <w:sz w:val="19"/>
                <w:szCs w:val="19"/>
                <w:color w:val="auto"/>
              </w:rPr>
            </w:pPr>
          </w:p>
        </w:tc>
      </w:tr>
      <w:tr>
        <w:trPr>
          <w:trHeight w:val="221"/>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116,936</w:t>
            </w:r>
          </w:p>
        </w:tc>
        <w:tc>
          <w:tcPr>
            <w:tcW w:w="26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33,170</w:t>
            </w:r>
          </w:p>
        </w:tc>
        <w:tc>
          <w:tcPr>
            <w:tcW w:w="30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9,069</w:t>
            </w:r>
          </w:p>
        </w:tc>
        <w:tc>
          <w:tcPr>
            <w:tcW w:w="120" w:type="dxa"/>
            <w:vAlign w:val="bottom"/>
            <w:shd w:val="clear" w:color="auto" w:fill="CFF0FC"/>
          </w:tcPr>
          <w:p>
            <w:pPr>
              <w:spacing w:after="0"/>
              <w:rPr>
                <w:sz w:val="19"/>
                <w:szCs w:val="19"/>
                <w:color w:val="auto"/>
              </w:rPr>
            </w:pPr>
          </w:p>
        </w:tc>
      </w:tr>
      <w:tr>
        <w:trPr>
          <w:trHeight w:val="214"/>
        </w:trPr>
        <w:tc>
          <w:tcPr>
            <w:tcW w:w="6640" w:type="dxa"/>
            <w:vAlign w:val="bottom"/>
          </w:tcPr>
          <w:p>
            <w:pPr>
              <w:spacing w:after="0"/>
              <w:rPr>
                <w:sz w:val="20"/>
                <w:szCs w:val="20"/>
                <w:color w:val="auto"/>
              </w:rPr>
            </w:pPr>
            <w:r>
              <w:rPr>
                <w:rFonts w:ascii="Arial" w:cs="Arial" w:eastAsia="Arial" w:hAnsi="Arial"/>
                <w:sz w:val="17"/>
                <w:szCs w:val="17"/>
                <w:color w:val="auto"/>
              </w:rPr>
              <w:t>Net increase/(decrease) in cash and cash equivalents</w:t>
            </w:r>
          </w:p>
        </w:tc>
        <w:tc>
          <w:tcPr>
            <w:tcW w:w="1320" w:type="dxa"/>
            <w:vAlign w:val="bottom"/>
          </w:tcPr>
          <w:p>
            <w:pPr>
              <w:jc w:val="right"/>
              <w:spacing w:after="0"/>
              <w:rPr>
                <w:sz w:val="20"/>
                <w:szCs w:val="20"/>
                <w:color w:val="auto"/>
              </w:rPr>
            </w:pPr>
            <w:r>
              <w:rPr>
                <w:rFonts w:ascii="Arial" w:cs="Arial" w:eastAsia="Arial" w:hAnsi="Arial"/>
                <w:sz w:val="17"/>
                <w:szCs w:val="17"/>
                <w:color w:val="auto"/>
              </w:rPr>
              <w:t>72,046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27,813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(7,733)</w:t>
            </w:r>
          </w:p>
        </w:tc>
      </w:tr>
      <w:tr>
        <w:trPr>
          <w:trHeight w:val="20"/>
        </w:trPr>
        <w:tc>
          <w:tcPr>
            <w:tcW w:w="6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For the year ended June 30, 2019, net cash used in operating activities was US$17 million, attributable to a net loss of US$15.1 million adjusted for US$10.0 million in non-cash items as well as a net cash outflow from changes in operating assets and liabilities of US$1.1 million, partially offset by a R&amp;D tax incentive of US$9.1 million. Non-cash adjustments of US$10.1 million consisted of US$10.4 million in income tax benefit recognized in profit or loss and US$241 thousand in net exchange differences, partially offset by US$685 thousand in share-based payments and US$24 thousand in depreciation expense.</w:t>
      </w:r>
    </w:p>
    <w:p>
      <w:pPr>
        <w:spacing w:after="0" w:line="159"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For the year ended June 30, 2020, net cash used in operating activities was US$5.7 million, attributable to a net loss of US$11.1 million adjusted for US$4.6 million in non-cash items as well as a net cash outflow from changes in operating assets and liabilities of US$71 thousand, partially offset by a R&amp;D tax incentive of US$10.1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3" w:name="page124"/>
    <w:bookmarkEnd w:id="123"/>
    <w:p>
      <w:pPr>
        <w:jc w:val="both"/>
        <w:spacing w:after="0" w:line="285" w:lineRule="auto"/>
        <w:rPr>
          <w:sz w:val="20"/>
          <w:szCs w:val="20"/>
          <w:color w:val="auto"/>
        </w:rPr>
      </w:pPr>
      <w:r>
        <w:rPr>
          <w:rFonts w:ascii="Arial" w:cs="Arial" w:eastAsia="Arial" w:hAnsi="Arial"/>
          <w:sz w:val="17"/>
          <w:szCs w:val="17"/>
          <w:color w:val="auto"/>
        </w:rPr>
        <w:t>million. Non-cash adjustments of US$4.6 million consisted of US$5.7 million in income tax benefit recognized in profit or loss offset by US$265 thousand in net exchange differences, US$732 thousand in share-based payments and US$96 thousand in depreciation expense.</w:t>
      </w:r>
    </w:p>
    <w:p>
      <w:pPr>
        <w:spacing w:after="0" w:line="159"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For the year ended June 30, 2021, net cash used in operating activities was US$45.5 million, attributable to a net loss of US$45.3 million adjusted for US$6.9 million in non-cash items as well as a net cash outflow from changes in operating assets and liabilities of US$16.2 million, partially offset by a R&amp;D tax incentive of US$5.8 million. Non-cash adjustments of US$10.1 million consisted of US$4.9 million in income tax benefit recognized in profit or loss offset by US$11.0 million in net exchange differences, US$3.9 million in share-based payments and US$107 thousand in depreciation expense.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20"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For the years ended June 30, 2019, 2020 and 2021, net cash provided by investing activities was US $240 thousand, US$333 thousand and US$656 thousand, respectively, attributable to US$250 thousand, US$336 thousand and US$669 thousand, respectively, in cash received on disposal of our financial asset of shares and options in Antisense Therapeutics Ltd in 2019 and 2020 and Optiscan Imaging Limited in 2021., both ASX-listed companies, offset by cash payments of US$10 thousand, US$3 thousand and US$12 thousand, respectively, for the purchase of computer equipment.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For the year ended June 30, 2019, net cash provided by financing activities was US$9.1 million from the issuance of new ordinary shares on the exercise of options previously issued in connection with a capital raise.</w:t>
      </w:r>
    </w:p>
    <w:p>
      <w:pPr>
        <w:spacing w:after="0" w:line="159"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For the year ended June 30, 2020, net cash provided by financing activities was US$33.2 million, attributable to US$284 thousand received on the exercise of options granted to employees and US$33 million from the issuance of new ordinary shares in a private placement to institutional investors in Australia and the United Kingdom. Net cash provided by financing activities also included US$67 thousand in respect of the payment of lease liabilities</w:t>
      </w:r>
    </w:p>
    <w:p>
      <w:pPr>
        <w:spacing w:after="0" w:line="155"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For the year ended June 30, 2021, net cash provided by financing activities was US$117 million, attributable to US$11 million received on the exercise of pre-funded warrants and US$105 million from the US IPO. Net cash provided by financing activities also included US$87 thousand in respect of the payment of lease liabilities.</w:t>
      </w:r>
    </w:p>
    <w:p>
      <w:pPr>
        <w:spacing w:after="0" w:line="1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5C.</w:t>
      </w:r>
      <w:r>
        <w:rPr>
          <w:sz w:val="20"/>
          <w:szCs w:val="20"/>
          <w:color w:val="auto"/>
        </w:rPr>
        <w:tab/>
      </w:r>
      <w:r>
        <w:rPr>
          <w:rFonts w:ascii="Arial" w:cs="Arial" w:eastAsia="Arial" w:hAnsi="Arial"/>
          <w:sz w:val="15"/>
          <w:szCs w:val="15"/>
          <w:b w:val="1"/>
          <w:bCs w:val="1"/>
          <w:color w:val="auto"/>
        </w:rPr>
        <w:t>Research and Development, Patents and Licenses</w:t>
      </w:r>
    </w:p>
    <w:p>
      <w:pPr>
        <w:spacing w:after="0" w:line="22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For a description of the amount spent during each of the last three fiscal years on company-sponsored research and development activities, as well as the components of research and development expenses, see “Item 5A—Operating Results – Results of Operations.”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a description of our research and development process, see “Item 4B—Business Overview.”</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5D.</w:t>
      </w:r>
      <w:r>
        <w:rPr>
          <w:sz w:val="20"/>
          <w:szCs w:val="20"/>
          <w:color w:val="auto"/>
        </w:rPr>
        <w:tab/>
      </w:r>
      <w:r>
        <w:rPr>
          <w:rFonts w:ascii="Arial" w:cs="Arial" w:eastAsia="Arial" w:hAnsi="Arial"/>
          <w:sz w:val="16"/>
          <w:szCs w:val="16"/>
          <w:b w:val="1"/>
          <w:bCs w:val="1"/>
          <w:color w:val="auto"/>
        </w:rPr>
        <w:t>Trend Information</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a discussion of trends, see “Item 4B—Business Overview,” “Item 5A—Operating Results” and “Item 5B—Liquidity and Capital Resources.”</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5E.</w:t>
        <w:tab/>
        <w:t>Critical Accounting Estimates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periods presented, we did not, and we do not currently, engage in off-balance sheet financing arrangements as defined under SEC rules, such as relationships with other entities or financial partnerships, which are often referred to as structured finance or special purpose entities, established for the purpose of facilitating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4" w:name="page125"/>
    <w:bookmarkEnd w:id="124"/>
    <w:p>
      <w:pPr>
        <w:jc w:val="both"/>
        <w:spacing w:after="0" w:line="285" w:lineRule="auto"/>
        <w:rPr>
          <w:sz w:val="20"/>
          <w:szCs w:val="20"/>
          <w:color w:val="auto"/>
        </w:rPr>
      </w:pPr>
      <w:r>
        <w:rPr>
          <w:rFonts w:ascii="Arial" w:cs="Arial" w:eastAsia="Arial" w:hAnsi="Arial"/>
          <w:sz w:val="17"/>
          <w:szCs w:val="17"/>
          <w:color w:val="auto"/>
        </w:rPr>
        <w:t>financing transactions that are not required to be reflected on our consolidated statement of financial position. In addition, we do not engage in trading activities involving non-exchange traded contracts.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3 to our consolidated financial statements appearing elsewhere in this annual report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majority of our expenditures is incurred as a result of our clinical trials for OPT-302. During the years ended June 30, 2020 and 2021, we completed a Phase 2b clinical trial of OPT-302 combination therapy for the treatment of wet AMD. During the years ended June 30, 2020 and 2021, we progressed a Phase 1b/2a clinical trial of OPT-302 combination therapy for the treatment of DME. A key measure of our performance is the level of expenditures incurred on the research and development of OPT-302.</w:t>
      </w:r>
    </w:p>
    <w:p>
      <w:pPr>
        <w:spacing w:after="0" w:line="176" w:lineRule="exact"/>
        <w:rPr>
          <w:sz w:val="20"/>
          <w:szCs w:val="20"/>
          <w:color w:val="auto"/>
        </w:rPr>
      </w:pPr>
    </w:p>
    <w:p>
      <w:pPr>
        <w:ind w:left="880" w:hanging="434"/>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Judgement is required in relation to:</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classification of expenses in the income statement between research and development costs and operating expenses; and</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whether costs relate to research or development, and consequently if they meet the capitalization criteria under International Accounting Standards, or IAS, 38 “Intangible Assets.”</w:t>
      </w:r>
    </w:p>
    <w:p>
      <w:pPr>
        <w:spacing w:after="0" w:line="15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have determined that we are still in a research phase, and accordingly, no development costs have been capitalized as of June 30, 2019, 2020 or June 30,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Functional and Presentation currency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Functional currency</w:t>
      </w:r>
    </w:p>
    <w:p>
      <w:pPr>
        <w:spacing w:after="0" w:line="220" w:lineRule="exact"/>
        <w:rPr>
          <w:sz w:val="20"/>
          <w:szCs w:val="20"/>
          <w:color w:val="auto"/>
        </w:rPr>
      </w:pPr>
    </w:p>
    <w:p>
      <w:pPr>
        <w:jc w:val="both"/>
        <w:ind w:firstLine="706"/>
        <w:spacing w:after="0" w:line="259" w:lineRule="auto"/>
        <w:rPr>
          <w:sz w:val="20"/>
          <w:szCs w:val="20"/>
          <w:color w:val="auto"/>
        </w:rPr>
      </w:pPr>
      <w:r>
        <w:rPr>
          <w:rFonts w:ascii="Arial" w:cs="Arial" w:eastAsia="Arial" w:hAnsi="Arial"/>
          <w:sz w:val="17"/>
          <w:szCs w:val="17"/>
          <w:color w:val="auto"/>
        </w:rPr>
        <w:t>Our functional currency is the currency of the primary economic environment in which we operate. During the current year, our operations have continued to move further towards being US$ denominated and several other factors during the period have also contributed to us changing our functional currency during the year, such as the completion of the U.S. initial public offering (IPO) and the Nasdaq listing in October 2020, opening a US subsidiary in May 2021 for the planned expansion into the US, and expanding our Board of Directors with the appointment of four US based Directors. A significant element in our assessment to change the functional currency resulted from the significant increase in expenses denominated in US dollars relating to advanced clinical trials since the commencement of Phase 3 trials in March 2021. These changes, as well as the fact that our principal source of financing is now the U.S. capital markets and all of our budgeting and planning is conducted solely in dollars led to the Company determining that the U.S. dollar (US$) best represents the currency of the primary economic environment in which we now operate. Accordingly, we have changed our functional currency from the Australian dollar (A$) to the U.S. dollar (US$) effective January 1, 2021.</w:t>
      </w:r>
    </w:p>
    <w:p>
      <w:pPr>
        <w:spacing w:after="0" w:line="181"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7"/>
          <w:szCs w:val="17"/>
          <w:color w:val="auto"/>
        </w:rPr>
        <w:t>The change in functional currency has been applied prospectively with effect from January 1, 2021 in accordance with the requirements of the Accounting Standards. To give effect in functional currency, the assets and liabilities of the Group were converted into U.S. dollars at a fixed exchange rate of US$1: A$1.2973.</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Presentation Currency</w:t>
      </w:r>
    </w:p>
    <w:p>
      <w:pPr>
        <w:spacing w:after="0" w:line="22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Following the change in functional currency, we have changed our presentation currency from Australian dollars (A$) to US$. The change in presentation currency was made to better reflect our business activities and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enhance access to U.S. capital markets. Prior to the change, we reported our financial statements in Australian dollars (A$).</w:t>
      </w:r>
    </w:p>
    <w:p>
      <w:pPr>
        <w:spacing w:after="0" w:line="220" w:lineRule="exact"/>
        <w:rPr>
          <w:sz w:val="20"/>
          <w:szCs w:val="20"/>
          <w:color w:val="auto"/>
        </w:rPr>
      </w:pPr>
    </w:p>
    <w:p>
      <w:pPr>
        <w:jc w:val="both"/>
        <w:ind w:firstLine="610"/>
        <w:spacing w:after="0" w:line="277" w:lineRule="auto"/>
        <w:rPr>
          <w:sz w:val="20"/>
          <w:szCs w:val="20"/>
          <w:color w:val="auto"/>
        </w:rPr>
      </w:pPr>
      <w:r>
        <w:rPr>
          <w:rFonts w:ascii="Arial" w:cs="Arial" w:eastAsia="Arial" w:hAnsi="Arial"/>
          <w:sz w:val="16"/>
          <w:szCs w:val="16"/>
          <w:color w:val="auto"/>
        </w:rPr>
        <w:t xml:space="preserve">A change in presentation currency is a change in accounting policy which is accounted for retrospectively, including the restatement of the June 30, 2020 and 2019 Statement of Financial Position. In making this change in presentation currency, we followed the requirements set out in IAS 21 </w:t>
      </w:r>
      <w:r>
        <w:rPr>
          <w:rFonts w:ascii="Arial" w:cs="Arial" w:eastAsia="Arial" w:hAnsi="Arial"/>
          <w:sz w:val="16"/>
          <w:szCs w:val="16"/>
          <w:i w:val="1"/>
          <w:iCs w:val="1"/>
          <w:color w:val="auto"/>
        </w:rPr>
        <w:t>The Effects of Changes</w:t>
      </w:r>
      <w:r>
        <w:rPr>
          <w:rFonts w:ascii="Arial" w:cs="Arial" w:eastAsia="Arial" w:hAnsi="Arial"/>
          <w:sz w:val="16"/>
          <w:szCs w:val="16"/>
          <w:color w:val="auto"/>
        </w:rPr>
        <w:t xml:space="preserve"> </w:t>
      </w:r>
      <w:r>
        <w:rPr>
          <w:rFonts w:ascii="Arial" w:cs="Arial" w:eastAsia="Arial" w:hAnsi="Arial"/>
          <w:sz w:val="16"/>
          <w:szCs w:val="16"/>
          <w:i w:val="1"/>
          <w:iCs w:val="1"/>
          <w:color w:val="auto"/>
        </w:rPr>
        <w:t>in Foreign Exchange Rates</w:t>
      </w:r>
      <w:r>
        <w:rPr>
          <w:rFonts w:ascii="Arial" w:cs="Arial" w:eastAsia="Arial" w:hAnsi="Arial"/>
          <w:sz w:val="16"/>
          <w:szCs w:val="16"/>
          <w:color w:val="auto"/>
        </w:rPr>
        <w:t>. As required by IAS 21, the consolidated statement of profit or loss and other comprehensive income and the consolidated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flows for each period have been translated into the presentation currency using the average exchange rates prevailing during each reporting period. All assets and liabilities have been translated using the exchange rates prevailing at the consolidated statement of financial position dates. Shareholders’ equity transactions have been translated using the rates of exchange in effect as of the dates of various capital transactions. All resulting exchange differences arising from the translation are included as a separate component of other comprehensive income. All comparative financial information has been restated to reflect our results as if they had been historically reported in US$ and the effect on the consolidated financial statements resulted in an addition to the foreign currency translation reserve of US$14.3 million at January 1, 2021.</w:t>
      </w:r>
    </w:p>
    <w:p>
      <w:pPr>
        <w:spacing w:after="0" w:line="168" w:lineRule="exact"/>
        <w:rPr>
          <w:sz w:val="20"/>
          <w:szCs w:val="20"/>
          <w:color w:val="auto"/>
        </w:rPr>
      </w:pPr>
    </w:p>
    <w:p>
      <w:pPr>
        <w:jc w:val="both"/>
        <w:ind w:firstLine="354"/>
        <w:spacing w:after="0" w:line="285" w:lineRule="auto"/>
        <w:rPr>
          <w:sz w:val="20"/>
          <w:szCs w:val="20"/>
          <w:color w:val="auto"/>
        </w:rPr>
      </w:pPr>
      <w:r>
        <w:rPr>
          <w:rFonts w:ascii="Arial" w:cs="Arial" w:eastAsia="Arial" w:hAnsi="Arial"/>
          <w:sz w:val="17"/>
          <w:szCs w:val="17"/>
          <w:color w:val="auto"/>
        </w:rPr>
        <w:t>Significant judgment is required in determining the currency of the primary economic environment in which we operate, which requires an evaluation of various indicators related to our underlying transactions, events and conditions as they relate to generating and expending cash</w:t>
      </w:r>
      <w:r>
        <w:rPr>
          <w:rFonts w:ascii="Arial" w:cs="Arial" w:eastAsia="Arial" w:hAnsi="Arial"/>
          <w:sz w:val="17"/>
          <w:szCs w:val="17"/>
          <w:b w:val="1"/>
          <w:bCs w:val="1"/>
          <w:i w:val="1"/>
          <w:iCs w:val="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Payment Transactions</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 provide benefits to our directors and employees (including key management personnel) in the form of share-based payments, whereby employees render services in exchange for ordinary shares or rights over ordinary shares (equity-settled transactions). The cost of these equity-settled transactions with employees is measured by reference to the fair value at the date at which they are granted. Binomial models are used to value the options issued, with key assumptions being the listed price per ordinary share on the grant date, the option exercise price, expected volatility of the underlying ordinary shares based on the historical share price volatility and the risk-free interest rate.</w:t>
      </w:r>
    </w:p>
    <w:p>
      <w:pPr>
        <w:spacing w:after="0" w:line="18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 The charge to profit or loss for the period is the cumulative amount less the amounts already charged in previous periods. There is a corresponding credit to equity.</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Until an award has vested, any amounts recorded are contingent and will be adjusted if more or fewer awards vest than were originally anticipated to do so.</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Tax—Research and Development Tax Incentive</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The R&amp;D Tax Incentive Scheme is an Australian Federal Government program under which eligible companies with annual aggregated revenue of less than A$20 million can receive cash amounts equal to 43.5% of eligible research and development expenditures from the ATO. The R&amp;D Tax Incentive Scheme incentive relates to eligible expenditures incurred in Australia and, under certain circumstances, overseas on the development of our lead candidate OPT-302. The R&amp;D tax incentive is applied annually to eligible expenditures incurred during our financial year following an annual application and subsequent filing of our income tax return after the financial year end.</w:t>
      </w:r>
    </w:p>
    <w:p>
      <w:pPr>
        <w:spacing w:after="0" w:line="18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estimate the amount of R&amp;D tax incentive after the completion of the financial year based on eligible Australia and overseas expenditures incurred during that year.</w:t>
      </w:r>
    </w:p>
    <w:p>
      <w:pPr>
        <w:spacing w:after="0" w:line="15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have presented incentives in respect of the R&amp;D Tax Incentive Scheme within income tax benefit in the Statement of Profit or Loss and Other Comprehensive Income by analogizing with IAS 12 “Income Taxes.”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7"/>
          <w:szCs w:val="17"/>
          <w:color w:val="auto"/>
        </w:rPr>
        <w:t>Judgment is required as to the eligibility for the R&amp;D tax incentive in respect of:</w:t>
      </w:r>
    </w:p>
    <w:p>
      <w:pPr>
        <w:spacing w:after="0" w:line="220" w:lineRule="exact"/>
        <w:rPr>
          <w:sz w:val="20"/>
          <w:szCs w:val="20"/>
          <w:color w:val="auto"/>
        </w:rPr>
      </w:pPr>
    </w:p>
    <w:p>
      <w:pPr>
        <w:ind w:left="880" w:hanging="434"/>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ability to make claims and its continued compliance under the scheme;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research and development and other supporting costs previously approved by Australian tax authorities;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estimated amounts, timing and geographical location of future costs related to the projects for which applications have been approved to date; and</w:t>
      </w:r>
    </w:p>
    <w:p>
      <w:pPr>
        <w:spacing w:after="0" w:line="231" w:lineRule="exact"/>
        <w:rPr>
          <w:rFonts w:ascii="Arial" w:cs="Arial" w:eastAsia="Arial" w:hAnsi="Arial"/>
          <w:sz w:val="16"/>
          <w:szCs w:val="16"/>
          <w:color w:val="auto"/>
        </w:rPr>
      </w:pPr>
    </w:p>
    <w:p>
      <w:pPr>
        <w:ind w:left="880" w:hanging="434"/>
        <w:spacing w:after="0" w:line="285"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assessment of whether expenditure on projects for which approval has been given by Australian tax authorities relate to Australian or overseas expenditure.</w:t>
      </w:r>
    </w:p>
    <w:p>
      <w:pPr>
        <w:spacing w:after="0" w:line="263" w:lineRule="exact"/>
        <w:rPr>
          <w:sz w:val="20"/>
          <w:szCs w:val="20"/>
          <w:color w:val="auto"/>
        </w:rPr>
      </w:pPr>
    </w:p>
    <w:p>
      <w:pPr>
        <w:jc w:val="both"/>
        <w:ind w:firstLine="882"/>
        <w:spacing w:after="0" w:line="260" w:lineRule="auto"/>
        <w:rPr>
          <w:sz w:val="20"/>
          <w:szCs w:val="20"/>
          <w:color w:val="auto"/>
        </w:rPr>
      </w:pPr>
      <w:r>
        <w:rPr>
          <w:rFonts w:ascii="Arial" w:cs="Arial" w:eastAsia="Arial" w:hAnsi="Arial"/>
          <w:sz w:val="17"/>
          <w:szCs w:val="17"/>
          <w:color w:val="auto"/>
        </w:rPr>
        <w:t>For the years ended June 30, 2019, 2020 and 2021, we have recognized an R&amp;D tax incentive receivable of US$10.4 million, US$5.9 million and US$5.0 million, respectively within our consolidated statement of financial position with a corresponding amount recognized within income tax benefit within the consolidated statement of profit or loss and other comprehensive income. The R&amp;D tax incentive receivable as of June 30, 2019, June 30, 2020 and June 30, 2021 is based on the legislation as currently enacted as at June 30, 2019, June 30,2020 and June 30,2021 respectively. The R&amp;D tax incentive receivable as of June 30, 2021, 2020 and 2019 is based on the legislation as currently enacted as at June 30, 2021, 2020 and 2019, respectively. Any proposed changes to the legislation, such as rate changes to the eligibility requirements, may have a retrospective impact if the legislation is passed, currently no such legislative changes have occurred.</w:t>
      </w:r>
    </w:p>
    <w:p>
      <w:pPr>
        <w:spacing w:after="0" w:line="181"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Investment tax credits such as the R&amp;D tax incentive are outside of the scope of IAS 12 “Income Taxes” and IAS 20 “Accounting for Government Grants and Disclosure of Government Assistance.” Based on the guidance in IAS 8 “Accounting Policies, Changes in Accounting Estimates and Errors,” companies need to make an accounting policy choice on how to present these incentives, which in practice is done by either analogizing with IAS 12 or with IAS 20. We have determined that the R&amp;D tax incentive should be presented by analogizing to IAS 12 because the nature of the incentive is considered to be more closely aligned to income taxes, based on the following considerations:</w:t>
      </w:r>
    </w:p>
    <w:p>
      <w:pPr>
        <w:spacing w:after="0" w:line="180" w:lineRule="exact"/>
        <w:rPr>
          <w:sz w:val="20"/>
          <w:szCs w:val="20"/>
          <w:color w:val="auto"/>
        </w:rPr>
      </w:pPr>
    </w:p>
    <w:p>
      <w:pPr>
        <w:jc w:val="both"/>
        <w:ind w:left="880" w:hanging="434"/>
        <w:spacing w:after="0" w:line="265"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R&amp;D tax incentive is considered an income tax offset which will be offset against our tax obligation if and when we return to a net tax payable position. In addition, while we are currently eligible to receive cash payments under the Scheme since our consolidated revenue is currently below A$20 million, if and when we generate revenue in excess of A$20 million, the R&amp;D tax incentive will become non-refundable and can only be offset against any future income tax payable by us.</w:t>
      </w:r>
    </w:p>
    <w:p>
      <w:pPr>
        <w:spacing w:after="0" w:line="176"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ATO, which is the tax authority in Australia, manages the annual claims process as the R&amp;D tax incentive is included in our annual income tax return.</w:t>
      </w:r>
    </w:p>
    <w:p>
      <w:pPr>
        <w:spacing w:after="0" w:line="159"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ATO is also responsible for making the R&amp;D tax incentive cash payment if a company is eligible for a cash refund under the program, oversees compliance with the requirements of the R&amp;D tax incentive scheme and performs pre-issuance reviews.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Amendments to Accounting Standards that are Mandatorily Effective for the Current Year</w:t>
      </w:r>
    </w:p>
    <w:p>
      <w:pPr>
        <w:spacing w:after="0" w:line="220" w:lineRule="exact"/>
        <w:rPr>
          <w:sz w:val="20"/>
          <w:szCs w:val="20"/>
          <w:color w:val="auto"/>
        </w:rPr>
      </w:pPr>
    </w:p>
    <w:p>
      <w:pPr>
        <w:ind w:firstLine="448"/>
        <w:spacing w:after="0" w:line="285" w:lineRule="auto"/>
        <w:rPr>
          <w:sz w:val="20"/>
          <w:szCs w:val="20"/>
          <w:color w:val="auto"/>
        </w:rPr>
      </w:pPr>
      <w:r>
        <w:rPr>
          <w:rFonts w:ascii="Arial" w:cs="Arial" w:eastAsia="Arial" w:hAnsi="Arial"/>
          <w:sz w:val="17"/>
          <w:szCs w:val="17"/>
          <w:color w:val="auto"/>
        </w:rPr>
        <w:t>We have adopted all of the new and revised Standards and Interpretations issued by the IASB that are relevant to our operations and effective for the current year.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New and revised Standards and amendments thereof and Interpretations effective for the current year that are relevant to us include:</w:t>
      </w:r>
    </w:p>
    <w:p>
      <w:pPr>
        <w:spacing w:after="0" w:line="200" w:lineRule="exact"/>
        <w:rPr>
          <w:sz w:val="20"/>
          <w:szCs w:val="20"/>
          <w:color w:val="auto"/>
        </w:rPr>
      </w:pPr>
    </w:p>
    <w:p>
      <w:pPr>
        <w:spacing w:after="0" w:line="228" w:lineRule="exact"/>
        <w:rPr>
          <w:sz w:val="20"/>
          <w:szCs w:val="20"/>
          <w:color w:val="auto"/>
        </w:rPr>
      </w:pPr>
    </w:p>
    <w:p>
      <w:pPr>
        <w:ind w:left="880" w:hanging="434"/>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International Financial Reporting Standard Definition of Material (Amendments to IAS 1 and IAS 8) and;</w:t>
      </w:r>
    </w:p>
    <w:p>
      <w:pPr>
        <w:spacing w:after="0" w:line="220" w:lineRule="exact"/>
        <w:rPr>
          <w:rFonts w:ascii="Arial" w:cs="Arial" w:eastAsia="Arial" w:hAnsi="Arial"/>
          <w:sz w:val="17"/>
          <w:szCs w:val="17"/>
          <w:color w:val="auto"/>
        </w:rPr>
      </w:pPr>
    </w:p>
    <w:p>
      <w:pPr>
        <w:ind w:left="5500" w:right="3200" w:hanging="5054"/>
        <w:spacing w:after="0" w:line="541" w:lineRule="auto"/>
        <w:tabs>
          <w:tab w:leader="none" w:pos="89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International Financial Reporting Standard Amendments to Conceptual Framework (IAS 1 and IAS 8).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-101600</wp:posOffset>
            </wp:positionV>
            <wp:extent cx="716280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7" w:name="page128"/>
    <w:bookmarkEnd w:id="127"/>
    <w:p>
      <w:pPr>
        <w:jc w:val="both"/>
        <w:ind w:firstLine="448"/>
        <w:spacing w:after="0" w:line="270" w:lineRule="auto"/>
        <w:rPr>
          <w:sz w:val="20"/>
          <w:szCs w:val="20"/>
          <w:color w:val="auto"/>
        </w:rPr>
      </w:pPr>
      <w:r>
        <w:rPr>
          <w:rFonts w:ascii="Arial" w:cs="Arial" w:eastAsia="Arial" w:hAnsi="Arial"/>
          <w:sz w:val="17"/>
          <w:szCs w:val="17"/>
          <w:color w:val="auto"/>
        </w:rPr>
        <w:t>During the fiscal year ended June 30, 2021, we applied a number of amendments to IFRS and Interpretations issued by the IASB that are effective for an annual period that begins on or after January 1, 2020. Their adoption has not had any material impact on the disclosures or on the amounts reported in our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and Revised International Financial Reporting Standards and Interpretations on Issue But not Yet Effective</w:t>
      </w:r>
    </w:p>
    <w:p>
      <w:pPr>
        <w:spacing w:after="0" w:line="22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The new and revised International Financial Reporting Standards, Interpretations and amendments that have been issued but are not yet effective, are not expected to have a material impact on the amounts recognized or disclosures included in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Qualitative and Quantitative Disclosures about Market Risk</w:t>
      </w:r>
    </w:p>
    <w:p>
      <w:pPr>
        <w:spacing w:after="0" w:line="22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 risk.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As of June 30, 2021, we had cash and cash equivalents of US$118.2 million. We have limited exposure to interest rate risk. Our exposure to market interest rates relates primarily to the short-term deposits. The deposits are held with two of Australia’s largest banks. Our cash and cash equivalents are not locked into long-term deposits at fixed rates so as to mitigate the risk of earning interest below the current floating rate. We do not have any credit facilities bearing variable interest rates.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220" w:lineRule="exact"/>
        <w:rPr>
          <w:sz w:val="20"/>
          <w:szCs w:val="20"/>
          <w:color w:val="auto"/>
        </w:rPr>
      </w:pPr>
    </w:p>
    <w:p>
      <w:pPr>
        <w:jc w:val="both"/>
        <w:ind w:firstLine="448"/>
        <w:spacing w:after="0" w:line="298" w:lineRule="auto"/>
        <w:rPr>
          <w:sz w:val="20"/>
          <w:szCs w:val="20"/>
          <w:color w:val="auto"/>
        </w:rPr>
      </w:pPr>
      <w:r>
        <w:rPr>
          <w:rFonts w:ascii="Arial" w:cs="Arial" w:eastAsia="Arial" w:hAnsi="Arial"/>
          <w:sz w:val="15"/>
          <w:szCs w:val="15"/>
          <w:color w:val="auto"/>
        </w:rPr>
        <w:t>As a result of services provided by non-related entities in the United States, Canada, United Kingdom and Europe, part of our financial assets and liabilities and foreign currency denominated transactions are affected by movements in the applicable exchange rate. We do not enter into any hedging transactions. We enter into forward rate foreign exchange rate contracts in respect of the settlement of supplier invoices denominated in U.S. dollars to mitigate the risk of movements in the Australian dollar and U.S dollar exchange rates. As of June 30, 2020 and June 30, 2021, we had US$3.5 million and US$39.8 million, respectively, in net exposure to the Australian dollar and U.S. dollar, primarily in payables and cash. An increase or decrease of the Australian dollar to U.S. dollar exchange rate by 10% would increase our after tax loss by US$2.5 million (2020: US$220 thousand) or decrease our after tax loss by US$3.1 million (2020: US$268 thousand), respectively. As we continue our clinical development activities, we expect to face continued exposure to exchange rate risk from the U.S. dollar. There was minimal or insignificant exposure to the British Pound, Euro and Canadian dollar during the years ended June 30, 2020 and 2021.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2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As a company with less than US$1.07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172" w:lineRule="exact"/>
        <w:rPr>
          <w:sz w:val="20"/>
          <w:szCs w:val="20"/>
          <w:color w:val="auto"/>
        </w:rPr>
      </w:pPr>
    </w:p>
    <w:p>
      <w:pPr>
        <w:ind w:left="880" w:hanging="434"/>
        <w:spacing w:after="0" w:line="285"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of Section 404 of the Sarbanes-Oxley Act of 2002, or the Sarbanes-Oxley Act, in the assessment of our internal controls over financial reporting; and</w:t>
      </w:r>
    </w:p>
    <w:p>
      <w:pPr>
        <w:spacing w:after="0" w:line="159"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72"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8" w:name="page129"/>
    <w:bookmarkEnd w:id="128"/>
    <w:p>
      <w:pPr>
        <w:jc w:val="both"/>
        <w:spacing w:after="0" w:line="270" w:lineRule="auto"/>
        <w:rPr>
          <w:sz w:val="20"/>
          <w:szCs w:val="20"/>
          <w:color w:val="auto"/>
        </w:rPr>
      </w:pPr>
      <w:r>
        <w:rPr>
          <w:rFonts w:ascii="Arial" w:cs="Arial" w:eastAsia="Arial" w:hAnsi="Arial"/>
          <w:sz w:val="17"/>
          <w:szCs w:val="17"/>
          <w:color w:val="auto"/>
        </w:rPr>
        <w:t>earliest to occur of (i) the last day of the fiscal year in which we have more than US$1.07 billion in annual revenue; (ii) the last day of the fiscal year in which we qualify as a “large accelerated filer”; (iii) the date on which we have, during the previous three-year period, issued more than US$1.0 billion in non-convertible debt securities; and (iv) June 30, 2026.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Private Issuer Status</w:t>
      </w:r>
    </w:p>
    <w:p>
      <w:pPr>
        <w:spacing w:after="0" w:line="226"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color w:val="auto"/>
        </w:rPr>
        <w:t>We are also considered a “foreign private issuer” under U.S. securities laws. In our capacity as a foreign private issuer, we are exempt from certain rules under the Securities Exchange Act of 1934, as amended, that 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81"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spacing w:after="0" w:line="17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have taken advantage of certain reduced reporting and other requirements in this annual report. Accordingly, the information contained herein may be different from the information you receive from other public companies.</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5.F</w:t>
      </w:r>
      <w:r>
        <w:rPr>
          <w:sz w:val="20"/>
          <w:szCs w:val="20"/>
          <w:color w:val="auto"/>
        </w:rPr>
        <w:tab/>
      </w:r>
      <w:r>
        <w:rPr>
          <w:rFonts w:ascii="Arial" w:cs="Arial" w:eastAsia="Arial" w:hAnsi="Arial"/>
          <w:sz w:val="15"/>
          <w:szCs w:val="15"/>
          <w:b w:val="1"/>
          <w:bCs w:val="1"/>
          <w:color w:val="auto"/>
        </w:rPr>
        <w:t>Contractual Obligations and Commitments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our contractual obligations as of June 30, 2021:</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9"/>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tcPr>
          <w:p>
            <w:pPr>
              <w:spacing w:after="0"/>
              <w:rPr>
                <w:sz w:val="10"/>
                <w:szCs w:val="10"/>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right"/>
              <w:ind w:right="79"/>
              <w:spacing w:after="0" w:line="127" w:lineRule="exact"/>
              <w:rPr>
                <w:sz w:val="20"/>
                <w:szCs w:val="20"/>
                <w:color w:val="auto"/>
              </w:rPr>
            </w:pPr>
            <w:r>
              <w:rPr>
                <w:rFonts w:ascii="Arial" w:cs="Arial" w:eastAsia="Arial" w:hAnsi="Arial"/>
                <w:sz w:val="14"/>
                <w:szCs w:val="14"/>
                <w:b w:val="1"/>
                <w:bCs w:val="1"/>
                <w:color w:val="auto"/>
              </w:rPr>
              <w:t>Less than 1</w:t>
            </w:r>
          </w:p>
        </w:tc>
        <w:tc>
          <w:tcPr>
            <w:tcW w:w="240" w:type="dxa"/>
            <w:vAlign w:val="bottom"/>
          </w:tcPr>
          <w:p>
            <w:pPr>
              <w:spacing w:after="0"/>
              <w:rPr>
                <w:sz w:val="10"/>
                <w:szCs w:val="10"/>
                <w:color w:val="auto"/>
              </w:rPr>
            </w:pPr>
          </w:p>
        </w:tc>
        <w:tc>
          <w:tcPr>
            <w:tcW w:w="13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1020" w:type="dxa"/>
            <w:vAlign w:val="bottom"/>
          </w:tcPr>
          <w:p>
            <w:pPr>
              <w:ind w:left="180"/>
              <w:spacing w:after="0" w:line="127"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US$ (in thousands)</w:t>
            </w: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June 30, 2021</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7"/>
                <w:szCs w:val="17"/>
                <w:color w:val="auto"/>
              </w:rPr>
              <w:t>Operating lease commitments</w:t>
            </w:r>
            <w:r>
              <w:rPr>
                <w:rFonts w:ascii="Arial" w:cs="Arial" w:eastAsia="Arial" w:hAnsi="Arial"/>
                <w:sz w:val="14"/>
                <w:szCs w:val="14"/>
                <w:color w:val="auto"/>
              </w:rPr>
              <w:t>(1)</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4"/>
                <w:szCs w:val="14"/>
                <w:color w:val="auto"/>
              </w:rPr>
              <w:t>(2)</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28,590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26,363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ind w:left="8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2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License agreements</w:t>
            </w:r>
            <w:r>
              <w:rPr>
                <w:rFonts w:ascii="Arial" w:cs="Arial" w:eastAsia="Arial" w:hAnsi="Arial"/>
                <w:sz w:val="14"/>
                <w:szCs w:val="14"/>
                <w:color w:val="auto"/>
              </w:rPr>
              <w:t>(3)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28,738</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26,383</w:t>
            </w:r>
          </w:p>
        </w:tc>
        <w:tc>
          <w:tcPr>
            <w:tcW w:w="2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2,355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40" w:hanging="436"/>
        <w:spacing w:after="0"/>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represent payments due for low value leases of office equipment not included in our consolidated financial statements appearing elsewhere in this annual report.</w:t>
      </w:r>
    </w:p>
    <w:p>
      <w:pPr>
        <w:ind w:left="440" w:hanging="436"/>
        <w:spacing w:after="0" w:line="213"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consist of purchase obligations of OPT-302 drug product under our manufacturing services agreement with Patheon Biologics Company Australia Pty Ltd. and Patheon Biologics Company B.V.</w:t>
      </w:r>
    </w:p>
    <w:p>
      <w:pPr>
        <w:ind w:left="440" w:hanging="436"/>
        <w:spacing w:after="0" w:line="228" w:lineRule="auto"/>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represent payments due under in-license agreements with the Schepens Eye Research Institute and the University of Siena for technologies not currently under development and unrelated to our out-licensing arrangements under which we receive sales-based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-469900</wp:posOffset>
            </wp:positionV>
            <wp:extent cx="14439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9" w:name="page130"/>
    <w:bookmarkEnd w:id="129"/>
    <w:p>
      <w:pPr>
        <w:jc w:val="both"/>
        <w:ind w:firstLine="448"/>
        <w:spacing w:after="0" w:line="270"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72"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We enter into agreements in the normal course of business with contract research organizations for clinical trials and with vendors for other services and products for operating purposes which are cancelable at any time by us. These payments are not included in this table of contractual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License Agreement with Selexis SA</w:t>
      </w:r>
    </w:p>
    <w:p>
      <w:pPr>
        <w:spacing w:after="0" w:line="220"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provided by Selexis to manufacture OPT-302 and related products and to use, sell and otherwise exploit such products.</w:t>
      </w:r>
    </w:p>
    <w:p>
      <w:pPr>
        <w:spacing w:after="0" w:line="155"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80" w:lineRule="exact"/>
        <w:rPr>
          <w:sz w:val="20"/>
          <w:szCs w:val="20"/>
          <w:color w:val="auto"/>
        </w:rPr>
      </w:pPr>
    </w:p>
    <w:p>
      <w:pPr>
        <w:jc w:val="both"/>
        <w:ind w:firstLine="448"/>
        <w:spacing w:after="0" w:line="318" w:lineRule="auto"/>
        <w:rPr>
          <w:sz w:val="20"/>
          <w:szCs w:val="20"/>
          <w:color w:val="auto"/>
        </w:rPr>
      </w:pPr>
      <w:r>
        <w:rPr>
          <w:rFonts w:ascii="Arial" w:cs="Arial" w:eastAsia="Arial" w:hAnsi="Arial"/>
          <w:sz w:val="16"/>
          <w:szCs w:val="16"/>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Item 6.Directors, Senior Management and Employees</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6A.</w:t>
      </w:r>
      <w:r>
        <w:rPr>
          <w:sz w:val="20"/>
          <w:szCs w:val="20"/>
          <w:color w:val="auto"/>
        </w:rPr>
        <w:tab/>
      </w:r>
      <w:r>
        <w:rPr>
          <w:rFonts w:ascii="Arial" w:cs="Arial" w:eastAsia="Arial" w:hAnsi="Arial"/>
          <w:sz w:val="15"/>
          <w:szCs w:val="15"/>
          <w:b w:val="1"/>
          <w:bCs w:val="1"/>
          <w:color w:val="auto"/>
        </w:rPr>
        <w:t>Key Management Personnel</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relating to our directors, senior management and key employees as of June 30,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3"/>
              </w:rPr>
              <w:t>Age</w:t>
            </w:r>
          </w:p>
        </w:tc>
        <w:tc>
          <w:tcPr>
            <w:tcW w:w="5700" w:type="dxa"/>
            <w:vAlign w:val="bottom"/>
            <w:gridSpan w:val="2"/>
          </w:tcPr>
          <w:p>
            <w:pPr>
              <w:ind w:left="140"/>
              <w:spacing w:after="0"/>
              <w:rPr>
                <w:sz w:val="20"/>
                <w:szCs w:val="20"/>
                <w:color w:val="auto"/>
              </w:rPr>
            </w:pPr>
            <w:r>
              <w:rPr>
                <w:rFonts w:ascii="Arial" w:cs="Arial" w:eastAsia="Arial" w:hAnsi="Arial"/>
                <w:sz w:val="17"/>
                <w:szCs w:val="17"/>
                <w:b w:val="1"/>
                <w:bCs w:val="1"/>
                <w:color w:val="auto"/>
              </w:rPr>
              <w:t>Position</w:t>
            </w: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b w:val="1"/>
                <w:bCs w:val="1"/>
                <w:color w:val="auto"/>
              </w:rPr>
              <w:t>Senior Management and Key Employees</w:t>
            </w:r>
          </w:p>
        </w:tc>
        <w:tc>
          <w:tcPr>
            <w:tcW w:w="14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560" w:type="dxa"/>
            <w:vAlign w:val="bottom"/>
            <w:tcBorders>
              <w:top w:val="single" w:sz="8" w:color="auto"/>
            </w:tcBorders>
          </w:tcPr>
          <w:p>
            <w:pPr>
              <w:spacing w:after="0"/>
              <w:rPr>
                <w:sz w:val="16"/>
                <w:szCs w:val="16"/>
                <w:color w:val="auto"/>
              </w:rPr>
            </w:pP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Megan Baldwin, Ph.D.</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Chief Executive Officer and Managing Director</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Karen Adams</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Vice President Finance and Company Secretary</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Richard Chadwick, Ph.D.</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Head of Intellectual Property</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Michael Gerometta, Ph.D.</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Head of Chemistry, Manufacturing and Controls Development</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Clare Price</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52</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 of Clinical Development</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Annette Leahy</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 of Clinical Research</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Ian Leitch, Ph.D.</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 of Clinical Research</w:t>
            </w:r>
          </w:p>
        </w:tc>
      </w:tr>
      <w:tr>
        <w:trPr>
          <w:trHeight w:val="214"/>
        </w:trPr>
        <w:tc>
          <w:tcPr>
            <w:tcW w:w="4080" w:type="dxa"/>
            <w:vAlign w:val="bottom"/>
          </w:tcPr>
          <w:p>
            <w:pPr>
              <w:spacing w:after="0"/>
              <w:rPr>
                <w:sz w:val="20"/>
                <w:szCs w:val="20"/>
                <w:color w:val="auto"/>
              </w:rPr>
            </w:pPr>
            <w:r>
              <w:rPr>
                <w:rFonts w:ascii="Arial" w:cs="Arial" w:eastAsia="Arial" w:hAnsi="Arial"/>
                <w:sz w:val="17"/>
                <w:szCs w:val="17"/>
                <w:b w:val="1"/>
                <w:bCs w:val="1"/>
                <w:color w:val="auto"/>
              </w:rPr>
              <w:t>Non-Employee Directors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tcPr>
          <w:p>
            <w:pPr>
              <w:spacing w:after="0"/>
              <w:rPr>
                <w:sz w:val="18"/>
                <w:szCs w:val="18"/>
                <w:color w:val="auto"/>
              </w:rPr>
            </w:pP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Julia Haller, M.D.</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Jeremy Levin, D.Phil, MB BChir</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Chairperson</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Lawrence Gozlan</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Judith Robertson</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08"/>
        </w:trPr>
        <w:tc>
          <w:tcPr>
            <w:tcW w:w="4080" w:type="dxa"/>
            <w:vAlign w:val="bottom"/>
          </w:tcPr>
          <w:p>
            <w:pPr>
              <w:spacing w:after="0"/>
              <w:rPr>
                <w:sz w:val="20"/>
                <w:szCs w:val="20"/>
                <w:color w:val="auto"/>
              </w:rPr>
            </w:pPr>
            <w:r>
              <w:rPr>
                <w:rFonts w:ascii="Arial" w:cs="Arial" w:eastAsia="Arial" w:hAnsi="Arial"/>
                <w:sz w:val="17"/>
                <w:szCs w:val="17"/>
                <w:color w:val="auto"/>
              </w:rPr>
              <w:t>Michael Sistenich</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20"/>
        </w:trPr>
        <w:tc>
          <w:tcPr>
            <w:tcW w:w="4080" w:type="dxa"/>
            <w:vAlign w:val="bottom"/>
          </w:tcPr>
          <w:p>
            <w:pPr>
              <w:spacing w:after="0"/>
              <w:rPr>
                <w:sz w:val="20"/>
                <w:szCs w:val="20"/>
                <w:color w:val="auto"/>
              </w:rPr>
            </w:pPr>
            <w:r>
              <w:rPr>
                <w:rFonts w:ascii="Arial" w:cs="Arial" w:eastAsia="Arial" w:hAnsi="Arial"/>
                <w:sz w:val="17"/>
                <w:szCs w:val="17"/>
                <w:color w:val="auto"/>
              </w:rPr>
              <w:t>Daniel Spiegelman</w:t>
            </w:r>
          </w:p>
        </w:tc>
        <w:tc>
          <w:tcPr>
            <w:tcW w:w="146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570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bl>
    <w:p>
      <w:pPr>
        <w:spacing w:after="0" w:line="221"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The business addresses for our senior management and board of directors is Opthea Limited, Suite 0403, Level 4, 650 Chapel Street, South Yarra, VIC 3141, Australia.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Management and Key Employees</w:t>
      </w:r>
    </w:p>
    <w:p>
      <w:pPr>
        <w:spacing w:after="0" w:line="220"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i w:val="1"/>
          <w:iCs w:val="1"/>
          <w:color w:val="auto"/>
        </w:rPr>
        <w:t xml:space="preserve">Megan Baldwin, Ph.D., </w:t>
      </w:r>
      <w:r>
        <w:rPr>
          <w:rFonts w:ascii="Arial" w:cs="Arial" w:eastAsia="Arial" w:hAnsi="Arial"/>
          <w:sz w:val="17"/>
          <w:szCs w:val="17"/>
          <w:color w:val="auto"/>
        </w:rPr>
        <w:t>has served as our Chief Executive Officer and Managing Director since February 2014. Since joining our company in 2008, Dr.</w:t>
      </w:r>
      <w:r>
        <w:rPr>
          <w:rFonts w:ascii="Arial" w:cs="Arial" w:eastAsia="Arial" w:hAnsi="Arial"/>
          <w:sz w:val="17"/>
          <w:szCs w:val="17"/>
          <w:i w:val="1"/>
          <w:iCs w:val="1"/>
          <w:color w:val="auto"/>
        </w:rPr>
        <w:t xml:space="preserve"> </w:t>
      </w:r>
      <w:r>
        <w:rPr>
          <w:rFonts w:ascii="Arial" w:cs="Arial" w:eastAsia="Arial" w:hAnsi="Arial"/>
          <w:sz w:val="17"/>
          <w:szCs w:val="17"/>
          <w:color w:val="auto"/>
        </w:rPr>
        <w:t>Baldwin has held various positions, including Head of Preclinical R&amp;D from February 2009 to November 2012 and Chief Executive Officer of Opthea Pty Ltd., previously a wholly-owned subsidiary, from November 2012 to December 2015. Dr. Baldwin has over 20 years of experience focusing on angiogenesis and therapeutic strategies for ophthalmic and cancer indications. Prior to joining our company, Dr. Baldwin was employed at Genentech, Inc. (now a subsidiary of the Roche Group), a leader in the field of angiogenesis-based therapies for cancer and other diseases. Dr. Baldwin earned a Bachelor of Science Honours and Ph.D. in Medicine from the University of Melbourne. We believe that Dr. Baldwin’s business expertise and her daily insight into corporate matters as our Chief Executive Officer qualify her to serve on our board of directors.</w:t>
      </w:r>
    </w:p>
    <w:p>
      <w:pPr>
        <w:spacing w:after="0" w:line="181"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i w:val="1"/>
          <w:iCs w:val="1"/>
          <w:color w:val="auto"/>
        </w:rPr>
        <w:t xml:space="preserve">Karen Adams, </w:t>
      </w:r>
      <w:r>
        <w:rPr>
          <w:rFonts w:ascii="Arial" w:cs="Arial" w:eastAsia="Arial" w:hAnsi="Arial"/>
          <w:sz w:val="17"/>
          <w:szCs w:val="17"/>
          <w:color w:val="auto"/>
        </w:rPr>
        <w:t>has served as our Vice President Finance since May 2021 and as our Secretary since June 2021. Prior to joining Opthea, Karen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of the Victor Smorgon Group, an investment management company, from December 2018 to May 2021. From February 2014 to August 2018, she served as the Director of Finance of Nexvet Biopharma Pty Ltd, a veterinary biologic therapeutics company. Karen holds a Graduate Degree in Business from Swinburne University and is a member of the Australian Society of Chartered Accountant, Graduate of Australian Institute of Company Directors and a Fellow of the Institute of Company Secretaries.</w:t>
      </w:r>
    </w:p>
    <w:p>
      <w:pPr>
        <w:spacing w:after="0" w:line="18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i w:val="1"/>
          <w:iCs w:val="1"/>
          <w:color w:val="auto"/>
        </w:rPr>
        <w:t xml:space="preserve">Richard Chadwick, Ph.D., </w:t>
      </w:r>
      <w:r>
        <w:rPr>
          <w:rFonts w:ascii="Arial" w:cs="Arial" w:eastAsia="Arial" w:hAnsi="Arial"/>
          <w:sz w:val="17"/>
          <w:szCs w:val="17"/>
          <w:color w:val="auto"/>
        </w:rPr>
        <w:t>has served as our Head of Intellectual Property since February 2008. From April 2003 to December 2007, Dr. Chadwick was a</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attorney at FB Rice &amp; Co., a private law firm. Prior to FB Rice &amp; Co., Dr. Chadwick was a patent attorney at Wynne-Jones, Laine &amp; James, a private law firm, and also worked as an in-house attorney at Dow Corning Limited, a materials science company, and Unilever plc, a consumer goods company. Dr. Chadwick earned a Bachelor of Science in Biochemistry with Microbiology from the University of St. Andrews and a Ph.D. in Biochemistry and Molecular Biology from the University of Manchester.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1" w:name="page132"/>
    <w:bookmarkEnd w:id="131"/>
    <w:p>
      <w:pPr>
        <w:jc w:val="both"/>
        <w:ind w:firstLine="448"/>
        <w:spacing w:after="0" w:line="265" w:lineRule="auto"/>
        <w:rPr>
          <w:sz w:val="20"/>
          <w:szCs w:val="20"/>
          <w:color w:val="auto"/>
        </w:rPr>
      </w:pPr>
      <w:r>
        <w:rPr>
          <w:rFonts w:ascii="Arial" w:cs="Arial" w:eastAsia="Arial" w:hAnsi="Arial"/>
          <w:sz w:val="17"/>
          <w:szCs w:val="17"/>
          <w:i w:val="1"/>
          <w:iCs w:val="1"/>
          <w:color w:val="auto"/>
        </w:rPr>
        <w:t xml:space="preserve">Michael Gerometta, Ph.D., </w:t>
      </w:r>
      <w:r>
        <w:rPr>
          <w:rFonts w:ascii="Arial" w:cs="Arial" w:eastAsia="Arial" w:hAnsi="Arial"/>
          <w:sz w:val="17"/>
          <w:szCs w:val="17"/>
          <w:color w:val="auto"/>
        </w:rPr>
        <w:t>has served as our Head of Chemistry, Manufacturing and Controls Development since December 2008. Dr. Gerometta has over</w:t>
      </w:r>
      <w:r>
        <w:rPr>
          <w:rFonts w:ascii="Arial" w:cs="Arial" w:eastAsia="Arial" w:hAnsi="Arial"/>
          <w:sz w:val="17"/>
          <w:szCs w:val="17"/>
          <w:i w:val="1"/>
          <w:iCs w:val="1"/>
          <w:color w:val="auto"/>
        </w:rPr>
        <w:t xml:space="preserve"> </w:t>
      </w:r>
      <w:r>
        <w:rPr>
          <w:rFonts w:ascii="Arial" w:cs="Arial" w:eastAsia="Arial" w:hAnsi="Arial"/>
          <w:sz w:val="17"/>
          <w:szCs w:val="17"/>
          <w:color w:val="auto"/>
        </w:rPr>
        <w:t>30 years of experience in the Australian biotechnology industry, working with numerous contract manufacturing organizations overseas and locally in all facets of translational CMC from concept through to Phase 2 studies. Dr. Gerometta earned a Bachelor of Science in Chemistry from the University of Technology, Sydney, and a Ph.D. in Biotechnology from the Queensland University of Technology.</w:t>
      </w:r>
    </w:p>
    <w:p>
      <w:pPr>
        <w:spacing w:after="0" w:line="17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i w:val="1"/>
          <w:iCs w:val="1"/>
          <w:color w:val="auto"/>
        </w:rPr>
        <w:t xml:space="preserve">Clare Price </w:t>
      </w:r>
      <w:r>
        <w:rPr>
          <w:rFonts w:ascii="Arial" w:cs="Arial" w:eastAsia="Arial" w:hAnsi="Arial"/>
          <w:sz w:val="17"/>
          <w:szCs w:val="17"/>
          <w:color w:val="auto"/>
        </w:rPr>
        <w:t>has served as our Director of Clinical Development since July 2016. From February 2016 to July 2016, Ms. Price served as the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at Commercial Eyes Pty Ltd., a pharmaceutical consulting firm. From January 2007 to January 2016, Ms. Price served in various roles, most recently as the Clinical Programme Director, at Starpharma Holdings Ltd, an Australian biotechnology company. Ms. Price earned a Bachelor of Pharmacy from Bath Spa University.</w:t>
      </w:r>
    </w:p>
    <w:p>
      <w:pPr>
        <w:spacing w:after="0" w:line="17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i w:val="1"/>
          <w:iCs w:val="1"/>
          <w:color w:val="auto"/>
        </w:rPr>
        <w:t xml:space="preserve">Annette Leahy </w:t>
      </w:r>
      <w:r>
        <w:rPr>
          <w:rFonts w:ascii="Arial" w:cs="Arial" w:eastAsia="Arial" w:hAnsi="Arial"/>
          <w:sz w:val="17"/>
          <w:szCs w:val="17"/>
          <w:color w:val="auto"/>
        </w:rPr>
        <w:t>has served as one of our Directors of Clinical Research since August 2017. From May 2016 to August 2017, she was the Clinical Trials</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at Swisse Wellness Pty Ltd., an Australian wellness company. From September 2014 to May 2016, she served in various roles, most recently as Senior Manager, Learning and Development, at Novotech (Australia) Pty Ltd., an Australian clinical research organization. Ms. Leahy earned a Bachelor of Health Information Management from La Trobe University.</w:t>
      </w:r>
    </w:p>
    <w:p>
      <w:pPr>
        <w:spacing w:after="0" w:line="176"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6"/>
          <w:szCs w:val="16"/>
          <w:i w:val="1"/>
          <w:iCs w:val="1"/>
          <w:color w:val="auto"/>
        </w:rPr>
        <w:t xml:space="preserve">Ian Leitch, Ph.D., </w:t>
      </w:r>
      <w:r>
        <w:rPr>
          <w:rFonts w:ascii="Arial" w:cs="Arial" w:eastAsia="Arial" w:hAnsi="Arial"/>
          <w:sz w:val="16"/>
          <w:szCs w:val="16"/>
          <w:color w:val="auto"/>
        </w:rPr>
        <w:t>has served as one of our Directors of Clinical Research since September 2011. From September 2006 to September 2011, Dr. Leitch was</w:t>
      </w:r>
      <w:r>
        <w:rPr>
          <w:rFonts w:ascii="Arial" w:cs="Arial" w:eastAsia="Arial" w:hAnsi="Arial"/>
          <w:sz w:val="16"/>
          <w:szCs w:val="16"/>
          <w:i w:val="1"/>
          <w:iCs w:val="1"/>
          <w:color w:val="auto"/>
        </w:rPr>
        <w:t xml:space="preserve"> </w:t>
      </w:r>
      <w:r>
        <w:rPr>
          <w:rFonts w:ascii="Arial" w:cs="Arial" w:eastAsia="Arial" w:hAnsi="Arial"/>
          <w:sz w:val="16"/>
          <w:szCs w:val="16"/>
          <w:color w:val="auto"/>
        </w:rPr>
        <w:t>a member of the Medical Sciences group at Amgen Inc., a biopharmaceutical company, and had responsibility for the design and management of clinical studies in oncology. From 1998 to 2006, Dr. Leitch was Senior Program Manager for Cardiovascular Research and Clinical Study Director for Ophthalmology at Miravant Medical Technologies Inc., a biopharmaceutical company. He earned a Bachelor of Science with Honours and a Ph.D. from the Department of Pharmacology, Faculty of Medicine, at Monash University and completed part of the doctoral studies at the University of California, Santa Barbara.</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220" w:lineRule="exact"/>
        <w:rPr>
          <w:sz w:val="20"/>
          <w:szCs w:val="20"/>
          <w:color w:val="auto"/>
        </w:rPr>
      </w:pPr>
    </w:p>
    <w:p>
      <w:pPr>
        <w:jc w:val="both"/>
        <w:ind w:firstLine="448"/>
        <w:spacing w:after="0" w:line="279" w:lineRule="auto"/>
        <w:rPr>
          <w:sz w:val="20"/>
          <w:szCs w:val="20"/>
          <w:color w:val="auto"/>
        </w:rPr>
      </w:pPr>
      <w:r>
        <w:rPr>
          <w:rFonts w:ascii="Arial" w:cs="Arial" w:eastAsia="Arial" w:hAnsi="Arial"/>
          <w:sz w:val="16"/>
          <w:szCs w:val="16"/>
          <w:i w:val="1"/>
          <w:iCs w:val="1"/>
          <w:color w:val="auto"/>
        </w:rPr>
        <w:t xml:space="preserve">Julia Haller, M.D. </w:t>
      </w:r>
      <w:r>
        <w:rPr>
          <w:rFonts w:ascii="Arial" w:cs="Arial" w:eastAsia="Arial" w:hAnsi="Arial"/>
          <w:sz w:val="16"/>
          <w:szCs w:val="16"/>
          <w:color w:val="auto"/>
        </w:rPr>
        <w:t>has served as a member of our board of directors since June 2021. Since 2007, Dr. Haller has served as Ophthalmologist-in-Chief and</w:t>
      </w:r>
      <w:r>
        <w:rPr>
          <w:rFonts w:ascii="Arial" w:cs="Arial" w:eastAsia="Arial" w:hAnsi="Arial"/>
          <w:sz w:val="16"/>
          <w:szCs w:val="16"/>
          <w:i w:val="1"/>
          <w:iCs w:val="1"/>
          <w:color w:val="auto"/>
        </w:rPr>
        <w:t xml:space="preserve"> </w:t>
      </w:r>
      <w:r>
        <w:rPr>
          <w:rFonts w:ascii="Arial" w:cs="Arial" w:eastAsia="Arial" w:hAnsi="Arial"/>
          <w:sz w:val="16"/>
          <w:szCs w:val="16"/>
          <w:color w:val="auto"/>
        </w:rPr>
        <w:t>Endowed Chair at Wills Eye Hospital in Philadelphia. Dr. Haller is Professor and Chair of the Department of Ophthalmology at the Sidney Kimmel Medical College at Thomas Jefferson University as well as a director of Bristol Myers Squibb, a biopharmaceutical company. She is also a member of the National Academy of Medicine, the President of the Women in Medicine Legacy Foundation, and serves on several prestigious boards including John Hopkins Medical and Surgical Association, the Association of University Professors of Ophthalmology, the College of Physicians of Philadelphia, and the Society of Heed Fellows. Dr. Haller received a Bachelor of Arts from Princeton University and an M.D. from Harvard Medical School. We believe Dr. Haller’s extensive experience as an internationally recognized ophthalmologist and vitreoretinal surgeon qualify her to serve on our board of directors.</w:t>
      </w:r>
    </w:p>
    <w:p>
      <w:pPr>
        <w:spacing w:after="0" w:line="166" w:lineRule="exact"/>
        <w:rPr>
          <w:sz w:val="20"/>
          <w:szCs w:val="20"/>
          <w:color w:val="auto"/>
        </w:rPr>
      </w:pPr>
    </w:p>
    <w:p>
      <w:pPr>
        <w:jc w:val="both"/>
        <w:ind w:firstLine="448"/>
        <w:spacing w:after="0" w:line="311" w:lineRule="auto"/>
        <w:rPr>
          <w:sz w:val="20"/>
          <w:szCs w:val="20"/>
          <w:color w:val="auto"/>
        </w:rPr>
      </w:pPr>
      <w:r>
        <w:rPr>
          <w:rFonts w:ascii="Arial" w:cs="Arial" w:eastAsia="Arial" w:hAnsi="Arial"/>
          <w:sz w:val="15"/>
          <w:szCs w:val="15"/>
          <w:i w:val="1"/>
          <w:iCs w:val="1"/>
          <w:color w:val="auto"/>
        </w:rPr>
        <w:t xml:space="preserve">Lawrence Gozlan </w:t>
      </w:r>
      <w:r>
        <w:rPr>
          <w:rFonts w:ascii="Arial" w:cs="Arial" w:eastAsia="Arial" w:hAnsi="Arial"/>
          <w:sz w:val="15"/>
          <w:szCs w:val="15"/>
          <w:color w:val="auto"/>
        </w:rPr>
        <w:t>has served as a member of our board of directors since July 2020. Since 2007, Mr. Gozlan has served as the Life Sciences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Manager of Jagen Pty Ltd., an international investment organization. Mr. Gozlan has also served as a member of the board of directors of Alterity Therapeutics Ltd., a drug development company, since 2011. Mr. Gozlan earned a Bachelor of Science in Microbiology and Immunology from the University of Melbourne. We believe Mr. Gozlan’s extensive investment experience in biotechnology and life sciences companies qualify him to serve on our board of directors.</w:t>
      </w:r>
    </w:p>
    <w:p>
      <w:pPr>
        <w:spacing w:after="0" w:line="146"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i w:val="1"/>
          <w:iCs w:val="1"/>
          <w:color w:val="auto"/>
        </w:rPr>
        <w:t xml:space="preserve">Jeremy Levin, D.Phil., MB BChir </w:t>
      </w:r>
      <w:r>
        <w:rPr>
          <w:rFonts w:ascii="Arial" w:cs="Arial" w:eastAsia="Arial" w:hAnsi="Arial"/>
          <w:sz w:val="16"/>
          <w:szCs w:val="16"/>
          <w:color w:val="auto"/>
        </w:rPr>
        <w:t>has served as the Chairperson of our board of directors since October 2020. Since March 2015, Dr. Levin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Executive Officer, and since April 2014, as the chairperson of the board of directors, of Ovid Therapeutics Inc., a biopharmaceutical company. From May 2012 to October 2013, Dr. Levin served as the President and Chief Executive Officer of Teva Pharmaceutical Industries Ltd., a publicly held pharmaceutical company. From September 2007 to December 2012, Dr. Levin held several roles at Bristol-Myers Squibb Company, a publicly held pharmaceutical company, ultimately serving as the Senior Vice President of Strategy, Alliances and Transactions. Dr. Levin also served as a member of the executive committee at Bristol-Myers Squibb Company. Dr. Levin earned a Bachelor of Arts in Zoology, Master of Arts in Cell Biology and D.Phil. in Chromatin Structure, all from University of Oxford, and a Bachelor of Medicine, Bachelor of Surgery from the University of Cambridge. We believe Dr. Levin’s extensive experience in the global biotechnology and pharmaceutical industry qualify him to serve on our board of directors.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2" w:name="page133"/>
    <w:bookmarkEnd w:id="132"/>
    <w:p>
      <w:pPr>
        <w:jc w:val="both"/>
        <w:ind w:firstLine="448"/>
        <w:spacing w:after="0" w:line="277" w:lineRule="auto"/>
        <w:rPr>
          <w:sz w:val="20"/>
          <w:szCs w:val="20"/>
          <w:color w:val="auto"/>
        </w:rPr>
      </w:pPr>
      <w:r>
        <w:rPr>
          <w:rFonts w:ascii="Arial" w:cs="Arial" w:eastAsia="Arial" w:hAnsi="Arial"/>
          <w:sz w:val="16"/>
          <w:szCs w:val="16"/>
          <w:i w:val="1"/>
          <w:iCs w:val="1"/>
          <w:color w:val="auto"/>
        </w:rPr>
        <w:t xml:space="preserve">Judith Robertson </w:t>
      </w:r>
      <w:r>
        <w:rPr>
          <w:rFonts w:ascii="Arial" w:cs="Arial" w:eastAsia="Arial" w:hAnsi="Arial"/>
          <w:sz w:val="16"/>
          <w:szCs w:val="16"/>
          <w:color w:val="auto"/>
        </w:rPr>
        <w:t>has served as a member of our board of directors since June 2021. Since 2019, Ms. Robertson has served as a member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Durect Corporation, a biotechnology company. From Dec 2020 to April 2021, Ms. Robertson served as the Chief Commercial Officer of Eleusis Ltd. From Dec 2016 she served as the Chief Commercial Officer of Aerie Pharmaceuticals Inc., a publicly held biotechnology company. Prior to Aerie, Ms. Robertson was Vice President Immunology and Ophthalmology Global Commercial Strategy Leader at Johnson and Johnson, Janssen Pharmaceuticals, and Vice President, Ophthalmology Global Business Franchise Head at Novartis (formerly Alcon). Ms. Robertson’s prior experience also includes sales and marketing roles at Novartis, Bristol Myers Squibb and Searle USA. Ms. Robertson received Bachelor of Arts from Ryerson University and a Master of Business Administration from Kellogg School of Management at Northwestern University. We believe Ms. Robertson’s extensive experience leading and launching commercial organizations and products qualify her to serve on our board of directors.</w:t>
      </w:r>
    </w:p>
    <w:p>
      <w:pPr>
        <w:spacing w:after="0" w:line="172" w:lineRule="exact"/>
        <w:rPr>
          <w:sz w:val="20"/>
          <w:szCs w:val="20"/>
          <w:color w:val="auto"/>
        </w:rPr>
      </w:pPr>
    </w:p>
    <w:p>
      <w:pPr>
        <w:jc w:val="both"/>
        <w:ind w:firstLine="448"/>
        <w:spacing w:after="0" w:line="260" w:lineRule="auto"/>
        <w:rPr>
          <w:sz w:val="20"/>
          <w:szCs w:val="20"/>
          <w:color w:val="auto"/>
        </w:rPr>
      </w:pPr>
      <w:r>
        <w:rPr>
          <w:rFonts w:ascii="Arial" w:cs="Arial" w:eastAsia="Arial" w:hAnsi="Arial"/>
          <w:sz w:val="17"/>
          <w:szCs w:val="17"/>
          <w:i w:val="1"/>
          <w:iCs w:val="1"/>
          <w:color w:val="auto"/>
        </w:rPr>
        <w:t xml:space="preserve">Michael Sistenich </w:t>
      </w:r>
      <w:r>
        <w:rPr>
          <w:rFonts w:ascii="Arial" w:cs="Arial" w:eastAsia="Arial" w:hAnsi="Arial"/>
          <w:sz w:val="17"/>
          <w:szCs w:val="17"/>
          <w:color w:val="auto"/>
        </w:rPr>
        <w:t>has served as a member of our board of directors since November 2015. Since May 2017, Mr. Sistenich has served as a co-founder and</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of Aurenda Partners Pty Ltd., an investment firm. From August 2016 to February 2017, Mr. Sistenich served as the interim Chief Executive Officer of Nohla Therapeutics, Inc., a cellular therapy company, and has also served as a member of the board of directors of Nohla Therapeutics, Inc. from March 2017 to June 2019. Mr. Sistenich has advised a wide range of global institutions, high net worth individuals and companies on healthcare investments over the past 20 years. He is a healthcare specialist in international investment management and investment banking. Mr. Sistenich earned a Master of Science in Biochemistry from the University of Oxford. We believe Mr. Sistenich’s financial experience and his service on the boards of directors of several biotechnology companies qualify him to serve on our board of directors.</w:t>
      </w:r>
    </w:p>
    <w:p>
      <w:pPr>
        <w:spacing w:after="0" w:line="181" w:lineRule="exact"/>
        <w:rPr>
          <w:sz w:val="20"/>
          <w:szCs w:val="20"/>
          <w:color w:val="auto"/>
        </w:rPr>
      </w:pPr>
    </w:p>
    <w:p>
      <w:pPr>
        <w:jc w:val="both"/>
        <w:ind w:firstLine="448"/>
        <w:spacing w:after="0" w:line="276" w:lineRule="auto"/>
        <w:rPr>
          <w:sz w:val="20"/>
          <w:szCs w:val="20"/>
          <w:color w:val="auto"/>
        </w:rPr>
      </w:pPr>
      <w:r>
        <w:rPr>
          <w:rFonts w:ascii="Arial" w:cs="Arial" w:eastAsia="Arial" w:hAnsi="Arial"/>
          <w:sz w:val="16"/>
          <w:szCs w:val="16"/>
          <w:i w:val="1"/>
          <w:iCs w:val="1"/>
          <w:color w:val="auto"/>
        </w:rPr>
        <w:t xml:space="preserve">Daniel Spiegelman </w:t>
      </w:r>
      <w:r>
        <w:rPr>
          <w:rFonts w:ascii="Arial" w:cs="Arial" w:eastAsia="Arial" w:hAnsi="Arial"/>
          <w:sz w:val="16"/>
          <w:szCs w:val="16"/>
          <w:color w:val="auto"/>
        </w:rPr>
        <w:t>has served as a member of our board of directors since September 2020. Since July 2020, Mr. Spiegelman has served as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Recardia Therapeutics Inc., a pharmaceutical development company. From May 2012 to January 2020, Mr. Spiegelman served as Executive Vice President, Chief Financial Officer and a member of the board of directors of BioMarin Pharmaceutical Inc., a biotechnology company. From October 2008 to March 2018, Mr. Spiegelman served as a member of the board of directors of Cascadian Therapeutics, Inc., a publicly held biotechnology company that was acquired by Seattle Genetics, Inc. in 2018. From October 2008 to March 2018, Mr. Spiegelman served as a member of the board of directors of Cascadian Therapeutics, Inc., a publicly held biotechnology company that was acquired by Seattle Genetics, Inc. in 2018. From May 2009 to May 2012, Mr. Spiegelman served as a consultant to provide strategic financial management support to a portfolio of public and private life science companies. Mr. Spiegelman has also served as a member of the board of directors of Myriad Genetics, a molecular diagnostic company, since May 2020. Mr. Spiegelman earned a Bachelor of Arts from Stanford University and a Master of Business Administration from the Stanford Graduate School of Business. We believe Mr. Spiegelman’s extensive leadership experience in biotechnology and pharmaceutical companies qualify him to serve on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family relationships among any of the members of our board of directors and our senior management.</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6B.</w:t>
        <w:tab/>
        <w:t>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0"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Our remuneration policy is to align director and senior management objectives with shareholder and business objectives by providing a fixed remuneration component and typically offering long-term incentives based on key performance areas. Our board of directors believes the remuneration policy to be appropriate and effective in its ability to attract and retain the best executives and directors to run and manage the consolidated entity, as well as create goal congruence between directors, executives and shareholders. Our board of directors and the Remuneration Committee are responsible for determining the appropriate remuneration package for our senior management, including our Chief Executive Officer.</w:t>
      </w:r>
    </w:p>
    <w:p>
      <w:pPr>
        <w:spacing w:after="0" w:line="180"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Australian executives and directors receive a superannuation guarantee contribution required under Australian law and do not receive any other retirement benefits.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i w:val="1"/>
          <w:iCs w:val="1"/>
          <w:color w:val="auto"/>
        </w:rPr>
        <w:t>Remuneration of Senior Management</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fiscal year ended June 30, 2021, the aggregate cash remuneration paid to our senior management was US$903,175.</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Our senior management receive fixed compensation and performance-linked remuneration. The level of fixed remuneration is set to provide a base level of compensation which is both appropriate to the applicable position and is competitive in the marketplace. The Remuneration Committee accesses external advice independent of senior management if required. Fixed compensation is comprised of base salary and superannuation contribution and is reviewed every 12 months by the Remuneration Committee.</w:t>
      </w:r>
    </w:p>
    <w:p>
      <w:pPr>
        <w:spacing w:after="0" w:line="17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Performance-linked remuneration consists of short-term and long-term incentives. The objective of short-term incentives is to link the achievement of our operational targets with the remuneration received by our senior management charged with meeting those targets. Total potential short-term incentives are set at a level that we believe provides sufficient incentive to our senior management to achieve the operational targets at a cost to us that is reasonable under the circumstances. Short-term incentives may include cash bonuses based on the extent to which specific targets set at the beginning of each fiscal year are met. The targets consist of a number of key performance indicators covering corporate objectives and individual measures of performance. Individual performance indicators are linked to our development plans. Our Remuneration Committee determines, on an annual basis and after consideration of performance against the key performance indicators, the amount, if any, of short-term incentives payable to our senior management. Payments of short-term incentive bonuses are made in the following reporting period.</w:t>
      </w:r>
    </w:p>
    <w:p>
      <w:pPr>
        <w:spacing w:after="0" w:line="184"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also provide long-term incentives through option grants under our Long Term Incentive Plan. The objective of the Long Term Incentive Plan is to reward our management and key employees in a manner that aligns this element of compensation with the creation of shareholder wealth. Long Term Incentive Plan grants are made to senior management and employees who are able to influence the generation of shareholder wealth and have a direct impact on our performance and development. Option vesting conditions are based on continued service to us.</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 making remuneration determinations for our senior management, the Remuneration Committee considers operational contributions by our senior management as well as the following performance indicators: revenue, loss before tax, tax benefit, loss after tax, basic loss per ordinary share, net tangible assets per share and changes in prevailing trading prices of our ordinary shares on the ASX.</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Remuneration of Non-Employee Directors</w:t>
      </w:r>
    </w:p>
    <w:p>
      <w:pPr>
        <w:spacing w:after="0" w:line="220" w:lineRule="exact"/>
        <w:rPr>
          <w:sz w:val="20"/>
          <w:szCs w:val="20"/>
          <w:color w:val="auto"/>
        </w:rPr>
      </w:pPr>
    </w:p>
    <w:p>
      <w:pPr>
        <w:jc w:val="both"/>
        <w:ind w:firstLine="448"/>
        <w:spacing w:after="0" w:line="277" w:lineRule="auto"/>
        <w:rPr>
          <w:sz w:val="20"/>
          <w:szCs w:val="20"/>
          <w:color w:val="auto"/>
        </w:rPr>
      </w:pPr>
      <w:r>
        <w:rPr>
          <w:rFonts w:ascii="Arial" w:cs="Arial" w:eastAsia="Arial" w:hAnsi="Arial"/>
          <w:sz w:val="16"/>
          <w:szCs w:val="16"/>
          <w:color w:val="auto"/>
        </w:rPr>
        <w:t>Our non-employee directors receive a fixed fee annually, which is reviewed by our board of directors on an annual basis. Mses. Haller and Robertson and Messrs. Sistenich and Gozlan are each entitled to an annual fixed fee of US$50,000/A$65,700. Mr. Spiegelman is entitled to an annual fixed fee of US$70,000 (inclusive of fees for his service as chairperson of the audit and risk committee). Dr. Levin is entitled to an annual fixed fee of US$75,000 (for his service as chairperson of the board of directors). Board members are entitled to an annual fixed fee of US$10,000/A$13,140 for service as Chair of any other committees and US$5,000/A$6,570 for service on any other committee in a non-Chair role. Unless otherwise noted, the fixed fees cover both service on the board of directors and committees of the board of directors. The remuneration of our non-employee directors is reviewed by our board of directors on an annual basis. Non-employee directors are not provided with retirement benefits apart from statutory superannuation, which is only applicable to Australian resident directors. Non-employee directors are reimbursed for costs directly related to conducting business related to their service on our board of directors.</w:t>
      </w:r>
    </w:p>
    <w:p>
      <w:pPr>
        <w:spacing w:after="0" w:line="172"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We implemented a non-executive director share and option plan, or the NED Plan, in 2014. Under the NED Plan, present and future non-executive directors may:</w:t>
      </w:r>
    </w:p>
    <w:p>
      <w:pPr>
        <w:spacing w:after="0" w:line="159" w:lineRule="exact"/>
        <w:rPr>
          <w:sz w:val="20"/>
          <w:szCs w:val="20"/>
          <w:color w:val="auto"/>
        </w:rPr>
      </w:pPr>
    </w:p>
    <w:p>
      <w:pPr>
        <w:ind w:left="880" w:hanging="434"/>
        <w:spacing w:after="0"/>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elect to receive ordinary shares or options to purchase ordinary shares in lieu of receiving some or all of their annual fixed fee;</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be awarded ordinary shares or options to purchase ordinary shares in lieu of additional cash remuneration in respect of services provided to the Company which in the opinion of the board of directors are outside the scope of the ordinary duties of the relevant director;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4" w:name="page135"/>
    <w:bookmarkEnd w:id="134"/>
    <w:p>
      <w:pPr>
        <w:ind w:left="880" w:hanging="434"/>
        <w:spacing w:after="0" w:line="285"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otherwise be awarded ordinary shares or options to purchase ordinary shares as part of the directors’ remuneration in addition to any existing cash remuneration paid to directors (if any).</w:t>
      </w:r>
    </w:p>
    <w:p>
      <w:pPr>
        <w:spacing w:after="0" w:line="159"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NED Plan is designed to assist us in preserving our cash for use toward advancing the clinical development of our product candidate and provide our non-employee directors an opportunity to demonstrate their commitment and support for us through sacrificing some or all of their cash fees for ordinary shares or options. The NED Plan also provides us with further flexibility in the design of the directors’ remuneration packages and in turn assists us with retaining existing directors and attracting new additional directors with the relevant experience and expertise.</w:t>
      </w:r>
    </w:p>
    <w:p>
      <w:pPr>
        <w:spacing w:after="0" w:line="176"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In addition, if a change in control of our company (as defined in the NED Plan) occurs prior to the grant of Dr. Levin’s option upon receipt of shareholder approval, we have agreed to pay Dr. Levin a cash amount equal to the value Dr. Levin would have received had his option been granted prior to the change in control and accelerated in full in connection with the change in control.</w:t>
      </w:r>
    </w:p>
    <w:p>
      <w:pPr>
        <w:spacing w:after="0" w:line="172"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For the fiscal year ended June 30, 2021, the aggregate cash remuneration paid to our non-employee directors was US$275,455, including Nil in cash reimbursements.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 with Senior Management</w:t>
      </w:r>
    </w:p>
    <w:p>
      <w:pPr>
        <w:spacing w:after="0" w:line="220" w:lineRule="exact"/>
        <w:rPr>
          <w:sz w:val="20"/>
          <w:szCs w:val="20"/>
          <w:color w:val="auto"/>
        </w:rPr>
      </w:pPr>
    </w:p>
    <w:p>
      <w:pPr>
        <w:jc w:val="both"/>
        <w:ind w:firstLine="448"/>
        <w:spacing w:after="0" w:line="270" w:lineRule="auto"/>
        <w:rPr>
          <w:sz w:val="20"/>
          <w:szCs w:val="20"/>
          <w:color w:val="auto"/>
        </w:rPr>
      </w:pPr>
      <w:r>
        <w:rPr>
          <w:rFonts w:ascii="Arial" w:cs="Arial" w:eastAsia="Arial" w:hAnsi="Arial"/>
          <w:sz w:val="17"/>
          <w:szCs w:val="17"/>
          <w:color w:val="auto"/>
        </w:rPr>
        <w:t>The key provisions of the employment agreements are set out below for each member of our senior management. None of these employment agreements have termination dates. The base salary under the employment agreements may be increased by the board of directors from time to time, including by 3% for the fiscal year ending June 30,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8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rPr>
              <w:t>Date of</w:t>
            </w:r>
          </w:p>
        </w:tc>
        <w:tc>
          <w:tcPr>
            <w:tcW w:w="940" w:type="dxa"/>
            <w:vAlign w:val="bottom"/>
            <w:gridSpan w:val="3"/>
          </w:tcPr>
          <w:p>
            <w:pPr>
              <w:ind w:left="100"/>
              <w:spacing w:after="0"/>
              <w:rPr>
                <w:sz w:val="20"/>
                <w:szCs w:val="20"/>
                <w:color w:val="auto"/>
              </w:rPr>
            </w:pPr>
            <w:r>
              <w:rPr>
                <w:rFonts w:ascii="Arial" w:cs="Arial" w:eastAsia="Arial" w:hAnsi="Arial"/>
                <w:sz w:val="17"/>
                <w:szCs w:val="17"/>
                <w:b w:val="1"/>
                <w:bCs w:val="1"/>
                <w:color w:val="auto"/>
              </w:rPr>
              <w:t>Base</w:t>
            </w:r>
          </w:p>
        </w:tc>
        <w:tc>
          <w:tcPr>
            <w:tcW w:w="2380" w:type="dxa"/>
            <w:vAlign w:val="bottom"/>
          </w:tcPr>
          <w:p>
            <w:pPr>
              <w:spacing w:after="0"/>
              <w:rPr>
                <w:sz w:val="18"/>
                <w:szCs w:val="18"/>
                <w:color w:val="auto"/>
              </w:rPr>
            </w:pPr>
          </w:p>
        </w:tc>
        <w:tc>
          <w:tcPr>
            <w:tcW w:w="5520" w:type="dxa"/>
            <w:vAlign w:val="bottom"/>
            <w:gridSpan w:val="2"/>
          </w:tcPr>
          <w:p>
            <w:pPr>
              <w:ind w:left="60"/>
              <w:spacing w:after="0"/>
              <w:rPr>
                <w:sz w:val="20"/>
                <w:szCs w:val="20"/>
                <w:color w:val="auto"/>
              </w:rPr>
            </w:pPr>
            <w:r>
              <w:rPr>
                <w:rFonts w:ascii="Arial" w:cs="Arial" w:eastAsia="Arial" w:hAnsi="Arial"/>
                <w:sz w:val="17"/>
                <w:szCs w:val="17"/>
                <w:b w:val="1"/>
                <w:bCs w:val="1"/>
                <w:color w:val="auto"/>
              </w:rPr>
              <w:t>Benefits upon Termination without</w:t>
            </w:r>
          </w:p>
        </w:tc>
      </w:tr>
      <w:tr>
        <w:trPr>
          <w:trHeight w:val="226"/>
        </w:trPr>
        <w:tc>
          <w:tcPr>
            <w:tcW w:w="1480" w:type="dxa"/>
            <w:vAlign w:val="bottom"/>
          </w:tcPr>
          <w:p>
            <w:pPr>
              <w:spacing w:after="0"/>
              <w:rPr>
                <w:sz w:val="20"/>
                <w:szCs w:val="20"/>
                <w:color w:val="auto"/>
              </w:rPr>
            </w:pPr>
            <w:r>
              <w:rPr>
                <w:rFonts w:ascii="Arial" w:cs="Arial" w:eastAsia="Arial" w:hAnsi="Arial"/>
                <w:sz w:val="17"/>
                <w:szCs w:val="17"/>
                <w:b w:val="1"/>
                <w:bCs w:val="1"/>
                <w:color w:val="auto"/>
              </w:rPr>
              <w:t>Officer</w:t>
            </w:r>
          </w:p>
        </w:tc>
        <w:tc>
          <w:tcPr>
            <w:tcW w:w="920" w:type="dxa"/>
            <w:vAlign w:val="bottom"/>
            <w:gridSpan w:val="2"/>
          </w:tcPr>
          <w:p>
            <w:pPr>
              <w:ind w:left="100"/>
              <w:spacing w:after="0"/>
              <w:rPr>
                <w:sz w:val="20"/>
                <w:szCs w:val="20"/>
                <w:color w:val="auto"/>
              </w:rPr>
            </w:pPr>
            <w:r>
              <w:rPr>
                <w:rFonts w:ascii="Arial" w:cs="Arial" w:eastAsia="Arial" w:hAnsi="Arial"/>
                <w:sz w:val="17"/>
                <w:szCs w:val="17"/>
                <w:b w:val="1"/>
                <w:bCs w:val="1"/>
                <w:color w:val="auto"/>
                <w:w w:val="90"/>
              </w:rPr>
              <w:t>Agreement</w:t>
            </w:r>
          </w:p>
        </w:tc>
        <w:tc>
          <w:tcPr>
            <w:tcW w:w="940" w:type="dxa"/>
            <w:vAlign w:val="bottom"/>
            <w:gridSpan w:val="3"/>
          </w:tcPr>
          <w:p>
            <w:pPr>
              <w:ind w:left="100"/>
              <w:spacing w:after="0"/>
              <w:rPr>
                <w:sz w:val="20"/>
                <w:szCs w:val="20"/>
                <w:color w:val="auto"/>
              </w:rPr>
            </w:pPr>
            <w:r>
              <w:rPr>
                <w:rFonts w:ascii="Arial" w:cs="Arial" w:eastAsia="Arial" w:hAnsi="Arial"/>
                <w:sz w:val="17"/>
                <w:szCs w:val="17"/>
                <w:b w:val="1"/>
                <w:bCs w:val="1"/>
                <w:color w:val="auto"/>
              </w:rPr>
              <w:t>Salary</w:t>
            </w:r>
          </w:p>
        </w:tc>
        <w:tc>
          <w:tcPr>
            <w:tcW w:w="2380" w:type="dxa"/>
            <w:vAlign w:val="bottom"/>
          </w:tcPr>
          <w:p>
            <w:pPr>
              <w:spacing w:after="0"/>
              <w:rPr>
                <w:sz w:val="20"/>
                <w:szCs w:val="20"/>
                <w:color w:val="auto"/>
              </w:rPr>
            </w:pPr>
            <w:r>
              <w:rPr>
                <w:rFonts w:ascii="Arial" w:cs="Arial" w:eastAsia="Arial" w:hAnsi="Arial"/>
                <w:sz w:val="17"/>
                <w:szCs w:val="17"/>
                <w:b w:val="1"/>
                <w:bCs w:val="1"/>
                <w:color w:val="auto"/>
              </w:rPr>
              <w:t>Termination without Cause</w:t>
            </w:r>
          </w:p>
        </w:tc>
        <w:tc>
          <w:tcPr>
            <w:tcW w:w="5520" w:type="dxa"/>
            <w:vAlign w:val="bottom"/>
            <w:gridSpan w:val="2"/>
          </w:tcPr>
          <w:p>
            <w:pPr>
              <w:ind w:left="60"/>
              <w:spacing w:after="0"/>
              <w:rPr>
                <w:sz w:val="20"/>
                <w:szCs w:val="20"/>
                <w:color w:val="auto"/>
              </w:rPr>
            </w:pPr>
            <w:r>
              <w:rPr>
                <w:rFonts w:ascii="Arial" w:cs="Arial" w:eastAsia="Arial" w:hAnsi="Arial"/>
                <w:sz w:val="17"/>
                <w:szCs w:val="17"/>
                <w:b w:val="1"/>
                <w:bCs w:val="1"/>
                <w:color w:val="auto"/>
              </w:rPr>
              <w:t>Cause</w:t>
            </w:r>
          </w:p>
        </w:tc>
      </w:tr>
      <w:tr>
        <w:trPr>
          <w:trHeight w:val="189"/>
        </w:trPr>
        <w:tc>
          <w:tcPr>
            <w:tcW w:w="14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Megan Baldwin,</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April 23,</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2"/>
              </w:rPr>
              <w:t>A$453,200</w:t>
            </w:r>
          </w:p>
        </w:tc>
        <w:tc>
          <w:tcPr>
            <w:tcW w:w="60" w:type="dxa"/>
            <w:vAlign w:val="bottom"/>
            <w:tcBorders>
              <w:top w:val="single" w:sz="8" w:color="CCEEFF"/>
            </w:tcBorders>
            <w:shd w:val="clear" w:color="auto" w:fill="CCEEFF"/>
          </w:tcPr>
          <w:p>
            <w:pPr>
              <w:spacing w:after="0"/>
              <w:rPr>
                <w:sz w:val="16"/>
                <w:szCs w:val="16"/>
                <w:color w:val="auto"/>
              </w:rPr>
            </w:pPr>
          </w:p>
        </w:tc>
        <w:tc>
          <w:tcPr>
            <w:tcW w:w="2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1"/>
              </w:rPr>
              <w:t>Not less than three months’ notice</w:t>
            </w:r>
          </w:p>
        </w:tc>
        <w:tc>
          <w:tcPr>
            <w:tcW w:w="60" w:type="dxa"/>
            <w:vAlign w:val="bottom"/>
            <w:tcBorders>
              <w:top w:val="single" w:sz="8" w:color="CCEEFF"/>
            </w:tcBorders>
            <w:shd w:val="clear" w:color="auto" w:fill="CCEEFF"/>
          </w:tcPr>
          <w:p>
            <w:pPr>
              <w:spacing w:after="0"/>
              <w:rPr>
                <w:sz w:val="16"/>
                <w:szCs w:val="16"/>
                <w:color w:val="auto"/>
              </w:rPr>
            </w:pPr>
          </w:p>
        </w:tc>
        <w:tc>
          <w:tcPr>
            <w:tcW w:w="5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8"/>
              </w:rPr>
              <w:t>Upon notice of termination by us, any options that have vested or will vest</w:t>
            </w:r>
          </w:p>
        </w:tc>
      </w:tr>
      <w:tr>
        <w:trPr>
          <w:trHeight w:val="208"/>
        </w:trPr>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Ph.D.</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2014</w:t>
            </w:r>
          </w:p>
        </w:tc>
        <w:tc>
          <w:tcPr>
            <w:tcW w:w="9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per year</w:t>
            </w: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(if by employee)</w:t>
            </w:r>
          </w:p>
        </w:tc>
        <w:tc>
          <w:tcPr>
            <w:tcW w:w="55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8"/>
              </w:rPr>
              <w:t>during the notice period will be released; all other options will lapse at the</w:t>
            </w:r>
          </w:p>
        </w:tc>
      </w:tr>
      <w:tr>
        <w:trPr>
          <w:trHeight w:val="208"/>
        </w:trPr>
        <w:tc>
          <w:tcPr>
            <w:tcW w:w="14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Chief Executive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Not less than twelve months’</w:t>
            </w:r>
          </w:p>
        </w:tc>
        <w:tc>
          <w:tcPr>
            <w:tcW w:w="55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discretion of our board of directors.</w:t>
            </w:r>
          </w:p>
        </w:tc>
      </w:tr>
      <w:tr>
        <w:trPr>
          <w:trHeight w:val="208"/>
        </w:trPr>
        <w:tc>
          <w:tcPr>
            <w:tcW w:w="14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Officer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w w:val="93"/>
              </w:rPr>
              <w:t>notice or payment in lieu of notice</w:t>
            </w:r>
          </w:p>
        </w:tc>
        <w:tc>
          <w:tcPr>
            <w:tcW w:w="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r>
      <w:tr>
        <w:trPr>
          <w:trHeight w:val="220"/>
        </w:trPr>
        <w:tc>
          <w:tcPr>
            <w:tcW w:w="14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Managing Director</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period (if by us)</w:t>
            </w:r>
          </w:p>
        </w:tc>
        <w:tc>
          <w:tcPr>
            <w:tcW w:w="6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19"/>
                <w:szCs w:val="19"/>
                <w:color w:val="auto"/>
              </w:rPr>
            </w:pPr>
          </w:p>
        </w:tc>
      </w:tr>
      <w:tr>
        <w:trPr>
          <w:trHeight w:val="196"/>
        </w:trPr>
        <w:tc>
          <w:tcPr>
            <w:tcW w:w="1480" w:type="dxa"/>
            <w:vAlign w:val="bottom"/>
          </w:tcPr>
          <w:p>
            <w:pPr>
              <w:spacing w:after="0"/>
              <w:rPr>
                <w:sz w:val="20"/>
                <w:szCs w:val="20"/>
                <w:color w:val="auto"/>
              </w:rPr>
            </w:pPr>
            <w:r>
              <w:rPr>
                <w:rFonts w:ascii="Arial" w:cs="Arial" w:eastAsia="Arial" w:hAnsi="Arial"/>
                <w:sz w:val="17"/>
                <w:szCs w:val="17"/>
                <w:color w:val="auto"/>
              </w:rPr>
              <w:t>Karen Adams</w:t>
            </w:r>
          </w:p>
        </w:tc>
        <w:tc>
          <w:tcPr>
            <w:tcW w:w="920" w:type="dxa"/>
            <w:vAlign w:val="bottom"/>
            <w:gridSpan w:val="2"/>
          </w:tcPr>
          <w:p>
            <w:pPr>
              <w:ind w:left="100"/>
              <w:spacing w:after="0"/>
              <w:rPr>
                <w:sz w:val="20"/>
                <w:szCs w:val="20"/>
                <w:color w:val="auto"/>
              </w:rPr>
            </w:pPr>
            <w:r>
              <w:rPr>
                <w:rFonts w:ascii="Arial" w:cs="Arial" w:eastAsia="Arial" w:hAnsi="Arial"/>
                <w:sz w:val="17"/>
                <w:szCs w:val="17"/>
                <w:color w:val="auto"/>
              </w:rPr>
              <w:t>June 15,</w:t>
            </w:r>
          </w:p>
        </w:tc>
        <w:tc>
          <w:tcPr>
            <w:tcW w:w="940" w:type="dxa"/>
            <w:vAlign w:val="bottom"/>
            <w:gridSpan w:val="3"/>
          </w:tcPr>
          <w:p>
            <w:pPr>
              <w:ind w:left="100"/>
              <w:spacing w:after="0"/>
              <w:rPr>
                <w:sz w:val="20"/>
                <w:szCs w:val="20"/>
                <w:color w:val="auto"/>
              </w:rPr>
            </w:pPr>
            <w:r>
              <w:rPr>
                <w:rFonts w:ascii="Arial" w:cs="Arial" w:eastAsia="Arial" w:hAnsi="Arial"/>
                <w:sz w:val="17"/>
                <w:szCs w:val="17"/>
                <w:color w:val="auto"/>
                <w:w w:val="99"/>
              </w:rPr>
              <w:t>A$250,000</w:t>
            </w:r>
          </w:p>
        </w:tc>
        <w:tc>
          <w:tcPr>
            <w:tcW w:w="7900" w:type="dxa"/>
            <w:vAlign w:val="bottom"/>
            <w:gridSpan w:val="3"/>
          </w:tcPr>
          <w:p>
            <w:pPr>
              <w:spacing w:after="0"/>
              <w:rPr>
                <w:sz w:val="20"/>
                <w:szCs w:val="20"/>
                <w:color w:val="auto"/>
              </w:rPr>
            </w:pPr>
            <w:r>
              <w:rPr>
                <w:rFonts w:ascii="Arial" w:cs="Arial" w:eastAsia="Arial" w:hAnsi="Arial"/>
                <w:sz w:val="17"/>
                <w:szCs w:val="17"/>
                <w:color w:val="auto"/>
              </w:rPr>
              <w:t>Not less than three months’ notice Not applicable.</w:t>
            </w:r>
          </w:p>
        </w:tc>
      </w:tr>
      <w:tr>
        <w:trPr>
          <w:trHeight w:val="208"/>
        </w:trPr>
        <w:tc>
          <w:tcPr>
            <w:tcW w:w="1480" w:type="dxa"/>
            <w:vAlign w:val="bottom"/>
          </w:tcPr>
          <w:p>
            <w:pPr>
              <w:spacing w:after="0"/>
              <w:rPr>
                <w:sz w:val="20"/>
                <w:szCs w:val="20"/>
                <w:color w:val="auto"/>
              </w:rPr>
            </w:pPr>
            <w:r>
              <w:rPr>
                <w:rFonts w:ascii="Arial" w:cs="Arial" w:eastAsia="Arial" w:hAnsi="Arial"/>
                <w:sz w:val="17"/>
                <w:szCs w:val="17"/>
                <w:i w:val="1"/>
                <w:iCs w:val="1"/>
                <w:color w:val="auto"/>
              </w:rPr>
              <w:t>Vice President</w:t>
            </w:r>
          </w:p>
        </w:tc>
        <w:tc>
          <w:tcPr>
            <w:tcW w:w="920" w:type="dxa"/>
            <w:vAlign w:val="bottom"/>
            <w:gridSpan w:val="2"/>
          </w:tcPr>
          <w:p>
            <w:pPr>
              <w:ind w:left="100"/>
              <w:spacing w:after="0"/>
              <w:rPr>
                <w:sz w:val="20"/>
                <w:szCs w:val="20"/>
                <w:color w:val="auto"/>
              </w:rPr>
            </w:pPr>
            <w:r>
              <w:rPr>
                <w:rFonts w:ascii="Arial" w:cs="Arial" w:eastAsia="Arial" w:hAnsi="Arial"/>
                <w:sz w:val="17"/>
                <w:szCs w:val="17"/>
                <w:color w:val="auto"/>
              </w:rPr>
              <w:t>2021</w:t>
            </w:r>
          </w:p>
        </w:tc>
        <w:tc>
          <w:tcPr>
            <w:tcW w:w="940" w:type="dxa"/>
            <w:vAlign w:val="bottom"/>
            <w:gridSpan w:val="3"/>
          </w:tcPr>
          <w:p>
            <w:pPr>
              <w:ind w:left="100"/>
              <w:spacing w:after="0"/>
              <w:rPr>
                <w:sz w:val="20"/>
                <w:szCs w:val="20"/>
                <w:color w:val="auto"/>
              </w:rPr>
            </w:pPr>
            <w:r>
              <w:rPr>
                <w:rFonts w:ascii="Arial" w:cs="Arial" w:eastAsia="Arial" w:hAnsi="Arial"/>
                <w:sz w:val="17"/>
                <w:szCs w:val="17"/>
                <w:color w:val="auto"/>
              </w:rPr>
              <w:t>per year</w:t>
            </w:r>
          </w:p>
        </w:tc>
        <w:tc>
          <w:tcPr>
            <w:tcW w:w="2380" w:type="dxa"/>
            <w:vAlign w:val="bottom"/>
          </w:tcPr>
          <w:p>
            <w:pPr>
              <w:spacing w:after="0"/>
              <w:rPr>
                <w:sz w:val="20"/>
                <w:szCs w:val="20"/>
                <w:color w:val="auto"/>
              </w:rPr>
            </w:pPr>
            <w:r>
              <w:rPr>
                <w:rFonts w:ascii="Arial" w:cs="Arial" w:eastAsia="Arial" w:hAnsi="Arial"/>
                <w:sz w:val="17"/>
                <w:szCs w:val="17"/>
                <w:color w:val="auto"/>
              </w:rPr>
              <w:t>(if by employee)</w:t>
            </w:r>
          </w:p>
        </w:tc>
        <w:tc>
          <w:tcPr>
            <w:tcW w:w="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08"/>
        </w:trPr>
        <w:tc>
          <w:tcPr>
            <w:tcW w:w="1480" w:type="dxa"/>
            <w:vAlign w:val="bottom"/>
          </w:tcPr>
          <w:p>
            <w:pPr>
              <w:spacing w:after="0"/>
              <w:rPr>
                <w:sz w:val="20"/>
                <w:szCs w:val="20"/>
                <w:color w:val="auto"/>
              </w:rPr>
            </w:pPr>
            <w:r>
              <w:rPr>
                <w:rFonts w:ascii="Arial" w:cs="Arial" w:eastAsia="Arial" w:hAnsi="Arial"/>
                <w:sz w:val="17"/>
                <w:szCs w:val="17"/>
                <w:i w:val="1"/>
                <w:iCs w:val="1"/>
                <w:color w:val="auto"/>
              </w:rPr>
              <w:t>Finance and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7"/>
                <w:szCs w:val="17"/>
                <w:color w:val="auto"/>
                <w:w w:val="91"/>
              </w:rPr>
              <w:t>Not less than three months’ notice</w:t>
            </w:r>
          </w:p>
        </w:tc>
        <w:tc>
          <w:tcPr>
            <w:tcW w:w="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08"/>
        </w:trPr>
        <w:tc>
          <w:tcPr>
            <w:tcW w:w="1480" w:type="dxa"/>
            <w:vAlign w:val="bottom"/>
          </w:tcPr>
          <w:p>
            <w:pPr>
              <w:spacing w:after="0"/>
              <w:rPr>
                <w:sz w:val="20"/>
                <w:szCs w:val="20"/>
                <w:color w:val="auto"/>
              </w:rPr>
            </w:pPr>
            <w:r>
              <w:rPr>
                <w:rFonts w:ascii="Arial" w:cs="Arial" w:eastAsia="Arial" w:hAnsi="Arial"/>
                <w:sz w:val="17"/>
                <w:szCs w:val="17"/>
                <w:i w:val="1"/>
                <w:iCs w:val="1"/>
                <w:color w:val="auto"/>
                <w:w w:val="97"/>
              </w:rPr>
              <w:t>Company Secretary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7"/>
                <w:szCs w:val="17"/>
                <w:color w:val="auto"/>
              </w:rPr>
              <w:t>or payment in lieu of notice</w:t>
            </w:r>
          </w:p>
        </w:tc>
        <w:tc>
          <w:tcPr>
            <w:tcW w:w="6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0"/>
        </w:trPr>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7"/>
                <w:szCs w:val="17"/>
                <w:color w:val="auto"/>
              </w:rPr>
              <w:t>period (if by us)</w:t>
            </w:r>
          </w:p>
        </w:tc>
        <w:tc>
          <w:tcPr>
            <w:tcW w:w="6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1"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Upon termination of employment, our senior management are entitled to receive their statutory entitlements of accrued annual and long service leave, together with any superannuation benefits.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i w:val="1"/>
          <w:iCs w:val="1"/>
          <w:color w:val="auto"/>
        </w:rPr>
        <w:t>Remuneration of Our Non-Employee Directors and Senior Management During the Fiscal Year Ended June 30, 2021</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Details of the remuneration of our non-employee directors and senior management for the fiscal year ended June 30, 2021 are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ind w:right="238"/>
              <w:spacing w:after="0"/>
              <w:rPr>
                <w:sz w:val="20"/>
                <w:szCs w:val="20"/>
                <w:color w:val="auto"/>
              </w:rPr>
            </w:pPr>
            <w:r>
              <w:rPr>
                <w:rFonts w:ascii="Arial" w:cs="Arial" w:eastAsia="Arial" w:hAnsi="Arial"/>
                <w:sz w:val="14"/>
                <w:szCs w:val="14"/>
                <w:b w:val="1"/>
                <w:bCs w:val="1"/>
                <w:color w:val="auto"/>
                <w:w w:val="87"/>
              </w:rPr>
              <w:t>Short-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restart"/>
          </w:tcPr>
          <w:p>
            <w:pPr>
              <w:jc w:val="center"/>
              <w:ind w:right="295"/>
              <w:spacing w:after="0"/>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right="238"/>
              <w:spacing w:after="0" w:line="143"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Employment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vMerge w:val="restart"/>
          </w:tcPr>
          <w:p>
            <w:pPr>
              <w:jc w:val="center"/>
              <w:ind w:right="900"/>
              <w:spacing w:after="0"/>
              <w:rPr>
                <w:sz w:val="20"/>
                <w:szCs w:val="20"/>
                <w:color w:val="auto"/>
              </w:rPr>
            </w:pPr>
            <w:r>
              <w:rPr>
                <w:rFonts w:ascii="Arial" w:cs="Arial" w:eastAsia="Arial" w:hAnsi="Arial"/>
                <w:sz w:val="14"/>
                <w:szCs w:val="14"/>
                <w:b w:val="1"/>
                <w:bCs w:val="1"/>
                <w:color w:val="auto"/>
                <w:w w:val="91"/>
              </w:rPr>
              <w:t>Share-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w w:val="95"/>
              </w:rPr>
              <w:t>Salary/</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vMerge w:val="restart"/>
          </w:tcPr>
          <w:p>
            <w:pPr>
              <w:jc w:val="center"/>
              <w:ind w:right="258"/>
              <w:spacing w:after="0"/>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Superannuation</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3"/>
          </w:tcPr>
          <w:p>
            <w:pPr>
              <w:jc w:val="center"/>
              <w:ind w:right="900"/>
              <w:spacing w:after="0" w:line="143" w:lineRule="exact"/>
              <w:rPr>
                <w:sz w:val="20"/>
                <w:szCs w:val="20"/>
                <w:color w:val="auto"/>
              </w:rPr>
            </w:pPr>
            <w:r>
              <w:rPr>
                <w:rFonts w:ascii="Arial" w:cs="Arial" w:eastAsia="Arial" w:hAnsi="Arial"/>
                <w:sz w:val="14"/>
                <w:szCs w:val="14"/>
                <w:b w:val="1"/>
                <w:bCs w:val="1"/>
                <w:color w:val="auto"/>
                <w:w w:val="85"/>
              </w:rPr>
              <w:t>Based</w:t>
            </w: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w w:val="92"/>
              </w:rPr>
              <w:t>Fees</w:t>
            </w:r>
            <w:r>
              <w:rPr>
                <w:rFonts w:ascii="Arial" w:cs="Arial" w:eastAsia="Arial" w:hAnsi="Arial"/>
                <w:sz w:val="11"/>
                <w:szCs w:val="11"/>
                <w:b w:val="1"/>
                <w:bCs w:val="1"/>
                <w:color w:val="auto"/>
                <w:w w:val="92"/>
              </w:rPr>
              <w:t>(1)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Bonus</w:t>
            </w:r>
            <w:r>
              <w:rPr>
                <w:rFonts w:ascii="Arial" w:cs="Arial" w:eastAsia="Arial" w:hAnsi="Arial"/>
                <w:sz w:val="11"/>
                <w:szCs w:val="11"/>
                <w:b w:val="1"/>
                <w:bCs w:val="1"/>
                <w:color w:val="auto"/>
                <w:w w:val="91"/>
              </w:rPr>
              <w:t>(2)</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9"/>
              </w:rPr>
              <w:t>Payment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Non-Employee Directors</w:t>
            </w:r>
          </w:p>
        </w:tc>
        <w:tc>
          <w:tcPr>
            <w:tcW w:w="1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Julia Haller</w:t>
            </w:r>
            <w:r>
              <w:rPr>
                <w:rFonts w:ascii="Arial" w:cs="Arial" w:eastAsia="Arial" w:hAnsi="Arial"/>
                <w:sz w:val="14"/>
                <w:szCs w:val="14"/>
                <w:color w:val="auto"/>
              </w:rPr>
              <w:t>(7)</w:t>
            </w:r>
          </w:p>
        </w:tc>
        <w:tc>
          <w:tcPr>
            <w:tcW w:w="1600" w:type="dxa"/>
            <w:vAlign w:val="bottom"/>
            <w:gridSpan w:val="2"/>
          </w:tcPr>
          <w:p>
            <w:pPr>
              <w:ind w:left="1280"/>
              <w:spacing w:after="0"/>
              <w:rPr>
                <w:sz w:val="20"/>
                <w:szCs w:val="20"/>
                <w:color w:val="auto"/>
              </w:rPr>
            </w:pPr>
            <w:r>
              <w:rPr>
                <w:rFonts w:ascii="Arial" w:cs="Arial" w:eastAsia="Arial" w:hAnsi="Arial"/>
                <w:sz w:val="17"/>
                <w:szCs w:val="17"/>
                <w:color w:val="auto"/>
                <w:w w:val="90"/>
              </w:rPr>
              <w:t>US$</w:t>
            </w:r>
          </w:p>
        </w:tc>
        <w:tc>
          <w:tcPr>
            <w:tcW w:w="820" w:type="dxa"/>
            <w:vAlign w:val="bottom"/>
          </w:tcPr>
          <w:p>
            <w:pPr>
              <w:jc w:val="right"/>
              <w:spacing w:after="0"/>
              <w:rPr>
                <w:sz w:val="20"/>
                <w:szCs w:val="20"/>
                <w:color w:val="auto"/>
              </w:rPr>
            </w:pPr>
            <w:r>
              <w:rPr>
                <w:rFonts w:ascii="Arial" w:cs="Arial" w:eastAsia="Arial" w:hAnsi="Arial"/>
                <w:sz w:val="17"/>
                <w:szCs w:val="17"/>
                <w:color w:val="auto"/>
              </w:rPr>
              <w:t>4,250</w:t>
            </w:r>
          </w:p>
        </w:tc>
        <w:tc>
          <w:tcPr>
            <w:tcW w:w="540" w:type="dxa"/>
            <w:vAlign w:val="bottom"/>
            <w:gridSpan w:val="2"/>
          </w:tcPr>
          <w:p>
            <w:pPr>
              <w:ind w:left="220"/>
              <w:spacing w:after="0"/>
              <w:rPr>
                <w:sz w:val="20"/>
                <w:szCs w:val="20"/>
                <w:color w:val="auto"/>
              </w:rPr>
            </w:pPr>
            <w:r>
              <w:rPr>
                <w:rFonts w:ascii="Arial" w:cs="Arial" w:eastAsia="Arial" w:hAnsi="Arial"/>
                <w:sz w:val="17"/>
                <w:szCs w:val="17"/>
                <w:color w:val="auto"/>
                <w:w w:val="90"/>
              </w:rPr>
              <w:t>US$</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ind w:left="220"/>
              <w:spacing w:after="0"/>
              <w:rPr>
                <w:sz w:val="20"/>
                <w:szCs w:val="20"/>
                <w:color w:val="auto"/>
              </w:rPr>
            </w:pPr>
            <w:r>
              <w:rPr>
                <w:rFonts w:ascii="Arial" w:cs="Arial" w:eastAsia="Arial" w:hAnsi="Arial"/>
                <w:sz w:val="17"/>
                <w:szCs w:val="17"/>
                <w:color w:val="auto"/>
              </w:rPr>
              <w:t>US$</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ind w:left="220"/>
              <w:spacing w:after="0"/>
              <w:rPr>
                <w:sz w:val="20"/>
                <w:szCs w:val="20"/>
                <w:color w:val="auto"/>
              </w:rPr>
            </w:pPr>
            <w:r>
              <w:rPr>
                <w:rFonts w:ascii="Arial" w:cs="Arial" w:eastAsia="Arial" w:hAnsi="Arial"/>
                <w:sz w:val="17"/>
                <w:szCs w:val="17"/>
                <w:color w:val="auto"/>
                <w:w w:val="84"/>
              </w:rPr>
              <w:t>US$</w:t>
            </w:r>
          </w:p>
        </w:tc>
        <w:tc>
          <w:tcPr>
            <w:tcW w:w="1460" w:type="dxa"/>
            <w:vAlign w:val="bottom"/>
            <w:gridSpan w:val="3"/>
          </w:tcPr>
          <w:p>
            <w:pPr>
              <w:ind w:left="700"/>
              <w:spacing w:after="0"/>
              <w:rPr>
                <w:sz w:val="20"/>
                <w:szCs w:val="20"/>
                <w:color w:val="auto"/>
              </w:rPr>
            </w:pPr>
            <w:r>
              <w:rPr>
                <w:rFonts w:ascii="Arial" w:cs="Arial" w:eastAsia="Arial" w:hAnsi="Arial"/>
                <w:sz w:val="17"/>
                <w:szCs w:val="17"/>
                <w:color w:val="auto"/>
              </w:rPr>
              <w:t>—   US$</w:t>
            </w:r>
          </w:p>
        </w:tc>
        <w:tc>
          <w:tcPr>
            <w:tcW w:w="820" w:type="dxa"/>
            <w:vAlign w:val="bottom"/>
          </w:tcPr>
          <w:p>
            <w:pPr>
              <w:jc w:val="right"/>
              <w:spacing w:after="0"/>
              <w:rPr>
                <w:sz w:val="20"/>
                <w:szCs w:val="20"/>
                <w:color w:val="auto"/>
              </w:rPr>
            </w:pPr>
            <w:r>
              <w:rPr>
                <w:rFonts w:ascii="Arial" w:cs="Arial" w:eastAsia="Arial" w:hAnsi="Arial"/>
                <w:sz w:val="17"/>
                <w:szCs w:val="17"/>
                <w:color w:val="auto"/>
              </w:rPr>
              <w:t>4,250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Laurence Gozlan</w:t>
            </w:r>
            <w:r>
              <w:rPr>
                <w:rFonts w:ascii="Arial" w:cs="Arial" w:eastAsia="Arial" w:hAnsi="Arial"/>
                <w:sz w:val="14"/>
                <w:szCs w:val="14"/>
                <w:color w:val="auto"/>
              </w:rPr>
              <w:t>(3)</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1,252,173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1,312,589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Geoffrey Kempler</w:t>
            </w:r>
            <w:r>
              <w:rPr>
                <w:rFonts w:ascii="Arial" w:cs="Arial" w:eastAsia="Arial" w:hAnsi="Arial"/>
                <w:sz w:val="14"/>
                <w:szCs w:val="14"/>
                <w:color w:val="auto"/>
              </w:rPr>
              <w:t>(4)</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21,534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Jeremy Levin</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54,032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1,158,465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Judith Robertson</w:t>
            </w:r>
            <w:r>
              <w:rPr>
                <w:rFonts w:ascii="Arial" w:cs="Arial" w:eastAsia="Arial" w:hAnsi="Arial"/>
                <w:sz w:val="14"/>
                <w:szCs w:val="14"/>
                <w:color w:val="auto"/>
              </w:rPr>
              <w:t>(7)</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Michael Sistenich</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64,344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Daniel Spiegelman</w:t>
            </w:r>
            <w:r>
              <w:rPr>
                <w:rFonts w:ascii="Arial" w:cs="Arial" w:eastAsia="Arial" w:hAnsi="Arial"/>
                <w:sz w:val="14"/>
                <w:szCs w:val="14"/>
                <w:color w:val="auto"/>
              </w:rPr>
              <w:t>(6)</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64,583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1,487,000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1,551,583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Senior Management</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Megan Baldwin, Ph.D.</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338,618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147,166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45,666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531,450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shd w:val="clear" w:color="auto" w:fill="CFF0FC"/>
          </w:tcPr>
          <w:p>
            <w:pPr>
              <w:spacing w:after="0"/>
              <w:rPr>
                <w:sz w:val="20"/>
                <w:szCs w:val="20"/>
                <w:color w:val="auto"/>
              </w:rPr>
            </w:pPr>
            <w:r>
              <w:rPr>
                <w:rFonts w:ascii="Arial" w:cs="Arial" w:eastAsia="Arial" w:hAnsi="Arial"/>
                <w:sz w:val="17"/>
                <w:szCs w:val="17"/>
                <w:color w:val="auto"/>
              </w:rPr>
              <w:t>Michael Tonroe</w:t>
            </w:r>
            <w:r>
              <w:rPr>
                <w:rFonts w:ascii="Arial" w:cs="Arial" w:eastAsia="Arial" w:hAnsi="Arial"/>
                <w:sz w:val="14"/>
                <w:szCs w:val="14"/>
                <w:color w:val="auto"/>
              </w:rPr>
              <w:t>(5)</w:t>
            </w: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237,535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71,314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28,889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6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Karen Adams</w:t>
            </w:r>
            <w:r>
              <w:rPr>
                <w:rFonts w:ascii="Arial" w:cs="Arial" w:eastAsia="Arial" w:hAnsi="Arial"/>
                <w:sz w:val="14"/>
                <w:szCs w:val="14"/>
                <w:color w:val="auto"/>
              </w:rPr>
              <w:t>(8)</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31,039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2,949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33,988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14439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43" w:lineRule="exact"/>
        <w:rPr>
          <w:sz w:val="20"/>
          <w:szCs w:val="20"/>
          <w:color w:val="auto"/>
        </w:rPr>
      </w:pPr>
    </w:p>
    <w:p>
      <w:pPr>
        <w:ind w:left="440" w:hanging="436"/>
        <w:spacing w:after="0"/>
        <w:tabs>
          <w:tab w:leader="none" w:pos="4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For our non-employee directors, amounts set forth in this column include our reimbursement of expenses incurred in connection with performance of services relating to board service.</w:t>
      </w:r>
    </w:p>
    <w:p>
      <w:pPr>
        <w:spacing w:after="0" w:line="97" w:lineRule="exact"/>
        <w:rPr>
          <w:rFonts w:ascii="Arial" w:cs="Arial" w:eastAsia="Arial" w:hAnsi="Arial"/>
          <w:sz w:val="13"/>
          <w:szCs w:val="13"/>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Bonuses are paid in the fiscal year following the year in which they were earned.</w:t>
      </w:r>
    </w:p>
    <w:p>
      <w:pPr>
        <w:spacing w:after="0" w:line="85" w:lineRule="exact"/>
        <w:rPr>
          <w:rFonts w:ascii="Arial" w:cs="Arial" w:eastAsia="Arial" w:hAnsi="Arial"/>
          <w:sz w:val="14"/>
          <w:szCs w:val="14"/>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Lawrence Gozlan was appointed as a non-executive director on July 24, 2020. Mr. Gozlan’s annual director fee is A$65,700.</w:t>
      </w:r>
    </w:p>
    <w:p>
      <w:pPr>
        <w:spacing w:after="0" w:line="85" w:lineRule="exact"/>
        <w:rPr>
          <w:rFonts w:ascii="Arial" w:cs="Arial" w:eastAsia="Arial" w:hAnsi="Arial"/>
          <w:sz w:val="14"/>
          <w:szCs w:val="14"/>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Kempler retired from our board of directors effective as of October 12, 2020.</w:t>
      </w:r>
    </w:p>
    <w:p>
      <w:pPr>
        <w:spacing w:after="0" w:line="85" w:lineRule="exact"/>
        <w:rPr>
          <w:rFonts w:ascii="Arial" w:cs="Arial" w:eastAsia="Arial" w:hAnsi="Arial"/>
          <w:sz w:val="14"/>
          <w:szCs w:val="14"/>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Tonroe resigned from Opthea effective as of June 24, 2021.</w:t>
      </w:r>
    </w:p>
    <w:p>
      <w:pPr>
        <w:spacing w:after="0" w:line="85" w:lineRule="exact"/>
        <w:rPr>
          <w:rFonts w:ascii="Arial" w:cs="Arial" w:eastAsia="Arial" w:hAnsi="Arial"/>
          <w:sz w:val="14"/>
          <w:szCs w:val="14"/>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Spiegelman was appointed as a non-executive director September 10, 2020.</w:t>
      </w:r>
    </w:p>
    <w:p>
      <w:pPr>
        <w:spacing w:after="0" w:line="85" w:lineRule="exact"/>
        <w:rPr>
          <w:rFonts w:ascii="Arial" w:cs="Arial" w:eastAsia="Arial" w:hAnsi="Arial"/>
          <w:sz w:val="14"/>
          <w:szCs w:val="14"/>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Dr Haller and Ms. Robertson were appointed as non-executive directors June 1, 2021.</w:t>
      </w:r>
    </w:p>
    <w:p>
      <w:pPr>
        <w:spacing w:after="0" w:line="85" w:lineRule="exact"/>
        <w:rPr>
          <w:rFonts w:ascii="Arial" w:cs="Arial" w:eastAsia="Arial" w:hAnsi="Arial"/>
          <w:sz w:val="14"/>
          <w:szCs w:val="14"/>
          <w:color w:val="auto"/>
        </w:rPr>
      </w:pPr>
    </w:p>
    <w:p>
      <w:pPr>
        <w:ind w:left="440" w:hanging="436"/>
        <w:spacing w:after="0"/>
        <w:tabs>
          <w:tab w:leader="none" w:pos="4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Ms. Adams was appointed as Company Secretary June 15, 2021.</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Details of options held by our non-employee directors and senior management as of June 30, 2021 are set forth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6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Grant</w:t>
            </w: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Exercise</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Percentage</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Last Vesting</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Expiration</w:t>
            </w:r>
          </w:p>
        </w:tc>
      </w:tr>
      <w:tr>
        <w:trPr>
          <w:trHeight w:val="165"/>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6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Price</w:t>
            </w: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Vested</w:t>
            </w:r>
            <w:r>
              <w:rPr>
                <w:rFonts w:ascii="Arial" w:cs="Arial" w:eastAsia="Arial" w:hAnsi="Arial"/>
                <w:sz w:val="11"/>
                <w:szCs w:val="11"/>
                <w:b w:val="1"/>
                <w:bCs w:val="1"/>
                <w:color w:val="auto"/>
              </w:rPr>
              <w:t>(1)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r>
      <w:tr>
        <w:trPr>
          <w:trHeight w:val="214"/>
        </w:trPr>
        <w:tc>
          <w:tcPr>
            <w:tcW w:w="3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Non-Employee Directors</w:t>
            </w: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Lawrence Gozlan</w:t>
            </w:r>
          </w:p>
        </w:tc>
        <w:tc>
          <w:tcPr>
            <w:tcW w:w="1100" w:type="dxa"/>
            <w:vAlign w:val="bottom"/>
          </w:tcPr>
          <w:p>
            <w:pPr>
              <w:jc w:val="right"/>
              <w:spacing w:after="0"/>
              <w:rPr>
                <w:sz w:val="20"/>
                <w:szCs w:val="20"/>
                <w:color w:val="auto"/>
              </w:rPr>
            </w:pPr>
            <w:r>
              <w:rPr>
                <w:rFonts w:ascii="Arial" w:cs="Arial" w:eastAsia="Arial" w:hAnsi="Arial"/>
                <w:sz w:val="17"/>
                <w:szCs w:val="17"/>
                <w:color w:val="auto"/>
              </w:rPr>
              <w:t>2,000,000</w:t>
            </w:r>
          </w:p>
        </w:tc>
        <w:tc>
          <w:tcPr>
            <w:tcW w:w="220" w:type="dxa"/>
            <w:vAlign w:val="bottom"/>
          </w:tcPr>
          <w:p>
            <w:pPr>
              <w:spacing w:after="0"/>
              <w:rPr>
                <w:sz w:val="19"/>
                <w:szCs w:val="19"/>
                <w:color w:val="auto"/>
              </w:rPr>
            </w:pPr>
          </w:p>
        </w:tc>
        <w:tc>
          <w:tcPr>
            <w:tcW w:w="1660" w:type="dxa"/>
            <w:vAlign w:val="bottom"/>
            <w:gridSpan w:val="3"/>
          </w:tcPr>
          <w:p>
            <w:pPr>
              <w:ind w:left="280"/>
              <w:spacing w:after="0"/>
              <w:rPr>
                <w:sz w:val="20"/>
                <w:szCs w:val="20"/>
                <w:color w:val="auto"/>
              </w:rPr>
            </w:pPr>
            <w:r>
              <w:rPr>
                <w:rFonts w:ascii="Arial" w:cs="Arial" w:eastAsia="Arial" w:hAnsi="Arial"/>
                <w:sz w:val="17"/>
                <w:szCs w:val="17"/>
                <w:color w:val="auto"/>
              </w:rPr>
              <w:t>10/12/2020   US$</w:t>
            </w:r>
          </w:p>
        </w:tc>
        <w:tc>
          <w:tcPr>
            <w:tcW w:w="960" w:type="dxa"/>
            <w:vAlign w:val="bottom"/>
          </w:tcPr>
          <w:p>
            <w:pPr>
              <w:jc w:val="right"/>
              <w:spacing w:after="0"/>
              <w:rPr>
                <w:sz w:val="20"/>
                <w:szCs w:val="20"/>
                <w:color w:val="auto"/>
              </w:rPr>
            </w:pPr>
            <w:r>
              <w:rPr>
                <w:rFonts w:ascii="Arial" w:cs="Arial" w:eastAsia="Arial" w:hAnsi="Arial"/>
                <w:sz w:val="17"/>
                <w:szCs w:val="17"/>
                <w:color w:val="auto"/>
              </w:rPr>
              <w:t>3.24</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080" w:type="dxa"/>
            <w:vAlign w:val="bottom"/>
          </w:tcPr>
          <w:p>
            <w:pPr>
              <w:jc w:val="right"/>
              <w:spacing w:after="0"/>
              <w:rPr>
                <w:sz w:val="20"/>
                <w:szCs w:val="20"/>
                <w:color w:val="auto"/>
              </w:rPr>
            </w:pPr>
            <w:r>
              <w:rPr>
                <w:rFonts w:ascii="Arial" w:cs="Arial" w:eastAsia="Arial" w:hAnsi="Arial"/>
                <w:sz w:val="17"/>
                <w:szCs w:val="17"/>
                <w:color w:val="auto"/>
              </w:rPr>
              <w:t>10/11/2023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10/11/2024</w:t>
            </w:r>
          </w:p>
        </w:tc>
        <w:tc>
          <w:tcPr>
            <w:tcW w:w="100" w:type="dxa"/>
            <w:vAlign w:val="bottom"/>
          </w:tcPr>
          <w:p>
            <w:pPr>
              <w:spacing w:after="0"/>
              <w:rPr>
                <w:sz w:val="19"/>
                <w:szCs w:val="19"/>
                <w:color w:val="auto"/>
              </w:rPr>
            </w:pPr>
          </w:p>
        </w:tc>
      </w:tr>
      <w:tr>
        <w:trPr>
          <w:trHeight w:val="221"/>
        </w:trPr>
        <w:tc>
          <w:tcPr>
            <w:tcW w:w="3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Julia Haller</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60" w:type="dxa"/>
            <w:vAlign w:val="bottom"/>
            <w:gridSpan w:val="3"/>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Jeremy Levin</w:t>
            </w:r>
          </w:p>
        </w:tc>
        <w:tc>
          <w:tcPr>
            <w:tcW w:w="1100" w:type="dxa"/>
            <w:vAlign w:val="bottom"/>
          </w:tcPr>
          <w:p>
            <w:pPr>
              <w:jc w:val="right"/>
              <w:spacing w:after="0"/>
              <w:rPr>
                <w:sz w:val="20"/>
                <w:szCs w:val="20"/>
                <w:color w:val="auto"/>
              </w:rPr>
            </w:pPr>
            <w:r>
              <w:rPr>
                <w:rFonts w:ascii="Arial" w:cs="Arial" w:eastAsia="Arial" w:hAnsi="Arial"/>
                <w:sz w:val="17"/>
                <w:szCs w:val="17"/>
                <w:color w:val="auto"/>
              </w:rPr>
              <w:t>3,000,000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01/19/2021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1.56</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080" w:type="dxa"/>
            <w:vAlign w:val="bottom"/>
          </w:tcPr>
          <w:p>
            <w:pPr>
              <w:jc w:val="right"/>
              <w:spacing w:after="0"/>
              <w:rPr>
                <w:sz w:val="20"/>
                <w:szCs w:val="20"/>
                <w:color w:val="auto"/>
              </w:rPr>
            </w:pPr>
            <w:r>
              <w:rPr>
                <w:rFonts w:ascii="Arial" w:cs="Arial" w:eastAsia="Arial" w:hAnsi="Arial"/>
                <w:sz w:val="17"/>
                <w:szCs w:val="17"/>
                <w:color w:val="auto"/>
              </w:rPr>
              <w:t>01/19/2024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01/18/2025</w:t>
            </w:r>
          </w:p>
        </w:tc>
        <w:tc>
          <w:tcPr>
            <w:tcW w:w="100" w:type="dxa"/>
            <w:vAlign w:val="bottom"/>
          </w:tcPr>
          <w:p>
            <w:pPr>
              <w:spacing w:after="0"/>
              <w:rPr>
                <w:sz w:val="19"/>
                <w:szCs w:val="19"/>
                <w:color w:val="auto"/>
              </w:rPr>
            </w:pPr>
          </w:p>
        </w:tc>
      </w:tr>
      <w:tr>
        <w:trPr>
          <w:trHeight w:val="221"/>
        </w:trPr>
        <w:tc>
          <w:tcPr>
            <w:tcW w:w="3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Geoffrey Kempler</w:t>
            </w:r>
            <w:r>
              <w:rPr>
                <w:rFonts w:ascii="Arial" w:cs="Arial" w:eastAsia="Arial" w:hAnsi="Arial"/>
                <w:sz w:val="14"/>
                <w:szCs w:val="14"/>
                <w:color w:val="auto"/>
              </w:rPr>
              <w:t>(2)</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11/29/2018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0.625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11/29/2019</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11/29/2022</w:t>
            </w:r>
          </w:p>
        </w:tc>
        <w:tc>
          <w:tcPr>
            <w:tcW w:w="100" w:type="dxa"/>
            <w:vAlign w:val="bottom"/>
            <w:shd w:val="clear" w:color="auto" w:fill="CFF0FC"/>
          </w:tcPr>
          <w:p>
            <w:pPr>
              <w:spacing w:after="0"/>
              <w:rPr>
                <w:sz w:val="19"/>
                <w:szCs w:val="19"/>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Judith Robertson</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3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Michael Sistenich</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1,500,000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11/29/2018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0.625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11/29/2019</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11/29/2022</w:t>
            </w:r>
          </w:p>
        </w:tc>
        <w:tc>
          <w:tcPr>
            <w:tcW w:w="100" w:type="dxa"/>
            <w:vAlign w:val="bottom"/>
            <w:shd w:val="clear" w:color="auto" w:fill="CFF0FC"/>
          </w:tcPr>
          <w:p>
            <w:pPr>
              <w:spacing w:after="0"/>
              <w:rPr>
                <w:sz w:val="19"/>
                <w:szCs w:val="19"/>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Daniel Spiegelman</w:t>
            </w:r>
          </w:p>
        </w:tc>
        <w:tc>
          <w:tcPr>
            <w:tcW w:w="1100" w:type="dxa"/>
            <w:vAlign w:val="bottom"/>
          </w:tcPr>
          <w:p>
            <w:pPr>
              <w:jc w:val="right"/>
              <w:spacing w:after="0"/>
              <w:rPr>
                <w:sz w:val="20"/>
                <w:szCs w:val="20"/>
                <w:color w:val="auto"/>
              </w:rPr>
            </w:pPr>
            <w:r>
              <w:rPr>
                <w:rFonts w:ascii="Arial" w:cs="Arial" w:eastAsia="Arial" w:hAnsi="Arial"/>
                <w:sz w:val="17"/>
                <w:szCs w:val="17"/>
                <w:color w:val="auto"/>
              </w:rPr>
              <w:t>2,000,000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10/12/2020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2.16</w:t>
            </w:r>
          </w:p>
        </w:tc>
        <w:tc>
          <w:tcPr>
            <w:tcW w:w="2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080" w:type="dxa"/>
            <w:vAlign w:val="bottom"/>
          </w:tcPr>
          <w:p>
            <w:pPr>
              <w:jc w:val="right"/>
              <w:spacing w:after="0"/>
              <w:rPr>
                <w:sz w:val="20"/>
                <w:szCs w:val="20"/>
                <w:color w:val="auto"/>
              </w:rPr>
            </w:pPr>
            <w:r>
              <w:rPr>
                <w:rFonts w:ascii="Arial" w:cs="Arial" w:eastAsia="Arial" w:hAnsi="Arial"/>
                <w:sz w:val="17"/>
                <w:szCs w:val="17"/>
                <w:color w:val="auto"/>
              </w:rPr>
              <w:t>10/11/2023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10/11/2024</w:t>
            </w:r>
          </w:p>
        </w:tc>
        <w:tc>
          <w:tcPr>
            <w:tcW w:w="100" w:type="dxa"/>
            <w:vAlign w:val="bottom"/>
          </w:tcPr>
          <w:p>
            <w:pPr>
              <w:spacing w:after="0"/>
              <w:rPr>
                <w:sz w:val="19"/>
                <w:szCs w:val="19"/>
                <w:color w:val="auto"/>
              </w:rPr>
            </w:pPr>
          </w:p>
        </w:tc>
      </w:tr>
      <w:tr>
        <w:trPr>
          <w:trHeight w:val="221"/>
        </w:trPr>
        <w:tc>
          <w:tcPr>
            <w:tcW w:w="320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Senior Management</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Megan Baldwin, Ph.D.</w:t>
            </w:r>
          </w:p>
        </w:tc>
        <w:tc>
          <w:tcPr>
            <w:tcW w:w="1100" w:type="dxa"/>
            <w:vAlign w:val="bottom"/>
          </w:tcPr>
          <w:p>
            <w:pPr>
              <w:jc w:val="right"/>
              <w:spacing w:after="0"/>
              <w:rPr>
                <w:sz w:val="20"/>
                <w:szCs w:val="20"/>
                <w:color w:val="auto"/>
              </w:rPr>
            </w:pPr>
            <w:r>
              <w:rPr>
                <w:rFonts w:ascii="Arial" w:cs="Arial" w:eastAsia="Arial" w:hAnsi="Arial"/>
                <w:sz w:val="17"/>
                <w:szCs w:val="17"/>
                <w:color w:val="auto"/>
              </w:rPr>
              <w:t>3,000,000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11/29/2018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0.625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11/29/2019</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11/29/2022</w:t>
            </w:r>
          </w:p>
        </w:tc>
        <w:tc>
          <w:tcPr>
            <w:tcW w:w="100" w:type="dxa"/>
            <w:vAlign w:val="bottom"/>
          </w:tcPr>
          <w:p>
            <w:pPr>
              <w:spacing w:after="0"/>
              <w:rPr>
                <w:sz w:val="19"/>
                <w:szCs w:val="19"/>
                <w:color w:val="auto"/>
              </w:rPr>
            </w:pPr>
          </w:p>
        </w:tc>
      </w:tr>
      <w:tr>
        <w:trPr>
          <w:trHeight w:val="221"/>
        </w:trPr>
        <w:tc>
          <w:tcPr>
            <w:tcW w:w="3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Karen Adams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60" w:type="dxa"/>
            <w:vAlign w:val="bottom"/>
            <w:gridSpan w:val="3"/>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43"/>
        </w:trPr>
        <w:tc>
          <w:tcPr>
            <w:tcW w:w="228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85" w:lineRule="exact"/>
        <w:rPr>
          <w:sz w:val="20"/>
          <w:szCs w:val="20"/>
          <w:color w:val="auto"/>
        </w:rPr>
      </w:pPr>
    </w:p>
    <w:p>
      <w:pPr>
        <w:ind w:left="440" w:hanging="436"/>
        <w:spacing w:after="0"/>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 options lapsed or were forfeited during the fiscal year ended June 30, 2021.</w:t>
      </w:r>
    </w:p>
    <w:p>
      <w:pPr>
        <w:spacing w:after="0" w:line="189" w:lineRule="exact"/>
        <w:rPr>
          <w:rFonts w:ascii="Arial" w:cs="Arial" w:eastAsia="Arial" w:hAnsi="Arial"/>
          <w:sz w:val="14"/>
          <w:szCs w:val="14"/>
          <w:color w:val="auto"/>
        </w:rPr>
      </w:pPr>
    </w:p>
    <w:p>
      <w:pPr>
        <w:ind w:left="440" w:hanging="436"/>
        <w:spacing w:after="0"/>
        <w:tabs>
          <w:tab w:leader="none" w:pos="4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Kempler retired from our board of directors effective as of October 12, 2020.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6" w:name="page137"/>
    <w:bookmarkEnd w:id="136"/>
    <w:p>
      <w:pPr>
        <w:spacing w:after="0"/>
        <w:tabs>
          <w:tab w:leader="none" w:pos="420" w:val="left"/>
        </w:tabs>
        <w:rPr>
          <w:sz w:val="20"/>
          <w:szCs w:val="20"/>
          <w:color w:val="auto"/>
        </w:rPr>
      </w:pPr>
      <w:r>
        <w:rPr>
          <w:rFonts w:ascii="Arial" w:cs="Arial" w:eastAsia="Arial" w:hAnsi="Arial"/>
          <w:sz w:val="17"/>
          <w:szCs w:val="17"/>
          <w:b w:val="1"/>
          <w:bCs w:val="1"/>
          <w:color w:val="auto"/>
        </w:rPr>
        <w:t>6C.</w:t>
      </w:r>
      <w:r>
        <w:rPr>
          <w:sz w:val="20"/>
          <w:szCs w:val="20"/>
          <w:color w:val="auto"/>
        </w:rPr>
        <w:tab/>
      </w:r>
      <w:r>
        <w:rPr>
          <w:rFonts w:ascii="Arial" w:cs="Arial" w:eastAsia="Arial" w:hAnsi="Arial"/>
          <w:sz w:val="15"/>
          <w:szCs w:val="15"/>
          <w:b w:val="1"/>
          <w:bCs w:val="1"/>
          <w:color w:val="auto"/>
        </w:rPr>
        <w:t>Board Practices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6"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Our board of directors currently consists of seven members, including Dr. Baldwin, our Chief Executive Officer and Managing Director. Directors are elected at our annual general meeting of shareholders. Under our Constitution, at the close of each annual general meeting one-third of the directors, other than the Managing Director, or if their number is not a multiple of three, then the number nearest to but not more than one-third of the directors must retire. In addition, a director, other than the managing director, must retire from office at the conclusion of the third annual general meeting of shareholders after the director was last elected, even if his or her retirement results in more than one-third of all directors retiring from office. A retiring director remains in office until the end of such shareholder meeting and will be eligible for re-election at that meeting.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membership of our board of directors is directed by the following requirements as set forth in our Constitution and our Board Charter, as applicable:</w:t>
      </w:r>
    </w:p>
    <w:p>
      <w:pPr>
        <w:spacing w:after="0" w:line="232" w:lineRule="exact"/>
        <w:rPr>
          <w:sz w:val="20"/>
          <w:szCs w:val="20"/>
          <w:color w:val="auto"/>
        </w:rPr>
      </w:pPr>
    </w:p>
    <w:p>
      <w:pPr>
        <w:ind w:left="880" w:hanging="434"/>
        <w:spacing w:after="0" w:line="285"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there will be a minimum of three directors and a maximum of 10, and our board of directors may determine the number of directors within those limits;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majority of our board of directors should be independent;</w:t>
      </w:r>
    </w:p>
    <w:p>
      <w:pPr>
        <w:spacing w:after="0" w:line="220" w:lineRule="exact"/>
        <w:rPr>
          <w:rFonts w:ascii="Arial" w:cs="Arial" w:eastAsia="Arial" w:hAnsi="Arial"/>
          <w:sz w:val="17"/>
          <w:szCs w:val="17"/>
          <w:color w:val="auto"/>
        </w:rPr>
      </w:pPr>
    </w:p>
    <w:p>
      <w:pPr>
        <w:jc w:val="both"/>
        <w:ind w:left="880" w:hanging="434"/>
        <w:spacing w:after="0" w:line="270"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board of directors has the power to appoint any person to be a director, either to fill a vacancy or as an additional director (provided that the total number of directors does not exceed the maximum number of directors permitted), and any director so appointed will hold office until the end of the next annual general meeting when he or she may be re-elected; and</w:t>
      </w:r>
    </w:p>
    <w:p>
      <w:pPr>
        <w:spacing w:after="0" w:line="171"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board of directors should, collectively, have the appropriate level of personal qualities, skills, experience and time commitment to properly fulfill its responsibilities.</w:t>
      </w:r>
    </w:p>
    <w:p>
      <w:pPr>
        <w:spacing w:after="0" w:line="159" w:lineRule="exact"/>
        <w:rPr>
          <w:sz w:val="20"/>
          <w:szCs w:val="20"/>
          <w:color w:val="auto"/>
        </w:rPr>
      </w:pPr>
    </w:p>
    <w:p>
      <w:pPr>
        <w:ind w:firstLine="448"/>
        <w:spacing w:after="0" w:line="318" w:lineRule="auto"/>
        <w:rPr>
          <w:sz w:val="20"/>
          <w:szCs w:val="20"/>
          <w:color w:val="auto"/>
        </w:rPr>
      </w:pPr>
      <w:r>
        <w:rPr>
          <w:rFonts w:ascii="Arial" w:cs="Arial" w:eastAsia="Arial" w:hAnsi="Arial"/>
          <w:sz w:val="16"/>
          <w:szCs w:val="16"/>
          <w:color w:val="auto"/>
        </w:rPr>
        <w:t>Our board of directors has delegated responsibility for the management of our businesses to the Chief Executive Officer and Managing Director but remains responsible for overseeing the performance of management. The principal roles and responsibilities of our board of directors include the following:</w:t>
      </w:r>
    </w:p>
    <w:p>
      <w:pPr>
        <w:spacing w:after="0" w:line="136" w:lineRule="exact"/>
        <w:rPr>
          <w:sz w:val="20"/>
          <w:szCs w:val="20"/>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evaluate, provide input into and approve our business plan;</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monitor senior management’s performance and implementation of strategy, and ensure appropriate resources are available;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evaluate and approve and monitor major resource allocations and capital investments, and acquisitions and divestitures;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evaluate, approve and monitor major resource allocations and capital investments, and acquisitions and divestitures;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and monitor our financial and operating results;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evaluate and approve the overall corporate organizational structure, the assignment of senior management responsibilities and plans for senior management development and succession;</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evaluate and approve compensation strategy as it relates to our senior management;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 and ratify systems of risk management and internal compliance and control, codes of conduct and legal compliance.</w:t>
      </w:r>
    </w:p>
    <w:p>
      <w:pPr>
        <w:spacing w:after="0" w:line="22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Our board of directors has established delegated limits of authority, which define the matters that are delegated to management and those that require board of director approval. Under the Corporations Act, at least two of our directors must be resident Australians. None of our non-employee directors have any service contracts with us that provide for benefits upon termination of employment. Under our Board Charter, the board of directors is required to meet at least six times per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auto"/>
        </w:rPr>
        <w:t>Board Committees</w:t>
      </w:r>
    </w:p>
    <w:p>
      <w:pPr>
        <w:spacing w:after="0" w:line="22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To assist with the effective discharge of its duties, the board of directors has established an Audit and Risk Committee, a Remuneration Committee and a Nomination Committee. Each committee operates under a charter approved by our board of directors, which sets forth the purposes and responsibilities of the committees as well as qualifications for committee membership, committee structure and operations and committee reporting to the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and Risk Committee</w:t>
      </w:r>
    </w:p>
    <w:p>
      <w:pPr>
        <w:spacing w:after="0" w:line="220"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7"/>
          <w:szCs w:val="17"/>
          <w:color w:val="auto"/>
        </w:rPr>
        <w:t>The members of our Audit and Risk Committee are Ms. Robertson and Messrs. Sistenich and Spiegelman. Our board of directors has determined that each of Ms. Robertson and Messrs. Sistenich and Spiegelman satisfies the independence requirements under Nasdaq listing standards and Rule 10A-3(b)(1) of the Exchange Act. The chairperson of our Audit and Risk Committee is Mr. Spiegelman. Our board of directors has determined that Mr. Spiegelman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80"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The charter for our Audit and Risk Committee requires the committee to consist of at least three directors, each of whom must be non-employee directors and a majority of which must be independent directors. The chairperson of our Audit and Risk Committee must be an independent director and cannot be the chairperson of our board of directors. The Audit and Risk Committee is required to hold at least one regular meeting per fiscal quarter and must review its charter at least annually.</w:t>
      </w:r>
    </w:p>
    <w:p>
      <w:pPr>
        <w:spacing w:after="0" w:line="17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The role of the Audit and Risk Committee is to advise our board of directors in discharging responsibilities of our board of directors with respect to our financial reporting including accounting standards, internal control integrity and compliance, external audit activities including auditor appointment, independence, terms of engagement and fees and business risk management. Specific responsibilities of our Audit and Risk Committee include:</w:t>
      </w:r>
    </w:p>
    <w:p>
      <w:pPr>
        <w:spacing w:after="0" w:line="155" w:lineRule="exact"/>
        <w:rPr>
          <w:sz w:val="20"/>
          <w:szCs w:val="20"/>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accounting standards and quarterly and annual financial statements prior to referral to the board of directors;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monitor developments likely to affect financial reporting including legislative pronouncements or disclosure requirements, as they affect both current and future years;</w:t>
      </w:r>
    </w:p>
    <w:p>
      <w:pPr>
        <w:spacing w:after="0" w:line="159" w:lineRule="exact"/>
        <w:rPr>
          <w:rFonts w:ascii="Arial" w:cs="Arial" w:eastAsia="Arial" w:hAnsi="Arial"/>
          <w:sz w:val="17"/>
          <w:szCs w:val="17"/>
          <w:color w:val="auto"/>
        </w:rPr>
      </w:pPr>
    </w:p>
    <w:p>
      <w:pPr>
        <w:ind w:left="880" w:hanging="434"/>
        <w:spacing w:after="0" w:line="318" w:lineRule="auto"/>
        <w:tabs>
          <w:tab w:leader="none" w:pos="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review any unusual transactions, pending litigation, outstanding claims or contingencies which the management, auditors or legal counsel believe may have a material effect on the financial position or operations and the manner in which these matters are disclosed in financial statements;</w:t>
      </w:r>
    </w:p>
    <w:p>
      <w:pPr>
        <w:spacing w:after="0" w:line="136" w:lineRule="exact"/>
        <w:rPr>
          <w:rFonts w:ascii="Arial" w:cs="Arial" w:eastAsia="Arial" w:hAnsi="Arial"/>
          <w:sz w:val="16"/>
          <w:szCs w:val="16"/>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evaluating internal control policies and procedures;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making recommendations to the board of directors on the appointment, reappointment or replacement of external auditors;</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evaluating the independence and effectiveness of external auditors and preapprove all audit and material non-audit services provided by external auditors;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the results of the external audit and assess remedial action taken or proposed in audit reports;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all representation letters signed by management to ensure that the information presented is complete and appropriate;</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monitoring risks and establish risk management policies;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making recommendations to the board of directors regarding proposed changes to our risk management framework;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38" w:name="page139"/>
    <w:bookmarkEnd w:id="138"/>
    <w:p>
      <w:pPr>
        <w:ind w:left="880" w:hanging="434"/>
        <w:spacing w:after="0"/>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reviewing the schedule of insurance annually.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Remuneration Committee</w:t>
      </w:r>
    </w:p>
    <w:p>
      <w:pPr>
        <w:spacing w:after="0" w:line="220" w:lineRule="exact"/>
        <w:rPr>
          <w:sz w:val="20"/>
          <w:szCs w:val="20"/>
          <w:color w:val="auto"/>
        </w:rPr>
      </w:pPr>
    </w:p>
    <w:p>
      <w:pPr>
        <w:jc w:val="both"/>
        <w:ind w:firstLine="448"/>
        <w:spacing w:after="0" w:line="302" w:lineRule="auto"/>
        <w:rPr>
          <w:sz w:val="20"/>
          <w:szCs w:val="20"/>
          <w:color w:val="auto"/>
        </w:rPr>
      </w:pPr>
      <w:r>
        <w:rPr>
          <w:rFonts w:ascii="Arial" w:cs="Arial" w:eastAsia="Arial" w:hAnsi="Arial"/>
          <w:sz w:val="15"/>
          <w:szCs w:val="15"/>
          <w:color w:val="auto"/>
        </w:rPr>
        <w:t>The members of our Remuneration Committee are Ms. Haller and Messrs. Gozlan and Sistenich. The chairperson of our Remuneration Committee is Mr. Sistenich. The objectives of the Remuneration Committee are to link remuneration to the creation of shareholder value, to offer competitive and appropriate remuneration for the business performance delivered and to put into place a remuneration framework that reflects the responsibilities of senior management while being sufficiently competitive to attract and retain high caliber performers. The charter of our Remuneration Committee requires the committee to consist of at least three directors, a majority of whom must be independent. The chairperson of our Remuneration Committee must be an independent director. The Remuneration Committee is required to hold at least one regular meeting each year. Specific responsibilities of our Remuneration Committee include:</w:t>
      </w:r>
    </w:p>
    <w:p>
      <w:pPr>
        <w:spacing w:after="0" w:line="153" w:lineRule="exact"/>
        <w:rPr>
          <w:sz w:val="20"/>
          <w:szCs w:val="20"/>
          <w:color w:val="auto"/>
        </w:rPr>
      </w:pPr>
    </w:p>
    <w:p>
      <w:pPr>
        <w:ind w:left="880" w:hanging="434"/>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overseeing our remuneration strategy;</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ensuring remuneration policies and practices enable us to attract, motivate and retain a diverse mix of directors and senior management;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fairly and responsibly remunerating directors and senior management;</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at least annually, reviewing and reporting on diversity of our employee base; and</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seeking information it considers necessary to fulfill its duties, including external advice.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Nomination Committee</w:t>
      </w:r>
    </w:p>
    <w:p>
      <w:pPr>
        <w:spacing w:after="0" w:line="22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7"/>
          <w:szCs w:val="17"/>
          <w:color w:val="auto"/>
        </w:rPr>
        <w:t>The members of our Nomination Committee are Messrs. Gozlan, Sistenich and Spiegelman. The chairperson of our Nomination Committee is Mr. Gozlan. The role of the Nomination Committee is to assist our board of directors by identifying, reviewing and evaluating individuals qualified to become members of our board of directors, reviewing and recommending the nomination of directors and assisting the board of directors with other related tasks. The charter of our Nomination Committee requires the committee to consist of at least three directors, the majority of whom must meet the independence recommendations of the ASX Corporate Governance Council (as well as all applicable laws and regulations) and each of whom must be free of any relationship that, in the opinion of the board of directors, would interfere with his or her exercise of independent judgment. The members of the Nomination Committee will be appointed annually by the board of directors. The Nomination Committee is required to hold at least one regular meeting each year. Specific responsibilities of our Nomination Committee include:</w:t>
      </w:r>
    </w:p>
    <w:p>
      <w:pPr>
        <w:spacing w:after="0" w:line="184" w:lineRule="exact"/>
        <w:rPr>
          <w:sz w:val="20"/>
          <w:szCs w:val="20"/>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assisting in identifying, interviewing and recruiting candidates for the board of directors;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potential director qualifications;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preparing a description of the role and capabilities required for a particular role;</w:t>
      </w:r>
    </w:p>
    <w:p>
      <w:pPr>
        <w:spacing w:after="0" w:line="220" w:lineRule="exact"/>
        <w:rPr>
          <w:rFonts w:ascii="Arial" w:cs="Arial" w:eastAsia="Arial" w:hAnsi="Arial"/>
          <w:sz w:val="17"/>
          <w:szCs w:val="17"/>
          <w:color w:val="auto"/>
        </w:rPr>
      </w:pPr>
    </w:p>
    <w:p>
      <w:pPr>
        <w:ind w:left="880" w:hanging="434"/>
        <w:spacing w:after="0" w:line="285"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least annually, presenting to the board of directors a list of individuals recommended for nomination for election to the board of directors at the annual meeting of shareholders;</w:t>
      </w:r>
    </w:p>
    <w:p>
      <w:pPr>
        <w:spacing w:after="0" w:line="159" w:lineRule="exact"/>
        <w:rPr>
          <w:rFonts w:ascii="Arial" w:cs="Arial" w:eastAsia="Arial" w:hAnsi="Arial"/>
          <w:sz w:val="17"/>
          <w:szCs w:val="17"/>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planning succession of our directors;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inducting and coordinating professional development programs for our directors;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developing and implementing a process for evaluating the performance of the board of directors and its committees;</w:t>
      </w:r>
    </w:p>
    <w:p>
      <w:pPr>
        <w:spacing w:after="0" w:line="220" w:lineRule="exact"/>
        <w:rPr>
          <w:rFonts w:ascii="Arial" w:cs="Arial" w:eastAsia="Arial" w:hAnsi="Arial"/>
          <w:sz w:val="17"/>
          <w:szCs w:val="17"/>
          <w:color w:val="auto"/>
        </w:rPr>
      </w:pPr>
    </w:p>
    <w:p>
      <w:pPr>
        <w:ind w:left="880" w:hanging="434"/>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managing the succession of our senior management;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9" w:name="page140"/>
    <w:bookmarkEnd w:id="139"/>
    <w:p>
      <w:pPr>
        <w:ind w:left="880" w:hanging="434"/>
        <w:spacing w:after="0"/>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reviewing and making recommendations about changes to the charter of the Nomination Committee as required in the Committee’s opinion; and</w:t>
      </w:r>
    </w:p>
    <w:p>
      <w:pPr>
        <w:spacing w:after="0" w:line="231" w:lineRule="exact"/>
        <w:rPr>
          <w:rFonts w:ascii="Arial" w:cs="Arial" w:eastAsia="Arial" w:hAnsi="Arial"/>
          <w:sz w:val="16"/>
          <w:szCs w:val="16"/>
          <w:color w:val="auto"/>
        </w:rPr>
      </w:pPr>
    </w:p>
    <w:p>
      <w:pPr>
        <w:ind w:left="880" w:hanging="434"/>
        <w:spacing w:after="0"/>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annually review its own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226" w:lineRule="exact"/>
        <w:rPr>
          <w:sz w:val="20"/>
          <w:szCs w:val="20"/>
          <w:color w:val="auto"/>
        </w:rPr>
      </w:pPr>
    </w:p>
    <w:p>
      <w:pPr>
        <w:jc w:val="both"/>
        <w:ind w:firstLine="448"/>
        <w:spacing w:after="0" w:line="265" w:lineRule="auto"/>
        <w:rPr>
          <w:sz w:val="20"/>
          <w:szCs w:val="20"/>
          <w:color w:val="auto"/>
        </w:rPr>
      </w:pPr>
      <w:r>
        <w:rPr>
          <w:rFonts w:ascii="Arial" w:cs="Arial" w:eastAsia="Arial" w:hAnsi="Arial"/>
          <w:sz w:val="17"/>
          <w:szCs w:val="17"/>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annual report.</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6D.</w:t>
      </w:r>
      <w:r>
        <w:rPr>
          <w:sz w:val="20"/>
          <w:szCs w:val="20"/>
          <w:color w:val="auto"/>
        </w:rPr>
        <w:tab/>
      </w:r>
      <w:r>
        <w:rPr>
          <w:rFonts w:ascii="Arial" w:cs="Arial" w:eastAsia="Arial" w:hAnsi="Arial"/>
          <w:sz w:val="15"/>
          <w:szCs w:val="15"/>
          <w:b w:val="1"/>
          <w:bCs w:val="1"/>
          <w:color w:val="auto"/>
        </w:rPr>
        <w:t>Employees</w:t>
      </w:r>
    </w:p>
    <w:p>
      <w:pPr>
        <w:spacing w:after="0" w:line="22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As of June 30, 2021, we had nine full-time employees, four of whom had an M.D. or Ph.D. degree. None of our employees are represented by collective bargaining agreements. We believe that our management maintains good relations with our employees. As of June 30, 2021, all of our employees were based in Australia, with four employees in our research and development department and five employees in our general and administrative department.</w:t>
      </w:r>
    </w:p>
    <w:p>
      <w:pPr>
        <w:spacing w:after="0" w:line="1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6E.</w:t>
        <w:tab/>
        <w:t>Share Ownership</w:t>
      </w:r>
    </w:p>
    <w:p>
      <w:pPr>
        <w:spacing w:after="0" w:line="226"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7"/>
          <w:szCs w:val="17"/>
          <w:color w:val="auto"/>
        </w:rPr>
        <w:t>For information regarding the share ownership of our directors and executive officers, see “Item 6B—Compensation” and “Item 7A—Major Shareholders.”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Item 7.Major Shareholders and Related Party Transactions</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7A.</w:t>
      </w:r>
      <w:r>
        <w:rPr>
          <w:sz w:val="20"/>
          <w:szCs w:val="20"/>
          <w:color w:val="auto"/>
        </w:rPr>
        <w:tab/>
      </w:r>
      <w:r>
        <w:rPr>
          <w:rFonts w:ascii="Arial" w:cs="Arial" w:eastAsia="Arial" w:hAnsi="Arial"/>
          <w:sz w:val="15"/>
          <w:szCs w:val="15"/>
          <w:b w:val="1"/>
          <w:bCs w:val="1"/>
          <w:color w:val="auto"/>
        </w:rPr>
        <w:t>Major Shareholders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September 1, 2021, for:</w:t>
      </w:r>
    </w:p>
    <w:p>
      <w:pPr>
        <w:spacing w:after="0" w:line="220" w:lineRule="exact"/>
        <w:rPr>
          <w:sz w:val="20"/>
          <w:szCs w:val="20"/>
          <w:color w:val="auto"/>
        </w:rPr>
      </w:pPr>
    </w:p>
    <w:p>
      <w:pPr>
        <w:ind w:left="860" w:hanging="427"/>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ordinary shares;</w:t>
      </w:r>
    </w:p>
    <w:p>
      <w:pPr>
        <w:spacing w:after="0" w:line="220" w:lineRule="exact"/>
        <w:rPr>
          <w:rFonts w:ascii="Arial" w:cs="Arial" w:eastAsia="Arial" w:hAnsi="Arial"/>
          <w:sz w:val="17"/>
          <w:szCs w:val="17"/>
          <w:color w:val="auto"/>
        </w:rPr>
      </w:pPr>
    </w:p>
    <w:p>
      <w:pPr>
        <w:ind w:left="860" w:hanging="427"/>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member of our senior management;</w:t>
      </w:r>
    </w:p>
    <w:p>
      <w:pPr>
        <w:spacing w:after="0" w:line="220" w:lineRule="exact"/>
        <w:rPr>
          <w:rFonts w:ascii="Arial" w:cs="Arial" w:eastAsia="Arial" w:hAnsi="Arial"/>
          <w:sz w:val="17"/>
          <w:szCs w:val="17"/>
          <w:color w:val="auto"/>
        </w:rPr>
      </w:pPr>
    </w:p>
    <w:p>
      <w:pPr>
        <w:ind w:left="860" w:hanging="427"/>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220" w:lineRule="exact"/>
        <w:rPr>
          <w:rFonts w:ascii="Arial" w:cs="Arial" w:eastAsia="Arial" w:hAnsi="Arial"/>
          <w:sz w:val="17"/>
          <w:szCs w:val="17"/>
          <w:color w:val="auto"/>
        </w:rPr>
      </w:pPr>
    </w:p>
    <w:p>
      <w:pPr>
        <w:ind w:left="860" w:hanging="427"/>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of our directors and senior management as a group.</w:t>
      </w:r>
    </w:p>
    <w:p>
      <w:pPr>
        <w:spacing w:after="0" w:line="220" w:lineRule="exact"/>
        <w:rPr>
          <w:sz w:val="20"/>
          <w:szCs w:val="20"/>
          <w:color w:val="auto"/>
        </w:rPr>
      </w:pPr>
    </w:p>
    <w:p>
      <w:pPr>
        <w:jc w:val="both"/>
        <w:ind w:firstLine="433"/>
        <w:spacing w:after="0" w:line="294" w:lineRule="auto"/>
        <w:rPr>
          <w:sz w:val="20"/>
          <w:szCs w:val="20"/>
          <w:color w:val="auto"/>
        </w:rPr>
      </w:pPr>
      <w:r>
        <w:rPr>
          <w:rFonts w:ascii="Arial" w:cs="Arial" w:eastAsia="Arial" w:hAnsi="Arial"/>
          <w:sz w:val="16"/>
          <w:szCs w:val="16"/>
          <w:color w:val="auto"/>
        </w:rPr>
        <w:t>To our knowledge, as of the date of this annual report, 27,793,729 ordinary shares were held by one record holder in the United States, representing approximately 7.92% of our total outstanding shares. The record holder is The Bank of New York Mellon, the depositary of our ADS program. The number of beneficial owners of our ADSs in the United States is likely to be much larger than the number of record holders of our ordinary shares in the United States.</w:t>
      </w:r>
    </w:p>
    <w:p>
      <w:pPr>
        <w:spacing w:after="0" w:line="155"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of September 1, 2021, including through the exercise of any option, warrant or other right or the conversion of any other security. These ordinary shares, however, are not included in the computation of the percentage ownership of any other person.</w:t>
      </w:r>
    </w:p>
    <w:p>
      <w:pPr>
        <w:spacing w:after="0" w:line="17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The calculations of the percentage of beneficial ownership are based on 351,003,541 ordinary shares (including ordinary shares in the form of ADSs) issued and outstanding as of September 1, 2021.</w:t>
      </w:r>
    </w:p>
    <w:p>
      <w:pPr>
        <w:spacing w:after="0" w:line="159"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Unless otherwise indicated, the address of each beneficial owner listed below is c/o Opthea Limited, Suite 0403, Level 4, 650 Chapel Street, South Yarra, VIC 3141, Australia.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640" w:type="dxa"/>
            <w:vAlign w:val="bottom"/>
          </w:tcPr>
          <w:p>
            <w:pPr>
              <w:spacing w:after="0"/>
              <w:rPr>
                <w:sz w:val="14"/>
                <w:szCs w:val="14"/>
                <w:color w:val="auto"/>
              </w:rPr>
            </w:pPr>
          </w:p>
        </w:tc>
        <w:tc>
          <w:tcPr>
            <w:tcW w:w="35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5060" w:type="dxa"/>
            <w:vAlign w:val="bottom"/>
            <w:gridSpan w:val="3"/>
            <w:vMerge w:val="continue"/>
          </w:tcPr>
          <w:p>
            <w:pPr>
              <w:spacing w:after="0"/>
              <w:rPr>
                <w:sz w:val="12"/>
                <w:szCs w:val="12"/>
                <w:color w:val="auto"/>
              </w:rPr>
            </w:pPr>
          </w:p>
        </w:tc>
        <w:tc>
          <w:tcPr>
            <w:tcW w:w="2640" w:type="dxa"/>
            <w:vAlign w:val="bottom"/>
          </w:tcPr>
          <w:p>
            <w:pPr>
              <w:spacing w:after="0"/>
              <w:rPr>
                <w:sz w:val="12"/>
                <w:szCs w:val="12"/>
                <w:color w:val="auto"/>
              </w:rPr>
            </w:pPr>
          </w:p>
        </w:tc>
        <w:tc>
          <w:tcPr>
            <w:tcW w:w="1820" w:type="dxa"/>
            <w:vAlign w:val="bottom"/>
            <w:tcBorders>
              <w:top w:val="single" w:sz="8" w:color="auto"/>
            </w:tcBorders>
            <w:gridSpan w:val="2"/>
          </w:tcPr>
          <w:p>
            <w:pPr>
              <w:ind w:left="520"/>
              <w:spacing w:after="0" w:line="149" w:lineRule="exact"/>
              <w:rPr>
                <w:sz w:val="20"/>
                <w:szCs w:val="20"/>
                <w:color w:val="auto"/>
              </w:rPr>
            </w:pPr>
            <w:r>
              <w:rPr>
                <w:rFonts w:ascii="Arial" w:cs="Arial" w:eastAsia="Arial" w:hAnsi="Arial"/>
                <w:sz w:val="14"/>
                <w:szCs w:val="14"/>
                <w:b w:val="1"/>
                <w:bCs w:val="1"/>
                <w:color w:val="auto"/>
              </w:rPr>
              <w:t>Number</w:t>
            </w:r>
          </w:p>
        </w:tc>
        <w:tc>
          <w:tcPr>
            <w:tcW w:w="1560" w:type="dxa"/>
            <w:vAlign w:val="bottom"/>
            <w:tcBorders>
              <w:top w:val="single" w:sz="8" w:color="auto"/>
            </w:tcBorders>
          </w:tcPr>
          <w:p>
            <w:pPr>
              <w:jc w:val="right"/>
              <w:ind w:right="475"/>
              <w:spacing w:after="0" w:line="149"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0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7"/>
                <w:szCs w:val="17"/>
                <w:b w:val="1"/>
                <w:bCs w:val="1"/>
                <w:i w:val="1"/>
                <w:iCs w:val="1"/>
                <w:color w:val="auto"/>
              </w:rPr>
              <w:t>Principal Shareholders</w:t>
            </w:r>
          </w:p>
        </w:tc>
        <w:tc>
          <w:tcPr>
            <w:tcW w:w="26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color w:val="auto"/>
              </w:rPr>
              <w:t>Funds affiliated with Regal Funds Management Pty Ltd.</w:t>
            </w:r>
            <w:r>
              <w:rPr>
                <w:rFonts w:ascii="Arial" w:cs="Arial" w:eastAsia="Arial" w:hAnsi="Arial"/>
                <w:sz w:val="14"/>
                <w:szCs w:val="14"/>
                <w:color w:val="auto"/>
              </w:rPr>
              <w:t>(1)</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60,838,646</w:t>
            </w: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Funds affiliated with Baker Bros. Advisors L.P.</w:t>
            </w:r>
            <w:r>
              <w:rPr>
                <w:rFonts w:ascii="Arial" w:cs="Arial" w:eastAsia="Arial" w:hAnsi="Arial"/>
                <w:sz w:val="14"/>
                <w:szCs w:val="14"/>
                <w:color w:val="auto"/>
              </w:rPr>
              <w:t>(2)</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29,129,273</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color w:val="auto"/>
              </w:rPr>
              <w:t>Entities affiliated with the Liberman Family</w:t>
            </w:r>
            <w:r>
              <w:rPr>
                <w:rFonts w:ascii="Arial" w:cs="Arial" w:eastAsia="Arial" w:hAnsi="Arial"/>
                <w:sz w:val="14"/>
                <w:szCs w:val="14"/>
                <w:color w:val="auto"/>
              </w:rPr>
              <w:t>(3)</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18,359,663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 xml:space="preserve">Entities affiliated with the Victory Capital Management </w:t>
            </w:r>
            <w:r>
              <w:rPr>
                <w:rFonts w:ascii="Arial" w:cs="Arial" w:eastAsia="Arial" w:hAnsi="Arial"/>
                <w:sz w:val="14"/>
                <w:szCs w:val="14"/>
                <w:color w:val="auto"/>
              </w:rPr>
              <w:t>(4)</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11,446,032</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Directors, Director Nominees and Senior Management</w:t>
            </w:r>
          </w:p>
        </w:tc>
        <w:tc>
          <w:tcPr>
            <w:tcW w:w="2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Megan Baldwin, Ph.D.</w:t>
            </w:r>
            <w:r>
              <w:rPr>
                <w:rFonts w:ascii="Arial" w:cs="Arial" w:eastAsia="Arial" w:hAnsi="Arial"/>
                <w:sz w:val="14"/>
                <w:szCs w:val="14"/>
                <w:color w:val="auto"/>
              </w:rPr>
              <w:t>(5)</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6,839,398</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color w:val="auto"/>
              </w:rPr>
              <w:t>Karen Adams</w:t>
            </w:r>
            <w:r>
              <w:rPr>
                <w:rFonts w:ascii="Arial" w:cs="Arial" w:eastAsia="Arial" w:hAnsi="Arial"/>
                <w:sz w:val="14"/>
                <w:szCs w:val="14"/>
                <w:color w:val="auto"/>
              </w:rPr>
              <w:t>(6)</w:t>
            </w:r>
          </w:p>
        </w:tc>
        <w:tc>
          <w:tcPr>
            <w:tcW w:w="26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Julia Haller</w:t>
            </w:r>
            <w:r>
              <w:rPr>
                <w:rFonts w:ascii="Arial" w:cs="Arial" w:eastAsia="Arial" w:hAnsi="Arial"/>
                <w:sz w:val="14"/>
                <w:szCs w:val="14"/>
                <w:color w:val="auto"/>
              </w:rPr>
              <w:t>(7)</w:t>
            </w:r>
          </w:p>
        </w:tc>
        <w:tc>
          <w:tcPr>
            <w:tcW w:w="26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color w:val="auto"/>
              </w:rPr>
              <w:t>Lawrence Gozlan</w:t>
            </w:r>
            <w:r>
              <w:rPr>
                <w:rFonts w:ascii="Arial" w:cs="Arial" w:eastAsia="Arial" w:hAnsi="Arial"/>
                <w:sz w:val="14"/>
                <w:szCs w:val="14"/>
                <w:color w:val="auto"/>
              </w:rPr>
              <w:t>(8)</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500,000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Jeremy Levin, DPhil, MB BChir</w:t>
            </w:r>
            <w:r>
              <w:rPr>
                <w:rFonts w:ascii="Arial" w:cs="Arial" w:eastAsia="Arial" w:hAnsi="Arial"/>
                <w:sz w:val="14"/>
                <w:szCs w:val="14"/>
                <w:color w:val="auto"/>
              </w:rPr>
              <w:t>(9)</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750,000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color w:val="auto"/>
              </w:rPr>
              <w:t>Judith Robertson</w:t>
            </w:r>
            <w:r>
              <w:rPr>
                <w:rFonts w:ascii="Arial" w:cs="Arial" w:eastAsia="Arial" w:hAnsi="Arial"/>
                <w:sz w:val="14"/>
                <w:szCs w:val="14"/>
                <w:color w:val="auto"/>
              </w:rPr>
              <w:t>(10)</w:t>
            </w:r>
          </w:p>
        </w:tc>
        <w:tc>
          <w:tcPr>
            <w:tcW w:w="26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rPr>
              <w:t>Michael Sistenich</w:t>
            </w:r>
            <w:r>
              <w:rPr>
                <w:rFonts w:ascii="Arial" w:cs="Arial" w:eastAsia="Arial" w:hAnsi="Arial"/>
                <w:sz w:val="14"/>
                <w:szCs w:val="14"/>
                <w:color w:val="auto"/>
              </w:rPr>
              <w:t>(11)</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2,733,097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7"/>
                <w:szCs w:val="17"/>
                <w:color w:val="auto"/>
              </w:rPr>
              <w:t>Daniel Spiegelman</w:t>
            </w:r>
            <w:r>
              <w:rPr>
                <w:rFonts w:ascii="Arial" w:cs="Arial" w:eastAsia="Arial" w:hAnsi="Arial"/>
                <w:sz w:val="14"/>
                <w:szCs w:val="14"/>
                <w:color w:val="auto"/>
              </w:rPr>
              <w:t>(12)</w:t>
            </w:r>
          </w:p>
        </w:tc>
        <w:tc>
          <w:tcPr>
            <w:tcW w:w="4180" w:type="dxa"/>
            <w:vAlign w:val="bottom"/>
            <w:gridSpan w:val="2"/>
          </w:tcPr>
          <w:p>
            <w:pPr>
              <w:jc w:val="right"/>
              <w:spacing w:after="0"/>
              <w:rPr>
                <w:sz w:val="20"/>
                <w:szCs w:val="20"/>
                <w:color w:val="auto"/>
              </w:rPr>
            </w:pPr>
            <w:r>
              <w:rPr>
                <w:rFonts w:ascii="Arial" w:cs="Arial" w:eastAsia="Arial" w:hAnsi="Arial"/>
                <w:sz w:val="17"/>
                <w:szCs w:val="17"/>
                <w:color w:val="auto"/>
              </w:rPr>
              <w:t>500,000</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gridSpan w:val="3"/>
            <w:shd w:val="clear" w:color="auto" w:fill="CFF0FC"/>
          </w:tcPr>
          <w:p>
            <w:pPr>
              <w:spacing w:after="0"/>
              <w:rPr>
                <w:sz w:val="20"/>
                <w:szCs w:val="20"/>
                <w:color w:val="auto"/>
              </w:rPr>
            </w:pPr>
            <w:r>
              <w:rPr>
                <w:rFonts w:ascii="Arial" w:cs="Arial" w:eastAsia="Arial" w:hAnsi="Arial"/>
                <w:sz w:val="17"/>
                <w:szCs w:val="17"/>
                <w:color w:val="auto"/>
                <w:w w:val="99"/>
              </w:rPr>
              <w:t>All directors and senior management as a group (eight persons)</w:t>
            </w:r>
            <w:r>
              <w:rPr>
                <w:rFonts w:ascii="Arial" w:cs="Arial" w:eastAsia="Arial" w:hAnsi="Arial"/>
                <w:sz w:val="14"/>
                <w:szCs w:val="14"/>
                <w:color w:val="auto"/>
                <w:w w:val="99"/>
              </w:rPr>
              <w:t>(13)</w:t>
            </w:r>
          </w:p>
        </w:tc>
        <w:tc>
          <w:tcPr>
            <w:tcW w:w="4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11,322,495</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4800" w:type="dxa"/>
            <w:vAlign w:val="bottom"/>
            <w:gridSpan w:val="2"/>
          </w:tcPr>
          <w:p>
            <w:pPr>
              <w:spacing w:after="0"/>
              <w:rPr>
                <w:sz w:val="11"/>
                <w:szCs w:val="11"/>
                <w:color w:val="auto"/>
              </w:rPr>
            </w:pPr>
          </w:p>
        </w:tc>
        <w:tc>
          <w:tcPr>
            <w:tcW w:w="26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3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w w:val="87"/>
              </w:rPr>
              <w:t>Represents beneficial ownership</w:t>
            </w:r>
          </w:p>
        </w:tc>
        <w:tc>
          <w:tcPr>
            <w:tcW w:w="2460" w:type="dxa"/>
            <w:vAlign w:val="bottom"/>
          </w:tcPr>
          <w:p>
            <w:pPr>
              <w:ind w:left="120"/>
              <w:spacing w:after="0"/>
              <w:rPr>
                <w:sz w:val="20"/>
                <w:szCs w:val="20"/>
                <w:color w:val="auto"/>
              </w:rPr>
            </w:pPr>
            <w:r>
              <w:rPr>
                <w:rFonts w:ascii="Arial" w:cs="Arial" w:eastAsia="Arial" w:hAnsi="Arial"/>
                <w:sz w:val="17"/>
                <w:szCs w:val="17"/>
                <w:color w:val="auto"/>
              </w:rPr>
              <w:t>of less than 1%.</w:t>
            </w:r>
          </w:p>
        </w:tc>
        <w:tc>
          <w:tcPr>
            <w:tcW w:w="2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40" w:type="dxa"/>
            <w:vAlign w:val="bottom"/>
          </w:tcPr>
          <w:p>
            <w:pPr>
              <w:jc w:val="right"/>
              <w:ind w:right="1853"/>
              <w:spacing w:after="0"/>
              <w:rPr>
                <w:sz w:val="20"/>
                <w:szCs w:val="20"/>
                <w:color w:val="auto"/>
              </w:rPr>
            </w:pPr>
            <w:r>
              <w:rPr>
                <w:rFonts w:ascii="Arial" w:cs="Arial" w:eastAsia="Arial" w:hAnsi="Arial"/>
                <w:sz w:val="17"/>
                <w:szCs w:val="17"/>
                <w:color w:val="auto"/>
              </w:rPr>
              <w:t>141</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41" w:name="page142"/>
    <w:bookmarkEnd w:id="141"/>
    <w:p>
      <w:pPr>
        <w:jc w:val="both"/>
        <w:ind w:left="440" w:hanging="436"/>
        <w:spacing w:after="0" w:line="261" w:lineRule="auto"/>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60,838,646 ordinary shares held by funds affiliated with Regal Funds Management Pty Ltd., referred to together as the Regal Funds. Regal Funds Management Pty Ltd. is the investment manager for each of such funds holding our ordinary shares. Philip King and Craig Collie are the Chief Investment Officer and portfolio manager, respectively, of Regal Funds Management Pty Ltd. and, as such, they may be deemed to have voting and dispositive power with respect to the ordinary shares held by the affiliated funds. Philip King and Craig Collie disclaim beneficial ownership of the ordinary shares held by the Regal Funds except to the extent of their pecuniary interest. The address for Regal Funds Management Pty Ltd. is Level 47, Gateway, 1 Macquarie Place, Sydney, NSW 2000, Australia.</w:t>
      </w:r>
    </w:p>
    <w:p>
      <w:pPr>
        <w:spacing w:after="0" w:line="179" w:lineRule="exact"/>
        <w:rPr>
          <w:rFonts w:ascii="Arial" w:cs="Arial" w:eastAsia="Arial" w:hAnsi="Arial"/>
          <w:sz w:val="17"/>
          <w:szCs w:val="17"/>
          <w:color w:val="auto"/>
        </w:rPr>
      </w:pPr>
    </w:p>
    <w:p>
      <w:pPr>
        <w:jc w:val="both"/>
        <w:ind w:left="440" w:hanging="436"/>
        <w:spacing w:after="0" w:line="260" w:lineRule="auto"/>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29,129,273 ordinary shares held by Baker Bros. Advisors LP is the manager and investment advisor of and has sole voting and dispositive power with respect to the ordinary shares held by Baker Brothers Life Sciences, L.P. Baker Bros. Advisors (GP) LLC is the sole general partner of Baker Bros. Advisors LP. The managing members of Baker Bros. Advisors (GP) LLC are Julian C. Baker and Felix J. Baker and, as such, they may be deemed to have voting and dispositive power with respect to the ordinary shares held by the Baker Brothers Life Sciences, L.P. Julian C. Baker and Felix J. Baker disclaim beneficial ownership of the ordinary shares held by the Baker Brothers Life Sciences, L.P. except to the extent of their pecuniary interest therein. The address for Baker Bros. Advisors LP, Baker Bros. Advisors (GP) LLC, Julian C. Baker, Felix J. Baker and the Baker Brothers Life Sciences, L.P. is 860 Washington Street, 3rd Floor, New York, New York 10014.</w:t>
      </w:r>
    </w:p>
    <w:p>
      <w:pPr>
        <w:spacing w:after="0" w:line="180" w:lineRule="exact"/>
        <w:rPr>
          <w:rFonts w:ascii="Arial" w:cs="Arial" w:eastAsia="Arial" w:hAnsi="Arial"/>
          <w:sz w:val="17"/>
          <w:szCs w:val="17"/>
          <w:color w:val="auto"/>
        </w:rPr>
      </w:pPr>
    </w:p>
    <w:p>
      <w:pPr>
        <w:jc w:val="both"/>
        <w:ind w:left="440" w:hanging="436"/>
        <w:spacing w:after="0" w:line="287"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18,359,663 ordinary shares held by entities affiliated with the Liberman Family, including 13,020,540 ordinary shares held by Jagen Pty Ltd., for which Lawrence Gozlan, a member of our board of directors, serves as founder and Chief Investment Officer. Bori Liberman, Helen Liberman, Laini Liberman, Justin Liberman and Nic Liberman share voting and dispositive power with respect to the ordinary shares held by the entities affiliated with the Liberman Family. The address for the entities affiliated with the Liberman Family is Level 1, 26 Beatty Ave, Armadale, VIC 3143, Australia.</w:t>
      </w:r>
    </w:p>
    <w:p>
      <w:pPr>
        <w:spacing w:after="0" w:line="55" w:lineRule="exact"/>
        <w:rPr>
          <w:rFonts w:ascii="Arial" w:cs="Arial" w:eastAsia="Arial" w:hAnsi="Arial"/>
          <w:sz w:val="16"/>
          <w:szCs w:val="16"/>
          <w:color w:val="auto"/>
        </w:rPr>
      </w:pPr>
    </w:p>
    <w:p>
      <w:pPr>
        <w:jc w:val="both"/>
        <w:ind w:left="440" w:hanging="436"/>
        <w:spacing w:after="0" w:line="265" w:lineRule="auto"/>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11,446,032 ordinary shares held by Victory Capital Management. Victory Capital Management a publicly traded company is the investment manager. The directors of VCM are David Brown, Milton Berlinski, Alex Binderow, Lawrence Davanzo, Richard DeMartini, James Hawkes, Karin Hirtler-Garvey, Robert Hurst, and Alan Rappaport. The directors of VCM have shared and equal voting rights with respect to decisions of VCM,. The address for Victory Capital Management. is 15935 La Cantera Parkway, San Antonio, Texas, USA.</w:t>
      </w:r>
    </w:p>
    <w:p>
      <w:pPr>
        <w:spacing w:after="0" w:line="72" w:lineRule="exact"/>
        <w:rPr>
          <w:rFonts w:ascii="Arial" w:cs="Arial" w:eastAsia="Arial" w:hAnsi="Arial"/>
          <w:sz w:val="17"/>
          <w:szCs w:val="17"/>
          <w:color w:val="auto"/>
        </w:rPr>
      </w:pPr>
    </w:p>
    <w:p>
      <w:pPr>
        <w:ind w:left="520" w:hanging="516"/>
        <w:spacing w:after="0" w:line="285"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(i) 3,839,398 ordinary shares beneficially owned and (ii) 3,000,000 ordinary shares issuable upon the exercise of options that are exercisable within 60 days of September 1, 2021.</w:t>
      </w:r>
    </w:p>
    <w:p>
      <w:pPr>
        <w:spacing w:after="0" w:line="159" w:lineRule="exact"/>
        <w:rPr>
          <w:rFonts w:ascii="Arial" w:cs="Arial" w:eastAsia="Arial" w:hAnsi="Arial"/>
          <w:sz w:val="17"/>
          <w:szCs w:val="17"/>
          <w:color w:val="auto"/>
        </w:rPr>
      </w:pPr>
    </w:p>
    <w:p>
      <w:pPr>
        <w:ind w:left="440" w:hanging="436"/>
        <w:spacing w:after="0"/>
        <w:tabs>
          <w:tab w:leader="none" w:pos="4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Ms Adams joined as Company Secretary in June 2021.</w:t>
      </w:r>
    </w:p>
    <w:p>
      <w:pPr>
        <w:spacing w:after="0" w:line="220" w:lineRule="exact"/>
        <w:rPr>
          <w:rFonts w:ascii="Arial" w:cs="Arial" w:eastAsia="Arial" w:hAnsi="Arial"/>
          <w:sz w:val="17"/>
          <w:szCs w:val="17"/>
          <w:color w:val="auto"/>
        </w:rPr>
      </w:pPr>
    </w:p>
    <w:p>
      <w:pPr>
        <w:ind w:left="520" w:hanging="516"/>
        <w:spacing w:after="0"/>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Dr Julia Haller joined our board of directors in June 2021.</w:t>
      </w:r>
    </w:p>
    <w:p>
      <w:pPr>
        <w:spacing w:after="0" w:line="220" w:lineRule="exact"/>
        <w:rPr>
          <w:rFonts w:ascii="Arial" w:cs="Arial" w:eastAsia="Arial" w:hAnsi="Arial"/>
          <w:sz w:val="17"/>
          <w:szCs w:val="17"/>
          <w:color w:val="auto"/>
        </w:rPr>
      </w:pPr>
    </w:p>
    <w:p>
      <w:pPr>
        <w:ind w:left="520" w:hanging="516"/>
        <w:spacing w:after="0" w:line="285"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Mr. Gozlan joined our board of directors in July 2020. Consists of 500,000 ordinary shares that will vest and become issuable upon the exercise of an option within 60 days of September 1, 2021, which option was granted on October 12, 2020.</w:t>
      </w:r>
    </w:p>
    <w:p>
      <w:pPr>
        <w:spacing w:after="0" w:line="159" w:lineRule="exact"/>
        <w:rPr>
          <w:rFonts w:ascii="Arial" w:cs="Arial" w:eastAsia="Arial" w:hAnsi="Arial"/>
          <w:sz w:val="17"/>
          <w:szCs w:val="17"/>
          <w:color w:val="auto"/>
        </w:rPr>
      </w:pPr>
    </w:p>
    <w:p>
      <w:pPr>
        <w:ind w:left="520" w:hanging="516"/>
        <w:spacing w:after="0" w:line="285"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Dr. Levin joined our board of directors as Chairperson effective as of October 12, 2020. Consists of 750,000 ordinary shares that will vest and become issuable upon the exercise of an option within 60 days of September 1, 2021, which options was granted on January 19, 2021.</w:t>
      </w:r>
    </w:p>
    <w:p>
      <w:pPr>
        <w:spacing w:after="0" w:line="155" w:lineRule="exact"/>
        <w:rPr>
          <w:rFonts w:ascii="Arial" w:cs="Arial" w:eastAsia="Arial" w:hAnsi="Arial"/>
          <w:sz w:val="17"/>
          <w:szCs w:val="17"/>
          <w:color w:val="auto"/>
        </w:rPr>
      </w:pPr>
    </w:p>
    <w:p>
      <w:pPr>
        <w:ind w:left="520" w:hanging="516"/>
        <w:spacing w:after="0"/>
        <w:tabs>
          <w:tab w:leader="none" w:pos="520" w:val="left"/>
        </w:tabs>
        <w:numPr>
          <w:ilvl w:val="0"/>
          <w:numId w:val="81"/>
        </w:numPr>
        <w:rPr>
          <w:rFonts w:ascii="Arial" w:cs="Arial" w:eastAsia="Arial" w:hAnsi="Arial"/>
          <w:sz w:val="19"/>
          <w:szCs w:val="19"/>
          <w:color w:val="auto"/>
        </w:rPr>
      </w:pPr>
      <w:r>
        <w:rPr>
          <w:rFonts w:ascii="Arial" w:cs="Arial" w:eastAsia="Arial" w:hAnsi="Arial"/>
          <w:sz w:val="17"/>
          <w:szCs w:val="17"/>
          <w:color w:val="auto"/>
        </w:rPr>
        <w:t>Ms Judith Robertson joined our board of directors in June 2021</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520" w:hanging="516"/>
        <w:spacing w:after="0" w:line="285"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(i) 1,233,0978 ordinary shares directly held by Mr. Sistenich and (ii) 1,500,000 ordinary shares issuable upon the exercise of options that are exercisable within 60 days of September 1, 2021.</w:t>
      </w:r>
    </w:p>
    <w:p>
      <w:pPr>
        <w:spacing w:after="0" w:line="159" w:lineRule="exact"/>
        <w:rPr>
          <w:rFonts w:ascii="Arial" w:cs="Arial" w:eastAsia="Arial" w:hAnsi="Arial"/>
          <w:sz w:val="17"/>
          <w:szCs w:val="17"/>
          <w:color w:val="auto"/>
        </w:rPr>
      </w:pPr>
    </w:p>
    <w:p>
      <w:pPr>
        <w:ind w:left="520" w:hanging="516"/>
        <w:spacing w:after="0" w:line="285"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Mr. Spiegelman joined our board of directors in September 2020. Consists of 500,000 ordinary shares that will vest and become issuable upon the exercise of an option within 60 days of September 1, 2021, which option was granted on October 12, 2020.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2" w:name="page143"/>
    <w:bookmarkEnd w:id="142"/>
    <w:p>
      <w:pPr>
        <w:ind w:left="520" w:hanging="516"/>
        <w:spacing w:after="0" w:line="198" w:lineRule="auto"/>
        <w:tabs>
          <w:tab w:leader="none" w:pos="520" w:val="left"/>
        </w:tabs>
        <w:numPr>
          <w:ilvl w:val="0"/>
          <w:numId w:val="82"/>
        </w:numPr>
        <w:rPr>
          <w:rFonts w:ascii="Arial" w:cs="Arial" w:eastAsia="Arial" w:hAnsi="Arial"/>
          <w:sz w:val="28"/>
          <w:szCs w:val="28"/>
          <w:color w:val="auto"/>
          <w:vertAlign w:val="superscript"/>
        </w:rPr>
      </w:pPr>
      <w:r>
        <w:rPr>
          <w:rFonts w:ascii="Arial" w:cs="Arial" w:eastAsia="Arial" w:hAnsi="Arial"/>
          <w:sz w:val="17"/>
          <w:szCs w:val="17"/>
          <w:color w:val="auto"/>
        </w:rPr>
        <w:t>Consists of (i) 5,072,495 ordinary shares beneficially owned and (ii) 6,250,000 ordinary shares issuable upon the exercise of options that are exercisable within 60 days of September 1, 2021.</w:t>
      </w:r>
    </w:p>
    <w:p>
      <w:pPr>
        <w:spacing w:after="0" w:line="19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7B.</w:t>
      </w:r>
      <w:r>
        <w:rPr>
          <w:sz w:val="20"/>
          <w:szCs w:val="20"/>
          <w:color w:val="auto"/>
        </w:rPr>
        <w:tab/>
      </w:r>
      <w:r>
        <w:rPr>
          <w:rFonts w:ascii="Arial" w:cs="Arial" w:eastAsia="Arial" w:hAnsi="Arial"/>
          <w:sz w:val="15"/>
          <w:szCs w:val="15"/>
          <w:b w:val="1"/>
          <w:bCs w:val="1"/>
          <w:color w:val="auto"/>
        </w:rPr>
        <w:t>Related Party Transactions</w:t>
      </w:r>
    </w:p>
    <w:p>
      <w:pPr>
        <w:spacing w:after="0" w:line="226"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Other than compensation arrangements which are described under “Item 6B.—Compensation” or as disclosed below, from July 1, 2020 through the date of this annual report, we did not enter into any transactions or loans with any: (i) enterprises that directly or indirectly, through one or more intermediaries, control, are controlled by or are under common control with us; (ii) associates; (iii) individuals owning, directly or indirectly, an interest in our voting power that gives them significant influence over us, and close members of any such individual’s family; (iv) key management personnel and close members of such individuals’ families; or (v) enterprises in which a substantial interest in our voting power is owned, directly or indirectly, by any person described in (iii) or (iv) or over which such person is able to exercise significant influence.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and Senior Management Compensation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“Item 6B—Compensation” for information regarding compensation of our senior management and directors.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22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Our Constitution provides that, except to the extent prohibited by law including under the Corporations Act and, to the extent that an officer is not otherwise indemnified by us pursuant to an indemnity, we will indemnify every person who is or has been an officer of the company against any liability (other than legal costs that are unreasonable) incurred by that person as an officer. This includes any liability incurred by that person in their capacity as an officer of our subsidiaries where we requested that person to accept that appointment.</w:t>
      </w:r>
    </w:p>
    <w:p>
      <w:pPr>
        <w:spacing w:after="0" w:line="176" w:lineRule="exact"/>
        <w:rPr>
          <w:sz w:val="20"/>
          <w:szCs w:val="20"/>
          <w:color w:val="auto"/>
        </w:rPr>
      </w:pPr>
    </w:p>
    <w:p>
      <w:pPr>
        <w:jc w:val="both"/>
        <w:ind w:firstLine="433"/>
        <w:spacing w:after="0" w:line="260" w:lineRule="auto"/>
        <w:rPr>
          <w:sz w:val="20"/>
          <w:szCs w:val="20"/>
          <w:color w:val="auto"/>
        </w:rPr>
      </w:pPr>
      <w:r>
        <w:rPr>
          <w:rFonts w:ascii="Arial" w:cs="Arial" w:eastAsia="Arial" w:hAnsi="Arial"/>
          <w:sz w:val="17"/>
          <w:szCs w:val="17"/>
          <w:color w:val="auto"/>
        </w:rPr>
        <w:t>We have entered into Deeds of Indemnity, Insurance and Access, or Indemnity Deeds, with Megan Baldwin, Ph.D., Karen Adams, Lawrence Gozlan, Julia Haller, Jeremy Levin, Judith Robertson, Michael Sistenich and Daniel Spiegelman, each a non-employee director, or executive officer. Under the Indemnity Deeds, we have agreed to indemnify (to the maximum extent permitted under Australian law and our Constitution, subject to certain specified exceptions) each director and executive officer against all liabilities incurred in their capacity as our or our subsidiaries’ director or officer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provide that the indemnities are unlimited as to amount, continuous and irrevocable.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Separately, we have obtained insurance for our directors and executive officers, as required by the Indemnity Deeds.</w:t>
      </w:r>
    </w:p>
    <w:p>
      <w:pPr>
        <w:spacing w:after="0" w:line="220"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Person Transaction Policy</w:t>
      </w:r>
    </w:p>
    <w:p>
      <w:pPr>
        <w:spacing w:after="0" w:line="220"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We comply with Australian law and the rules and regulations of the ASX regarding approval of transactions with related parties. We have also adopted a related person transaction policy that sets forth our procedures for the identification, review, consideration and approval or ratification of related person transactions, which became effective in connection with the listing of our ADSs on Nasdaq. For purposes of our policy,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US$120,000, with the exception of usual transactions concluded under normal conditions. A related person is any member of our board of directors, our senior management or any beneficial owner of more than 5% of any class of our ordinary shares, including any of their immediate family members and any entity owned or controlled by such persons.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3" w:name="page144"/>
    <w:bookmarkEnd w:id="143"/>
    <w:p>
      <w:pPr>
        <w:jc w:val="both"/>
        <w:ind w:firstLine="433"/>
        <w:spacing w:after="0" w:line="300" w:lineRule="auto"/>
        <w:rPr>
          <w:sz w:val="20"/>
          <w:szCs w:val="20"/>
          <w:color w:val="auto"/>
        </w:rPr>
      </w:pPr>
      <w:r>
        <w:rPr>
          <w:rFonts w:ascii="Arial" w:cs="Arial" w:eastAsia="Arial" w:hAnsi="Arial"/>
          <w:sz w:val="15"/>
          <w:szCs w:val="15"/>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senior management must present information regarding the related person transaction to the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board of directors and, to the extent feasible, significant shareholder to enable us to identify any existing or potential related-person transactions and to effectuate the terms of the policy.</w:t>
      </w:r>
    </w:p>
    <w:p>
      <w:pPr>
        <w:spacing w:after="0" w:line="154"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All of the transactions described above were entered into prior to the adoption of the written policy, but our board of directors evaluated and approved all transactions that were considered to be related party transactions under Australian law and the rules and regulations of the ASX at the time at which they were consummated.</w:t>
      </w:r>
    </w:p>
    <w:p>
      <w:pPr>
        <w:spacing w:after="0" w:line="1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7C.</w:t>
      </w:r>
      <w:r>
        <w:rPr>
          <w:sz w:val="20"/>
          <w:szCs w:val="20"/>
          <w:color w:val="auto"/>
        </w:rPr>
        <w:tab/>
      </w:r>
      <w:r>
        <w:rPr>
          <w:rFonts w:ascii="Arial" w:cs="Arial" w:eastAsia="Arial" w:hAnsi="Arial"/>
          <w:sz w:val="15"/>
          <w:szCs w:val="15"/>
          <w:b w:val="1"/>
          <w:bCs w:val="1"/>
          <w:color w:val="auto"/>
        </w:rPr>
        <w:t>Interests of Experts and Counsel</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8.Financial Information</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8A.</w:t>
      </w:r>
      <w:r>
        <w:rPr>
          <w:sz w:val="20"/>
          <w:szCs w:val="20"/>
          <w:color w:val="auto"/>
        </w:rPr>
        <w:tab/>
      </w:r>
      <w:r>
        <w:rPr>
          <w:rFonts w:ascii="Arial" w:cs="Arial" w:eastAsia="Arial" w:hAnsi="Arial"/>
          <w:sz w:val="15"/>
          <w:szCs w:val="15"/>
          <w:b w:val="1"/>
          <w:bCs w:val="1"/>
          <w:color w:val="auto"/>
        </w:rPr>
        <w:t>Consolidated Statements and Other Financial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Financial Statements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“Item 18—Financial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“Item 4B—Business Overview—Legal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220"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have not declared or paid any dividends on our ordinary shares since February 2005.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72"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the ADSs, subject to the terms of the deposit agreement.</w:t>
      </w:r>
    </w:p>
    <w:p>
      <w:pPr>
        <w:spacing w:after="0" w:line="1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8B.</w:t>
      </w:r>
      <w:r>
        <w:rPr>
          <w:sz w:val="20"/>
          <w:szCs w:val="20"/>
          <w:color w:val="auto"/>
        </w:rPr>
        <w:tab/>
      </w:r>
      <w:r>
        <w:rPr>
          <w:rFonts w:ascii="Arial" w:cs="Arial" w:eastAsia="Arial" w:hAnsi="Arial"/>
          <w:sz w:val="15"/>
          <w:szCs w:val="15"/>
          <w:b w:val="1"/>
          <w:bCs w:val="1"/>
          <w:color w:val="auto"/>
        </w:rPr>
        <w:t>Significant Changes</w:t>
      </w:r>
    </w:p>
    <w:p>
      <w:pPr>
        <w:spacing w:after="0" w:line="22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No significant change, other than as otherwise described in this annual report, has occurred in our operations since the date of our financial statements included in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9.The Offer and Listing</w:t>
      </w:r>
    </w:p>
    <w:p>
      <w:pPr>
        <w:spacing w:after="0" w:line="2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9A.</w:t>
      </w:r>
      <w:r>
        <w:rPr>
          <w:sz w:val="20"/>
          <w:szCs w:val="20"/>
          <w:color w:val="auto"/>
        </w:rPr>
        <w:tab/>
      </w:r>
      <w:r>
        <w:rPr>
          <w:rFonts w:ascii="Arial" w:cs="Arial" w:eastAsia="Arial" w:hAnsi="Arial"/>
          <w:sz w:val="15"/>
          <w:szCs w:val="15"/>
          <w:b w:val="1"/>
          <w:bCs w:val="1"/>
          <w:color w:val="auto"/>
        </w:rPr>
        <w:t>Offer and Listing Details</w:t>
      </w:r>
    </w:p>
    <w:p>
      <w:pPr>
        <w:spacing w:after="0" w:line="22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Our ADSs have been listed on the Nasdaq Global Select Market under the symbol “OPT” since October 16, 2020. Our ordinary shares are listed on the ASX under the symbol “OPT.”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4" w:name="page145"/>
    <w:bookmarkEnd w:id="144"/>
    <w:p>
      <w:pPr>
        <w:spacing w:after="0"/>
        <w:tabs>
          <w:tab w:leader="none" w:pos="420" w:val="left"/>
        </w:tabs>
        <w:rPr>
          <w:sz w:val="20"/>
          <w:szCs w:val="20"/>
          <w:color w:val="auto"/>
        </w:rPr>
      </w:pPr>
      <w:r>
        <w:rPr>
          <w:rFonts w:ascii="Arial" w:cs="Arial" w:eastAsia="Arial" w:hAnsi="Arial"/>
          <w:sz w:val="17"/>
          <w:szCs w:val="17"/>
          <w:b w:val="1"/>
          <w:bCs w:val="1"/>
          <w:color w:val="auto"/>
        </w:rPr>
        <w:t>9B.</w:t>
      </w:r>
      <w:r>
        <w:rPr>
          <w:sz w:val="20"/>
          <w:szCs w:val="20"/>
          <w:color w:val="auto"/>
        </w:rPr>
        <w:tab/>
      </w:r>
      <w:r>
        <w:rPr>
          <w:rFonts w:ascii="Arial" w:cs="Arial" w:eastAsia="Arial" w:hAnsi="Arial"/>
          <w:sz w:val="15"/>
          <w:szCs w:val="15"/>
          <w:b w:val="1"/>
          <w:bCs w:val="1"/>
          <w:color w:val="auto"/>
        </w:rPr>
        <w:t>Plan of Distribution</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9C.</w:t>
      </w:r>
      <w:r>
        <w:rPr>
          <w:sz w:val="20"/>
          <w:szCs w:val="20"/>
          <w:color w:val="auto"/>
        </w:rPr>
        <w:tab/>
      </w:r>
      <w:r>
        <w:rPr>
          <w:rFonts w:ascii="Arial" w:cs="Arial" w:eastAsia="Arial" w:hAnsi="Arial"/>
          <w:sz w:val="16"/>
          <w:szCs w:val="16"/>
          <w:b w:val="1"/>
          <w:bCs w:val="1"/>
          <w:color w:val="auto"/>
        </w:rPr>
        <w:t>Markets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“—Offer and Listing Details.”</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9D.</w:t>
      </w:r>
      <w:r>
        <w:rPr>
          <w:sz w:val="20"/>
          <w:szCs w:val="20"/>
          <w:color w:val="auto"/>
        </w:rPr>
        <w:tab/>
      </w:r>
      <w:r>
        <w:rPr>
          <w:rFonts w:ascii="Arial" w:cs="Arial" w:eastAsia="Arial" w:hAnsi="Arial"/>
          <w:sz w:val="15"/>
          <w:szCs w:val="15"/>
          <w:b w:val="1"/>
          <w:bCs w:val="1"/>
          <w:color w:val="auto"/>
        </w:rPr>
        <w:t>Selling Shareholders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9E.</w:t>
      </w:r>
      <w:r>
        <w:rPr>
          <w:sz w:val="20"/>
          <w:szCs w:val="20"/>
          <w:color w:val="auto"/>
        </w:rPr>
        <w:tab/>
      </w:r>
      <w:r>
        <w:rPr>
          <w:rFonts w:ascii="Arial" w:cs="Arial" w:eastAsia="Arial" w:hAnsi="Arial"/>
          <w:sz w:val="16"/>
          <w:szCs w:val="16"/>
          <w:b w:val="1"/>
          <w:bCs w:val="1"/>
          <w:color w:val="auto"/>
        </w:rPr>
        <w:t>Dilution</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9F.</w:t>
        <w:tab/>
        <w:t>Expenses of the Issue</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10A. Share Capital</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10B. Constitution</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Exhibit 2.3 “Description of Securities,” which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10C. Material Contracts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Commercial License Arrangement with Selexis SA</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information on our material contracts, see “Item 4B—Business Overview— Our Commercial License Arrangement with Selexis SA.”</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10D. Exchange Controls</w:t>
      </w:r>
    </w:p>
    <w:p>
      <w:pPr>
        <w:spacing w:after="0" w:line="22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(“or AUSTRAC”), which monitors such transaction, and amounts on account of potential Australian tax liabilities may be required to be withheld unless a relevant taxation treaty can be shown to apply.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10E. Taxation</w:t>
      </w:r>
    </w:p>
    <w:p>
      <w:pPr>
        <w:spacing w:after="0" w:line="226" w:lineRule="exact"/>
        <w:rPr>
          <w:sz w:val="20"/>
          <w:szCs w:val="20"/>
          <w:color w:val="auto"/>
        </w:rPr>
      </w:pPr>
    </w:p>
    <w:p>
      <w:pPr>
        <w:jc w:val="both"/>
        <w:ind w:firstLine="433"/>
        <w:spacing w:after="0" w:line="287" w:lineRule="auto"/>
        <w:rPr>
          <w:sz w:val="20"/>
          <w:szCs w:val="20"/>
          <w:color w:val="auto"/>
        </w:rPr>
      </w:pPr>
      <w:r>
        <w:rPr>
          <w:rFonts w:ascii="Arial" w:cs="Arial" w:eastAsia="Arial" w:hAnsi="Arial"/>
          <w:sz w:val="16"/>
          <w:szCs w:val="16"/>
          <w:color w:val="auto"/>
        </w:rPr>
        <w:t>The following summary of the material Australian and U.S. federal income tax considerations relating to an investment in the ADSs or ordinary shares is based upon laws and relevant interpretations thereof in effect as of the date of this annual report, all of which are subject to change, possibly with retroactive effect. This summary does not deal with all possible tax consequences relating to an investment in the ADSs or ordinary shares, such as the tax consequences under U.S. state, local and other tax laws other than U.S. federal income tax laws and certain Australian tax laws.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Material United States Federal Income Tax Considerations</w:t>
      </w:r>
    </w:p>
    <w:p>
      <w:pPr>
        <w:spacing w:after="0" w:line="226"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the ADSs or ordinary shares by a U.S. holder (as defined below). This summary applies only to U.S. holders that hold such ADSs or ordinary shares as capital assets (generally, property held for investment) for U.S. federal income tax purposes. This summary does not address all U.S. federal income tax considerations that may be relevant to a particular U.S. holder and does not represent a detailed discussion of all of the U.S. federal income tax considerations applicable to a holder of our ordinary shares or ADSs that may be subject to special tax rules including, without limitation:</w:t>
      </w:r>
    </w:p>
    <w:p>
      <w:pPr>
        <w:spacing w:after="0" w:line="180" w:lineRule="exact"/>
        <w:rPr>
          <w:sz w:val="20"/>
          <w:szCs w:val="20"/>
          <w:color w:val="auto"/>
        </w:rPr>
      </w:pPr>
    </w:p>
    <w:p>
      <w:pPr>
        <w:ind w:left="860" w:hanging="427"/>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banks, financial institutions or insurance companies;</w:t>
      </w:r>
    </w:p>
    <w:p>
      <w:pPr>
        <w:spacing w:after="0" w:line="220" w:lineRule="exact"/>
        <w:rPr>
          <w:rFonts w:ascii="Arial" w:cs="Arial" w:eastAsia="Arial" w:hAnsi="Arial"/>
          <w:sz w:val="17"/>
          <w:szCs w:val="17"/>
          <w:color w:val="auto"/>
        </w:rPr>
      </w:pPr>
    </w:p>
    <w:p>
      <w:pPr>
        <w:ind w:left="860" w:hanging="427"/>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brokers, dealers or traders in securities, currencies, commodities, or notional principal contracts;</w:t>
      </w:r>
    </w:p>
    <w:p>
      <w:pPr>
        <w:spacing w:after="0" w:line="220"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tax-exempt entities or organizations, including an “individual retirement account” or “Roth IRA” as defined in Section 408 or 408A of the Code (as defined below), respectively;</w:t>
      </w:r>
    </w:p>
    <w:p>
      <w:pPr>
        <w:spacing w:after="0" w:line="159" w:lineRule="exact"/>
        <w:rPr>
          <w:rFonts w:ascii="Arial" w:cs="Arial" w:eastAsia="Arial" w:hAnsi="Arial"/>
          <w:sz w:val="17"/>
          <w:szCs w:val="17"/>
          <w:color w:val="auto"/>
        </w:rPr>
      </w:pPr>
    </w:p>
    <w:p>
      <w:pPr>
        <w:ind w:left="860" w:hanging="427"/>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real estate investment trusts, regulated investment companies or grantor trusts;</w:t>
      </w:r>
    </w:p>
    <w:p>
      <w:pPr>
        <w:spacing w:after="0" w:line="220"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persons that hold ADSs or ordinary shares as part of a “hedging,” “integrated,” “wash sale” or “conversion” transaction or as a position in a “straddle” for U.S. federal income tax purposes;</w:t>
      </w:r>
    </w:p>
    <w:p>
      <w:pPr>
        <w:spacing w:after="0" w:line="159"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 corporations, partnerships, or other entities or arrangements classified as passthrough entities for U.S. federal income tax purposes, or U.S. holders who hold the ADSs or ordinary shares through such an entity;</w:t>
      </w:r>
    </w:p>
    <w:p>
      <w:pPr>
        <w:spacing w:after="0" w:line="159" w:lineRule="exact"/>
        <w:rPr>
          <w:rFonts w:ascii="Arial" w:cs="Arial" w:eastAsia="Arial" w:hAnsi="Arial"/>
          <w:sz w:val="17"/>
          <w:szCs w:val="17"/>
          <w:color w:val="auto"/>
        </w:rPr>
      </w:pPr>
    </w:p>
    <w:p>
      <w:pPr>
        <w:ind w:left="860" w:hanging="427"/>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20"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persons that received ADSs or ordinary shares pursuant to the exercise of any employee share option or otherwise as compensation for the performance of services;</w:t>
      </w:r>
    </w:p>
    <w:p>
      <w:pPr>
        <w:spacing w:after="0" w:line="159"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holders that own or have owned directly, indirectly, or through attribution 10% or more of the voting power or value of our ordinary shares or ADSs; and</w:t>
      </w:r>
    </w:p>
    <w:p>
      <w:pPr>
        <w:spacing w:after="0" w:line="159" w:lineRule="exact"/>
        <w:rPr>
          <w:rFonts w:ascii="Arial" w:cs="Arial" w:eastAsia="Arial" w:hAnsi="Arial"/>
          <w:sz w:val="17"/>
          <w:szCs w:val="17"/>
          <w:color w:val="auto"/>
        </w:rPr>
      </w:pPr>
    </w:p>
    <w:p>
      <w:pPr>
        <w:ind w:left="860" w:hanging="427"/>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holders that have a “functional currency” other than the U.S. dollar.</w:t>
      </w:r>
    </w:p>
    <w:p>
      <w:pPr>
        <w:spacing w:after="0" w:line="220"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Holders of the ADSs or ordinary shares who fall within one of the categories above are advised to consult their tax advisor regarding the specific tax consequences which may apply to their particular situation.</w:t>
      </w:r>
    </w:p>
    <w:p>
      <w:pPr>
        <w:spacing w:after="0" w:line="159"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If a partnership (or any other entity or arrangement treated as a partnership for U.S. federal income tax purposes) holds the ADSs or ordinary shares, the tax consequences relating to an investment in the ADSs or ordinary shares will depend in part upon the status of the partner and the activities of the partnership. Such a partner or partnership should consult its tax advisor regarding the U.S. federal income tax considerations of owning and disposing of the ADSs or ordinary shares in its particular circumstances.</w:t>
      </w:r>
    </w:p>
    <w:p>
      <w:pPr>
        <w:spacing w:after="0" w:line="176"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5"/>
          <w:szCs w:val="15"/>
          <w:color w:val="auto"/>
        </w:rPr>
        <w:t>The discussion in this section is based on the U.S. Internal Revenue Code of 1986, as amended, or the Code, existing, proposed and temporary U.S. Treasury Regulations promulgated thereunder, administrative and judicial interpretations thereof, and the Convention between the Government of the United States of America and the Government of Australia for the Avoidance of Double Taxation and the Prevention of Fiscal Evasion with Respect to Taxes on Income, signed on August 6, 1982, as amended and currently in force, or the Treaty, in each case as in effect and available on the date hereof. Such authorities are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ownership and disposition of ADSs or ordinary shares or that such a position would not be sustained by a court. U.S. holders should consult their own tax advisors concerning the U.S. federal, state, local and non-U.S. tax consequences of owning and disposing of ADSs or ordinary shares in their particular circumstances.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46" w:name="page147"/>
    <w:bookmarkEnd w:id="146"/>
    <w:p>
      <w:pPr>
        <w:jc w:val="both"/>
        <w:ind w:firstLine="433"/>
        <w:spacing w:after="0" w:line="270" w:lineRule="auto"/>
        <w:rPr>
          <w:sz w:val="20"/>
          <w:szCs w:val="20"/>
          <w:color w:val="auto"/>
        </w:rPr>
      </w:pPr>
      <w:r>
        <w:rPr>
          <w:rFonts w:ascii="Arial" w:cs="Arial" w:eastAsia="Arial" w:hAnsi="Arial"/>
          <w:sz w:val="17"/>
          <w:szCs w:val="17"/>
          <w:color w:val="auto"/>
        </w:rPr>
        <w:t>This summary does not address the estate tax considerations, alternative minimum tax considerations, the potential application of the Medicare contribution tax on net investment income, the special tax accounting rules under Section 451(b) of the Code, or any U.S. state, local, or non-U.S. tax considerations applicable to the acquisition, ownership and disposition of ordinary shares or ADSs or ordinary shares.</w:t>
      </w:r>
    </w:p>
    <w:p>
      <w:pPr>
        <w:spacing w:after="0" w:line="1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For the purposes of this description, a “U.S. holder” is a beneficial owner of the ADSs or ordinary shares that is (or is treated as), for U.S. federal income tax purposes:</w:t>
      </w:r>
    </w:p>
    <w:p>
      <w:pPr>
        <w:spacing w:after="0" w:line="159" w:lineRule="exact"/>
        <w:rPr>
          <w:sz w:val="20"/>
          <w:szCs w:val="20"/>
          <w:color w:val="auto"/>
        </w:rPr>
      </w:pPr>
    </w:p>
    <w:p>
      <w:pPr>
        <w:ind w:left="860" w:hanging="427"/>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0"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or under the laws of the United States, any state therein or the District of Columbia;</w:t>
      </w:r>
    </w:p>
    <w:p>
      <w:pPr>
        <w:spacing w:after="0" w:line="159" w:lineRule="exact"/>
        <w:rPr>
          <w:rFonts w:ascii="Arial" w:cs="Arial" w:eastAsia="Arial" w:hAnsi="Arial"/>
          <w:sz w:val="17"/>
          <w:szCs w:val="17"/>
          <w:color w:val="auto"/>
        </w:rPr>
      </w:pPr>
    </w:p>
    <w:p>
      <w:pPr>
        <w:ind w:left="860" w:hanging="427"/>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20" w:lineRule="exact"/>
        <w:rPr>
          <w:rFonts w:ascii="Arial" w:cs="Arial" w:eastAsia="Arial" w:hAnsi="Arial"/>
          <w:sz w:val="17"/>
          <w:szCs w:val="17"/>
          <w:color w:val="auto"/>
        </w:rPr>
      </w:pPr>
    </w:p>
    <w:p>
      <w:pPr>
        <w:jc w:val="both"/>
        <w:ind w:left="860" w:hanging="427"/>
        <w:spacing w:after="0" w:line="270" w:lineRule="auto"/>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17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The discussion in this section is based in part upon the representations of the depositary and the assumption that each obligation in the amended and restated deposit agreement and any related agreement will be performed in accordance with its terms.</w:t>
      </w:r>
    </w:p>
    <w:p>
      <w:pPr>
        <w:spacing w:after="0" w:line="159"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In general, and taking into account the earlier assumptions, for U.S. federal income tax purposes, a U.S. holder holding ADSs will be treated as the owner of the ordinary shares represented by the ADSs. Exchanges of ordinary shares for ADSs, and ADSs for ordinary shares, generally will not be subject to U.S. federal income tax.</w:t>
      </w:r>
    </w:p>
    <w:p>
      <w:pPr>
        <w:spacing w:after="0" w:line="166" w:lineRule="exact"/>
        <w:rPr>
          <w:sz w:val="20"/>
          <w:szCs w:val="20"/>
          <w:color w:val="auto"/>
        </w:rPr>
      </w:pPr>
    </w:p>
    <w:p>
      <w:pPr>
        <w:jc w:val="both"/>
        <w:ind w:firstLine="433"/>
        <w:spacing w:after="0" w:line="267" w:lineRule="auto"/>
        <w:rPr>
          <w:sz w:val="20"/>
          <w:szCs w:val="20"/>
          <w:color w:val="auto"/>
        </w:rPr>
      </w:pPr>
      <w:r>
        <w:rPr>
          <w:rFonts w:ascii="Arial" w:cs="Arial" w:eastAsia="Arial" w:hAnsi="Arial"/>
          <w:sz w:val="17"/>
          <w:szCs w:val="17"/>
          <w:b w:val="1"/>
          <w:bCs w:val="1"/>
          <w:color w:val="auto"/>
        </w:rPr>
        <w:t>ALL HOLDERS AND POTENTIAL HOLDERS OF THE ADSs SHOULD CONSULT THEIR OWN TAX ADVISORS AS TO THE PARTICULAR TAX CONSEQUENCES APPLICABLE TO THEM RELATING TO THE ACQUISITION, OWNERSHIP AND DISPOSITION OF THE ADSs OR ORDINARY SHARES, INCLUDING THE APPLICABILITY OF U.S. FEDERAL, STATE AND LOCAL TAX LAWS, AUSTRALIAN TAX LAWS AND OTHER NON-U.S. TAX LAWS.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 Considerations</w:t>
      </w:r>
      <w:r>
        <w:rPr>
          <w:rFonts w:ascii="Arial" w:cs="Arial" w:eastAsia="Arial" w:hAnsi="Arial"/>
          <w:sz w:val="17"/>
          <w:szCs w:val="17"/>
          <w:color w:val="auto"/>
        </w:rPr>
        <w:t>.</w:t>
      </w:r>
    </w:p>
    <w:p>
      <w:pPr>
        <w:spacing w:after="0" w:line="220"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If we are classified as a PFIC in any taxable year, during which a U.S. holder holds the ADSs or ordinary shares, such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We will be classified as a PFIC for U.S. federal income tax purposes in any taxable year in which, after applying certain look-through rules with respect to the income and assets of our subsidiaries, either: (1) at least 75% of the gross income is “passive income” or (2) at least 50% of the average quarterly value of our total gross assets (which would generally be measured by fair market value of our assets, and for which purpose the total value of our assets may be determined in part by the market value of the ADSs and our ordinary shares, which are subject to change) is attributable to assets that produce “passive income” or are held for the production of “passive income.”</w:t>
      </w:r>
    </w:p>
    <w:p>
      <w:pPr>
        <w:spacing w:after="0" w:line="180"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securities. If a non-U.S. corporation owns directly or indirectly at least 25% by value of the stock of another corporation or the partnership interests in a partnership, the non-U.S. corporation is treated for purposes of the PFIC tests as owning its proportionate share of the assets of the other corporation or partnership and as receiving directly its proportionate share of the other corporation’s or partnership’s income.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7" w:name="page148"/>
    <w:bookmarkEnd w:id="147"/>
    <w:p>
      <w:pPr>
        <w:jc w:val="both"/>
        <w:ind w:firstLine="433"/>
        <w:spacing w:after="0" w:line="280" w:lineRule="auto"/>
        <w:rPr>
          <w:sz w:val="20"/>
          <w:szCs w:val="20"/>
          <w:color w:val="auto"/>
        </w:rPr>
      </w:pPr>
      <w:r>
        <w:rPr>
          <w:rFonts w:ascii="Arial" w:cs="Arial" w:eastAsia="Arial" w:hAnsi="Arial"/>
          <w:sz w:val="16"/>
          <w:szCs w:val="16"/>
          <w:color w:val="auto"/>
        </w:rPr>
        <w:t>There can be no assurance that we will not be considered a PFIC in any past, current or future taxable year, and based on the nature and composition of our income, assets, activities and market capitalization, it is likely that we will be a PFIC for our taxable year ended June 30, 2021 and in future taxable years. However, our PFIC status is based on an annual determination and may change from year to year. Our status as a PFIC will depend on the composition of our income and the composition and value of our assets, which may be determined in large part by reference to the market value of the ADSs and our ordinary shares, which may be volatile, from time to time. Our status may also depend, in part, on how quickly we utilize the cash we raise in any offering of our securities. Our U.S. counsel expresses no opinion regarding our conclusions or our expectations regarding our PFIC status.</w:t>
      </w:r>
    </w:p>
    <w:p>
      <w:pPr>
        <w:spacing w:after="0" w:line="167" w:lineRule="exact"/>
        <w:rPr>
          <w:sz w:val="20"/>
          <w:szCs w:val="20"/>
          <w:color w:val="auto"/>
        </w:rPr>
      </w:pPr>
    </w:p>
    <w:p>
      <w:pPr>
        <w:jc w:val="both"/>
        <w:ind w:firstLine="433"/>
        <w:spacing w:after="0" w:line="277" w:lineRule="auto"/>
        <w:rPr>
          <w:sz w:val="20"/>
          <w:szCs w:val="20"/>
          <w:color w:val="auto"/>
        </w:rPr>
      </w:pPr>
      <w:r>
        <w:rPr>
          <w:rFonts w:ascii="Arial" w:cs="Arial" w:eastAsia="Arial" w:hAnsi="Arial"/>
          <w:sz w:val="16"/>
          <w:szCs w:val="16"/>
          <w:color w:val="auto"/>
        </w:rPr>
        <w:t>If we are classified as a PFIC in any year with respect to which a U.S. holder owns the ADSs or ordinary shares, we will continue to be treated as a PFIC with respect to such U.S. holder in all succeeding years during which the U.S. holder owns the ADSs or ordinary shares, regardless of whether we continue to meet the tests described above unless we cease to be a PFIC and the U.S. holder has made a “deemed sale” election under the PFIC rules. If the “deemed sale” election is made, a U.S. holder will be deemed to have sold the securities the U.S. holder holds at their fair market value as of the date of such deemed sale and any gain from such deemed sale would be subject to the rules described below. After the deemed sale election, so long as we do not become a PFIC in a subsequent taxable year, the U.S. holder’s securities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securities. U.S. holders should consult their tax advisors as to the possibility and consequences of making a deemed sale or other “purging” election if such election becomes available</w:t>
      </w:r>
    </w:p>
    <w:p>
      <w:pPr>
        <w:spacing w:after="0" w:line="168"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5"/>
          <w:szCs w:val="15"/>
          <w:color w:val="auto"/>
        </w:rPr>
        <w:t>If we are a PFIC, and you are a U.S. holder that does not make one of the elections described herein, a special tax regime will apply to both (a) any “excess distribution” by us to you (generally, your ratable portion of distributions in any year, other than the taxable year in which your holding period in the shares or ADSs begins, which are greater than 125% of the average annual distribution received by you in the shorter of the three preceding years or the portion of your holding period for the ADSs or ordinary shares that preceded the year of the distribution) and (b) any gain realized on the sale or other disposition of the ADSs or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w:t>
      </w:r>
    </w:p>
    <w:p>
      <w:pPr>
        <w:spacing w:after="0" w:line="3" w:lineRule="exact"/>
        <w:rPr>
          <w:sz w:val="20"/>
          <w:szCs w:val="20"/>
          <w:color w:val="auto"/>
        </w:rPr>
      </w:pPr>
    </w:p>
    <w:p>
      <w:pPr>
        <w:ind w:firstLine="4"/>
        <w:spacing w:after="0" w:line="302" w:lineRule="auto"/>
        <w:tabs>
          <w:tab w:leader="none" w:pos="25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interest charge generally applicable to underpayments of tax had been imposed on the taxes deemed to have been payable in those years. In addition, dividend distributions made to you will not qualify for the lower rates of taxation applicable to qualified dividends discussed above under “Distributions.”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elections may alleviate some of the adverse consequences of PFIC status and would result in an alternative treatment of our ordinary shares or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ADSs</w:t>
      </w:r>
    </w:p>
    <w:p>
      <w:pPr>
        <w:spacing w:after="0" w:line="208" w:lineRule="exact"/>
        <w:rPr>
          <w:sz w:val="20"/>
          <w:szCs w:val="20"/>
          <w:color w:val="auto"/>
        </w:rPr>
      </w:pPr>
    </w:p>
    <w:p>
      <w:pPr>
        <w:jc w:val="both"/>
        <w:ind w:firstLine="433"/>
        <w:spacing w:after="0" w:line="275" w:lineRule="auto"/>
        <w:rPr>
          <w:sz w:val="20"/>
          <w:szCs w:val="20"/>
          <w:color w:val="auto"/>
        </w:rPr>
      </w:pPr>
      <w:r>
        <w:rPr>
          <w:rFonts w:ascii="Arial" w:cs="Arial" w:eastAsia="Arial" w:hAnsi="Arial"/>
          <w:sz w:val="16"/>
          <w:szCs w:val="16"/>
          <w:color w:val="auto"/>
        </w:rPr>
        <w:t>If a U.S. holder makes a mark-to-market election, with respect to our ordinary shares or ADSs, the U.S. holder generally will recognize as ordinary income any excess of the fair market value of our ordinary shares or ADSs at the end of each taxable year over their adjusted tax basis, and will recognize an ordinary loss in respect of any excess of the adjusted tax basis of our ordinary shares or ADSs over their fair market value at the end of the taxable year (but only to the extent of the net amount of income previously included as a result of the mark-to-market election). If a U.S. holder makes the election, the U.S. holder’s tax basis in our ordinary shares or ADSs will be adjusted to reflect these income or loss amounts. Any gain recognized on the sale or other disposition of our ordinary shares or ADSs in a year in which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or ADSs are “regularly traded” on a “qualified exchange.” Our ordinary shares or ADSs will be treated as “regularly traded” in any calendar year in which more than a de minimis quantity of our ordinary shares or ADSs are traded on a qualified exchange on at least 15 days during each calendar quarter (subject to the rule that trades that have as one of their principal purposes the meeting of the trading requirement are disregarded). Nasdaq is a qualified exchange for this purpose and, consequently, if the ADSs are regularly traded, the mark-to-market election will be available to a U.S. holder. It should be noted that only the ADSs and not our ordinary shares are listed on Nasdaq. Consequently, our ordinary shares may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8" w:name="page149"/>
    <w:bookmarkEnd w:id="148"/>
    <w:p>
      <w:pPr>
        <w:jc w:val="both"/>
        <w:spacing w:after="0" w:line="285" w:lineRule="auto"/>
        <w:rPr>
          <w:sz w:val="20"/>
          <w:szCs w:val="20"/>
          <w:color w:val="auto"/>
        </w:rPr>
      </w:pPr>
      <w:r>
        <w:rPr>
          <w:rFonts w:ascii="Arial" w:cs="Arial" w:eastAsia="Arial" w:hAnsi="Arial"/>
          <w:sz w:val="17"/>
          <w:szCs w:val="17"/>
          <w:color w:val="auto"/>
        </w:rPr>
        <w:t>not be marketable if the ASX (where our ordinary shares are currently listed) does not meet the applicable requirements. U.S. holders should consult their tax advisors regarding the availability of the mark-to-market election for ordinary shares that are not represented by ADSs.</w:t>
      </w:r>
    </w:p>
    <w:p>
      <w:pPr>
        <w:spacing w:after="0" w:line="159"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80"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do not currently intend to provide the information necessary for U.S. holders to make qualified electing fund elections if we were treated as a PFIC for any taxable year. U.S. holders should consult their tax advisors to determine whether any of the other elections described above would be available and if so, what the consequences of the alternative treatments would be in their particular circumstances.</w:t>
      </w:r>
    </w:p>
    <w:p>
      <w:pPr>
        <w:spacing w:after="0" w:line="172"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U.S. holders should consult their tax advisors regarding the application of the PFIC rules to our subsidiaries.</w:t>
      </w:r>
    </w:p>
    <w:p>
      <w:pPr>
        <w:spacing w:after="0" w:line="172" w:lineRule="exact"/>
        <w:rPr>
          <w:sz w:val="20"/>
          <w:szCs w:val="20"/>
          <w:color w:val="auto"/>
        </w:rPr>
      </w:pPr>
    </w:p>
    <w:p>
      <w:pPr>
        <w:jc w:val="both"/>
        <w:ind w:firstLine="433"/>
        <w:spacing w:after="0" w:line="294" w:lineRule="auto"/>
        <w:rPr>
          <w:sz w:val="20"/>
          <w:szCs w:val="20"/>
          <w:color w:val="auto"/>
        </w:rPr>
      </w:pPr>
      <w:r>
        <w:rPr>
          <w:rFonts w:ascii="Arial" w:cs="Arial" w:eastAsia="Arial" w:hAnsi="Arial"/>
          <w:sz w:val="16"/>
          <w:szCs w:val="16"/>
          <w:color w:val="auto"/>
        </w:rPr>
        <w:t>If a U.S. holder owns ordinary shares or ADSs during any taxable year in which we are a PFIC, the U.S. holder may be required to file an IRS Form 8621 (Information Return by a Shareholder of a Passive Foreign Investment Company or Qualified Electing Fund) with respect to the company, generally with the U.S. holder’s federal income tax return for that year. You should consult your tax advisor concerning any filing requirements arising from the PFIC rules.</w:t>
      </w:r>
    </w:p>
    <w:p>
      <w:pPr>
        <w:spacing w:after="0" w:line="149" w:lineRule="exact"/>
        <w:rPr>
          <w:sz w:val="20"/>
          <w:szCs w:val="20"/>
          <w:color w:val="auto"/>
        </w:rPr>
      </w:pPr>
    </w:p>
    <w:p>
      <w:pPr>
        <w:jc w:val="both"/>
        <w:ind w:firstLine="433"/>
        <w:spacing w:after="0" w:line="267" w:lineRule="auto"/>
        <w:rPr>
          <w:sz w:val="20"/>
          <w:szCs w:val="20"/>
          <w:color w:val="auto"/>
        </w:rPr>
      </w:pPr>
      <w:r>
        <w:rPr>
          <w:rFonts w:ascii="Arial" w:cs="Arial" w:eastAsia="Arial" w:hAnsi="Arial"/>
          <w:sz w:val="17"/>
          <w:szCs w:val="17"/>
          <w:b w:val="1"/>
          <w:bCs w:val="1"/>
          <w:color w:val="auto"/>
        </w:rPr>
        <w:t>The U.S. federal income tax rules relating to PFICs are complex. Prospective U.S. investors are urged to consult their own tax advisors with respect to the acquisition, ownership and disposition of our ordinary shares or ADSs, the consequences to them of an investment in a PFIC, any elections available with respect to ordinary shares and ADSs and the IRS information reporting obligations with respect to the acquisition, ownership and disposition of ordinary shares and ADSs.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w:t>
      </w:r>
    </w:p>
    <w:p>
      <w:pPr>
        <w:spacing w:after="0" w:line="220" w:lineRule="exact"/>
        <w:rPr>
          <w:sz w:val="20"/>
          <w:szCs w:val="20"/>
          <w:color w:val="auto"/>
        </w:rPr>
      </w:pPr>
    </w:p>
    <w:p>
      <w:pPr>
        <w:jc w:val="both"/>
        <w:ind w:firstLine="433"/>
        <w:spacing w:after="0" w:line="258" w:lineRule="auto"/>
        <w:rPr>
          <w:sz w:val="20"/>
          <w:szCs w:val="20"/>
          <w:color w:val="auto"/>
        </w:rPr>
      </w:pPr>
      <w:r>
        <w:rPr>
          <w:rFonts w:ascii="Arial" w:cs="Arial" w:eastAsia="Arial" w:hAnsi="Arial"/>
          <w:sz w:val="17"/>
          <w:szCs w:val="17"/>
          <w:color w:val="auto"/>
        </w:rPr>
        <w:t>We do not expect to make any distributions in respect of the ADSs or ordinary shares. Subject to the discussion under “—Passive Foreign Investment Company Considerations” above, the gross amount of any distribution (including any amounts withheld in respect of foreign tax) actually or constructively received by a U.S. holder with respect to the ADSs or ordinary shares will generally be taxable to the U.S. holder as a dividend to the extent of the U.S. holder’s pro rata share of our current or accumulated earnings and profits as determined under U.S. federal income tax principles. Distributions in excess of earnings and profits will generally be non-taxable to the U.S. holder to the extent of, and will be applied against and reduce (but not below zero), the U.S. holder’s adjusted tax basis in the ADSs or ordinary shares. Distributions in excess of earnings and profits and such adjusted tax basis will generally be taxable to the U.S. holder as either long-term or short-term capital gain depending upon whether the U.S. holder has held the ADSs or ordinary shares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w:t>
      </w:r>
    </w:p>
    <w:p>
      <w:pPr>
        <w:spacing w:after="0" w:line="186"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Non-corporate U.S. holders may qualify for the preferential rates of taxation with respect to dividends on the ADSs or ordinary shares applicable to long-term capital gains (i.e., gains from the sale of capital assets held for more than one year) and “qualified dividend income” (as discussed below) if we are a “qualified foreign corporation” and certain other requirements (discussed below) are met. A non-U.S. corporation generally will be considered to be a qualified foreign corporation (a) if it is eligible for the benefits of a comprehensive tax treaty with the United States which the Secretary of Treasury of the United States determines is satisfactory for purposes of this provision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9" w:name="page150"/>
    <w:bookmarkEnd w:id="149"/>
    <w:p>
      <w:pPr>
        <w:jc w:val="both"/>
        <w:spacing w:after="0" w:line="276" w:lineRule="auto"/>
        <w:rPr>
          <w:sz w:val="20"/>
          <w:szCs w:val="20"/>
          <w:color w:val="auto"/>
        </w:rPr>
      </w:pPr>
      <w:r>
        <w:rPr>
          <w:rFonts w:ascii="Arial" w:cs="Arial" w:eastAsia="Arial" w:hAnsi="Arial"/>
          <w:sz w:val="16"/>
          <w:szCs w:val="16"/>
          <w:color w:val="auto"/>
        </w:rPr>
        <w:t>which includes an exchange of information provision, or (b) with respect to any dividend it pays on ADSs or ordinary shares which are readily tradable on an established securities market in the United States. The ADSs are listed on Nasdaq, which is an established securities market in the United States, and we expect the ADSs to be readily tradable on Nasdaq. However, there can be no assurance that the ADSs will be considered readily tradable on an established securities market in the United States in later years. The Company, which is incorporated under the laws of Australia, believes that it qualifies as a resident of Australia for purposes of, and is eligible for the benefits of, the Treaty, although there can be no assurance in this regard. Further, the IRS has determined that the Treaty is satisfactory for purposes of the qualified dividend rules and that it includes an exchange-of-information program. However, the preferential tax rates available for qualified dividend income do not apply if we are a PFIC in the taxable year in which such dividends are paid or in the preceding taxable year. Therefore, in light of the discussion under “—Passive Foreign Investment Company Considerations” above, you should assume that dividends generally will not constitute qualified dividend income eligible for reduced rates of taxation. In addition, the dividends will not be eligible for the dividends-received deduction generally allowed to corporate U.S. holders.</w:t>
      </w:r>
    </w:p>
    <w:p>
      <w:pPr>
        <w:spacing w:after="0" w:line="171"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A U.S. holder generally may claim the amount of any Australian withholding tax as either a deduction from gross income or a credit against its U.S. federal income tax liability. The foreign tax credit is subject to numerous complex limitations that must be determined and applied on an individual basis. In addition, the creditability of foreign taxes could be affected by actions taken by intermediaries in the chain of ownership between the holders of the ADSs and our company if, as a result of such actions, the holders of the ADSs are not properly treated as beneficial owners of the underlying ordinary shares. Each U.S. holder should consult its own tax advisors regarding the foreign tax credit rules.</w:t>
      </w:r>
    </w:p>
    <w:p>
      <w:pPr>
        <w:spacing w:after="0" w:line="180"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In general, the amount of a distribution paid to a U.S. holder in a foreign currency will be the U.S. dollar value of the foreign currency calculated by reference to the spot exchange rate on the day the depositary receives the distribution, in the case of the ADSs, or on the day the distribution is received by the U.S. holder, in the case of ordinary shares,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Exchange or Other Taxable Disposition</w:t>
      </w:r>
    </w:p>
    <w:p>
      <w:pPr>
        <w:spacing w:after="0" w:line="220"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7"/>
          <w:szCs w:val="17"/>
          <w:color w:val="auto"/>
        </w:rPr>
        <w:t>A U.S. holder will generally recognize gain or loss for U.S. federal income tax purposes upon the sale, exchange or other taxable disposition of the ADSs or ordinary shares in an amount equal to the difference between the U.S. dollar value of the amount realized from such sale or exchange and the U.S. holder’s adjusted tax basis in those securities, determined in U.S. dollars. Subject to the discussion under “—Passive Foreign Investment Company Considerations” above, this gain or loss will generally be a capital gain or loss. The adjusted tax basis in the ADSs or ordinary shares generally will be equal to the cost of such ADSs or ordinary shares. Capital gain from the sale, exchange or other taxable disposition of the ADSs or ordinary shares by a non-corporate U.S. holder is generally eligible for a preferential rate of taxation applicable to capital gains if the non-corporate U.S. holder’s holding period determined at the time of such sale, exchange or other taxable disposition for such securities exceeds one year (i.e., such gain is long-term taxable gain).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181"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w:t>
      </w:r>
    </w:p>
    <w:p>
      <w:pPr>
        <w:spacing w:after="0" w:line="17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An accrual basis taxpayer, however, may elect the same treatment required of cash basis taxpayers with respect to purchases and sales of our ordinary shares or ADSs that are traded on an established securities market, provided the election is applied consistently from year to year. Such election may not be changed without the consent of the IRS. For an accrual basis taxpayer who does not make such election, units of foreign currency paid or received are translated into U.S. dollars at the spot rate on the trade date of the purchase or sale. Such an accrual basis taxpayer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may recognize exchange gain or loss based on currency fluctuations between the trade date and the settlement date. Any foreign currency gain or loss a U.S.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holder realizes will be U.S. source ordinary income or loss.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Backup Withholding and Information Reporting</w:t>
      </w:r>
      <w:r>
        <w:rPr>
          <w:rFonts w:ascii="Arial" w:cs="Arial" w:eastAsia="Arial" w:hAnsi="Arial"/>
          <w:sz w:val="17"/>
          <w:szCs w:val="17"/>
          <w:color w:val="auto"/>
        </w:rPr>
        <w:t>.</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U.S. holders generally will be subject to information reporting requirements with respect to dividends on the ordinary shares or ADSs and on the proceeds from the sale, exchange or disposition of the ordinary shares or ADSs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Asset Reporting</w:t>
      </w:r>
      <w:r>
        <w:rPr>
          <w:rFonts w:ascii="Arial" w:cs="Arial" w:eastAsia="Arial" w:hAnsi="Arial"/>
          <w:sz w:val="17"/>
          <w:szCs w:val="17"/>
          <w:color w:val="auto"/>
        </w:rPr>
        <w:t>.</w:t>
      </w:r>
    </w:p>
    <w:p>
      <w:pPr>
        <w:spacing w:after="0" w:line="22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Certain individual U.S. holders are required to report information relating to an interest in the ordinary shares or ADSs,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the ordinary shares or ADSs.</w:t>
      </w:r>
    </w:p>
    <w:p>
      <w:pPr>
        <w:spacing w:after="0" w:line="170"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b w:val="1"/>
          <w:bCs w:val="1"/>
          <w:color w:val="auto"/>
        </w:rPr>
        <w:t>THE DISCUSSION ABOVE IS A SUMMARY OF THE U.S. FEDERAL INCOME TAX CONSEQUENCES OF AN INVESTMENT IN THE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THE ADSs IN LIGHT OF THE INVESTOR’S OWN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Australian Tax Considerations</w:t>
      </w:r>
    </w:p>
    <w:p>
      <w:pPr>
        <w:spacing w:after="0" w:line="226"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In this section, we discuss the material Australian income tax, stamp duty and goods and services tax considerations related to the acquisition, ownership and disposal by the absolute beneficial owners of the ADSs or ordinary shares represented by ADSs. It is based upon existing Australian tax law as of the date of this registration statement,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 exempt organizations). In addition, this summary does not discuss any non-Australian or state tax considerations, other than stamp duty and goods and services tax.</w:t>
      </w:r>
    </w:p>
    <w:p>
      <w:pPr>
        <w:spacing w:after="0" w:line="180"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Prospective investors are urged to consult their tax advisors regarding the Australian and non-Australian income and other tax considerations of the acquisition, ownership and disposition of the ADSs or shares. This summary is based upon the premise that the holder of an ADS is not an Australian tax resident and is not carrying on business in Australia through a permanent establishment (referred to as a “Non-Australian Holder” in this summary). This summary is also based on the assumption that a Non-Australian Holder is “absolutely entitled” to the ordinary shares represented by an ADS (see “—Nature of ADSs for Australian Taxation Purposes” below).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ADSs for Australian Taxation Purposes</w:t>
      </w:r>
    </w:p>
    <w:p>
      <w:pPr>
        <w:spacing w:after="0" w:line="220" w:lineRule="exact"/>
        <w:rPr>
          <w:sz w:val="20"/>
          <w:szCs w:val="20"/>
          <w:color w:val="auto"/>
        </w:rPr>
      </w:pPr>
    </w:p>
    <w:p>
      <w:pPr>
        <w:jc w:val="both"/>
        <w:ind w:firstLine="433"/>
        <w:spacing w:after="0" w:line="294" w:lineRule="auto"/>
        <w:rPr>
          <w:sz w:val="20"/>
          <w:szCs w:val="20"/>
          <w:color w:val="auto"/>
        </w:rPr>
      </w:pPr>
      <w:r>
        <w:rPr>
          <w:rFonts w:ascii="Arial" w:cs="Arial" w:eastAsia="Arial" w:hAnsi="Arial"/>
          <w:sz w:val="16"/>
          <w:szCs w:val="16"/>
          <w:color w:val="auto"/>
        </w:rPr>
        <w:t>Non-Australian Holders of ADSs should obtain specialist Australian tax advice regarding their rights and obligations under the deposit agreement with the depositary, including whether the deposit arrangement constitutes a “bare trust” resulting in the holders of an ADS being “absolutely entitled” to the underlying shares represented by the ADS for Australian taxation purposes. Apart from certain aspects of the Australian tax legislation (for example,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1" w:name="page152"/>
    <w:bookmarkEnd w:id="151"/>
    <w:p>
      <w:pPr>
        <w:jc w:val="both"/>
        <w:spacing w:after="0" w:line="285" w:lineRule="auto"/>
        <w:rPr>
          <w:sz w:val="20"/>
          <w:szCs w:val="20"/>
          <w:color w:val="auto"/>
        </w:rPr>
      </w:pPr>
      <w:r>
        <w:rPr>
          <w:rFonts w:ascii="Arial" w:cs="Arial" w:eastAsia="Arial" w:hAnsi="Arial"/>
          <w:sz w:val="17"/>
          <w:szCs w:val="17"/>
          <w:color w:val="auto"/>
        </w:rPr>
        <w:t>Australian capital gains tax and withholding tax provisions, which are discussed below), there is no express legislative basis for disregarding “bare trusts” for Australian tax purposes generally.</w:t>
      </w:r>
    </w:p>
    <w:p>
      <w:pPr>
        <w:spacing w:after="0" w:line="159"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proceeds on the assumption that the deposit arrangement constitutes a bare trust, which results in holders of ADSs being “absolutely entitled” to the underlying shares. On this basis, holders of ADSs can be treated as the owners of the underlying ordinary shares for Australian capital gains tax purposes. Dividends paid on the underlying ordinary shares will also be treated as dividends derived by the holders of ADSs as the persons presently entitled to those dividends.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Dividends</w:t>
      </w:r>
    </w:p>
    <w:p>
      <w:pPr>
        <w:spacing w:after="0" w:line="220" w:lineRule="exact"/>
        <w:rPr>
          <w:sz w:val="20"/>
          <w:szCs w:val="20"/>
          <w:color w:val="auto"/>
        </w:rPr>
      </w:pPr>
    </w:p>
    <w:p>
      <w:pPr>
        <w:jc w:val="both"/>
        <w:ind w:firstLine="433"/>
        <w:spacing w:after="0" w:line="280" w:lineRule="auto"/>
        <w:rPr>
          <w:sz w:val="20"/>
          <w:szCs w:val="20"/>
          <w:color w:val="auto"/>
        </w:rPr>
      </w:pPr>
      <w:r>
        <w:rPr>
          <w:rFonts w:ascii="Arial" w:cs="Arial" w:eastAsia="Arial" w:hAnsi="Arial"/>
          <w:sz w:val="16"/>
          <w:szCs w:val="16"/>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is a resident of a country with which Australia has a double taxation treaty and qualifies for the benefits of the treaty. Under the provisions of the current Double Taxation Convention between Australia and the United States, the Australian tax withheld on unfranked dividends that are not declared to be CFI paid by us to which a resident of the United States is beneficially entitled is limited to 15%.</w:t>
      </w:r>
    </w:p>
    <w:p>
      <w:pPr>
        <w:spacing w:after="0" w:line="167"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Under the Double Taxation Convention between Australia and the United States, if a U.S. resident company that is a Non-Australian Holder directly owns a 10% or more voting interests, the Australian tax withheld on unfranked dividends that are not declared to be CFI paid by us to which the company is beneficially entitled is limited to 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Character of ADSs or Shares for Australian Taxation Purposes</w:t>
      </w:r>
    </w:p>
    <w:p>
      <w:pPr>
        <w:spacing w:after="0" w:line="22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Australian tax treatment of a sale or disposal of the ADSs or underlying shares will depend on whether they are held on revenue or capital account. ADSs may be held on revenue rather than capital account, for example, where they are held by share traders or any profit arises from a profit-making undertaking or scheme entered into by the holder. Non-Australian Holders of ADSs should obtain specialist Australian tax advice regarding the characterization of any gain or loss on a sale or disposal of the ADSs or underlying shares as revenue or capital in nature.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on Sales or other Dispositions of Shares or ADSs—Capital Gains Tax</w:t>
      </w:r>
    </w:p>
    <w:p>
      <w:pPr>
        <w:spacing w:after="0" w:line="220"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Non-Australian Holders who are treated as the owners of the underlying shares on the basis that they are absolutely entitled to those shares will not be subject to Australian capital gains tax on the gain made on a sale or other disposal of ordinary shares, provided the shares are not “taxable Australian property.” Taxable Australian property includes “indirect Australian real property interests,” which are interests in a company where:</w:t>
      </w:r>
    </w:p>
    <w:p>
      <w:pPr>
        <w:spacing w:after="0" w:line="172" w:lineRule="exact"/>
        <w:rPr>
          <w:sz w:val="20"/>
          <w:szCs w:val="20"/>
          <w:color w:val="auto"/>
        </w:rPr>
      </w:pPr>
    </w:p>
    <w:p>
      <w:pPr>
        <w:ind w:left="860" w:hanging="427"/>
        <w:spacing w:after="0" w:line="285"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Non-Australian Holders, together with associates, hold 10% or more of our issued shares, at the time of disposal or for a 12 month period during the two years prior to disposal; and</w:t>
      </w:r>
    </w:p>
    <w:p>
      <w:pPr>
        <w:spacing w:after="0" w:line="159" w:lineRule="exact"/>
        <w:rPr>
          <w:rFonts w:ascii="Arial" w:cs="Arial" w:eastAsia="Arial" w:hAnsi="Arial"/>
          <w:sz w:val="17"/>
          <w:szCs w:val="17"/>
          <w:color w:val="auto"/>
        </w:rPr>
      </w:pPr>
    </w:p>
    <w:p>
      <w:pPr>
        <w:ind w:left="860" w:hanging="427"/>
        <w:spacing w:after="0" w:line="285" w:lineRule="auto"/>
        <w:tabs>
          <w:tab w:leader="none" w:pos="8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more than 50% of our assets held directly or indirectly, determined by reference to market value, consists of Australian real property (which includes land and leasehold interests) or Australian mining, quarrying or prospecting rights at the time of disposal.</w:t>
      </w:r>
    </w:p>
    <w:p>
      <w:pPr>
        <w:spacing w:after="0" w:line="159"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Australian capital gains tax applies to net capital gains at a taxpayer’s marginal tax rates. Net capital gains are calculated after reduction for capital losses, which may only be offset against capital gains.</w:t>
      </w:r>
    </w:p>
    <w:p>
      <w:pPr>
        <w:spacing w:after="0" w:line="159"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If a Non-Australian Holder of ADSs was not absolutely entitled to the underlying shares, and the ADSs were held on capital account, the same principles would apply in determining whether a gain on the sale or disposal of the ADSs would be subject to Australian capital gains tax. That is, a Non-Australian Holder should not be subject to Australian capital gains tax provided the ADSs are not taxable Australian property.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2" w:name="page153"/>
    <w:bookmarkEnd w:id="152"/>
    <w:p>
      <w:pPr>
        <w:jc w:val="both"/>
        <w:ind w:firstLine="433"/>
        <w:spacing w:after="0" w:line="285" w:lineRule="auto"/>
        <w:rPr>
          <w:sz w:val="20"/>
          <w:szCs w:val="20"/>
          <w:color w:val="auto"/>
        </w:rPr>
      </w:pPr>
      <w:r>
        <w:rPr>
          <w:rFonts w:ascii="Arial" w:cs="Arial" w:eastAsia="Arial" w:hAnsi="Arial"/>
          <w:sz w:val="17"/>
          <w:szCs w:val="17"/>
          <w:color w:val="auto"/>
        </w:rPr>
        <w:t>The 50% capital gains tax discount is not available to Non-Australian Holders on gains from assets acquired after May 8, 2012 where they were non-Australian residents during the entire holding period. Companies are not entitled to a capital gains tax discount.</w:t>
      </w:r>
    </w:p>
    <w:p>
      <w:pPr>
        <w:spacing w:after="0" w:line="159" w:lineRule="exact"/>
        <w:rPr>
          <w:sz w:val="20"/>
          <w:szCs w:val="20"/>
          <w:color w:val="auto"/>
        </w:rPr>
      </w:pPr>
    </w:p>
    <w:p>
      <w:pPr>
        <w:jc w:val="both"/>
        <w:ind w:firstLine="433"/>
        <w:spacing w:after="0" w:line="280" w:lineRule="auto"/>
        <w:rPr>
          <w:sz w:val="20"/>
          <w:szCs w:val="20"/>
          <w:color w:val="auto"/>
        </w:rPr>
      </w:pPr>
      <w:r>
        <w:rPr>
          <w:rFonts w:ascii="Arial" w:cs="Arial" w:eastAsia="Arial" w:hAnsi="Arial"/>
          <w:sz w:val="16"/>
          <w:szCs w:val="16"/>
          <w:color w:val="auto"/>
        </w:rPr>
        <w:t>Broadly, where there is a disposal of “taxable Australian property,” which includes indirect Australian real property interests,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arrangement,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on Sales or other Dispositions of ADSs—Revenue Account</w:t>
      </w:r>
    </w:p>
    <w:p>
      <w:pPr>
        <w:spacing w:after="0" w:line="22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In the case of gains which are ordinary income, there are no express provisions which treat holders of ADSs as the owners of the underlying shares where they are absolutely entitled to those shares under a bare trust.</w:t>
      </w:r>
    </w:p>
    <w:p>
      <w:pPr>
        <w:spacing w:after="0" w:line="176"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Non-Australian Holders assessable under these ordinary income provisions in respect of gains made on ADSs held on revenue account would be assessed for such gains at the Australian tax rates for non-Australian residents, which start at a marginal rate of 32.5% for individuals and would be required to file an Australian tax return. Some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in Australia.</w:t>
      </w:r>
    </w:p>
    <w:p>
      <w:pPr>
        <w:spacing w:after="0" w:line="180" w:lineRule="exact"/>
        <w:rPr>
          <w:sz w:val="20"/>
          <w:szCs w:val="20"/>
          <w:color w:val="auto"/>
        </w:rPr>
      </w:pPr>
    </w:p>
    <w:p>
      <w:pPr>
        <w:jc w:val="both"/>
        <w:ind w:firstLine="433"/>
        <w:spacing w:after="0" w:line="318" w:lineRule="auto"/>
        <w:rPr>
          <w:sz w:val="20"/>
          <w:szCs w:val="20"/>
          <w:color w:val="auto"/>
        </w:rPr>
      </w:pPr>
      <w:r>
        <w:rPr>
          <w:rFonts w:ascii="Arial" w:cs="Arial" w:eastAsia="Arial" w:hAnsi="Arial"/>
          <w:sz w:val="16"/>
          <w:szCs w:val="16"/>
          <w:color w:val="auto"/>
        </w:rPr>
        <w:t>To the extent an amount would be included in a Non-Australian Holder’s assessable income under both the capital gains tax provisions and the ordinary income provisions, the capital gain amount may be reduced, so that the holder may not be subject to double Australian tax on any part of the gain.</w:t>
      </w:r>
    </w:p>
    <w:p>
      <w:pPr>
        <w:spacing w:after="0" w:line="136"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The statements under “—Tax on Sales or Other Dispositions of Shares—Capital Gains Tax” regarding a purchaser being required to withhold 12.5% tax on the acquisition of certain taxable Australian property are also relevant where the disposal of the ADSs by a Non-Australian Holder is likely to generate gains on revenue account, rather than a capital gain.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Dual Residency</w:t>
      </w:r>
    </w:p>
    <w:p>
      <w:pPr>
        <w:spacing w:after="0" w:line="22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If a holder of ADSs is a resident of both Australia and the United States under those countries’ domestic taxation laws, that holder may be subject to tax as an Australian resident. If, however, the holder is determined to be a U.S. resident for the purposes of the Double Taxation Convention between the United States and Australia and qualifies for the benefit of that treaty, the Australian tax may be subject to limitation by the Double Taxation Convention. Holders should obtain specialist taxation advice in these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Stamp Duty</w:t>
      </w:r>
    </w:p>
    <w:p>
      <w:pPr>
        <w:spacing w:after="0" w:line="220"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No Australian stamp duty is payable by Australian residents or non-Australian residents on the issue, transfer and/or surrender of the ADSs or ordinary shares, provided that the securities issued, transferred and/or surrendered do not represent 90% or more of our issued shares.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i w:val="1"/>
          <w:iCs w:val="1"/>
          <w:color w:val="auto"/>
        </w:rPr>
        <w:t>Australian Death Duty</w:t>
      </w:r>
    </w:p>
    <w:p>
      <w:pPr>
        <w:spacing w:after="0" w:line="220"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Goods and Services Tax</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 Australian goods and services tax will be payable on the supply of the ADSs or ordinary shares.</w:t>
      </w:r>
    </w:p>
    <w:p>
      <w:pPr>
        <w:spacing w:after="0" w:line="214"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b w:val="1"/>
          <w:bCs w:val="1"/>
          <w:color w:val="auto"/>
        </w:rPr>
        <w:t>THE DISCUSSION ABOVE IS A SUMMARY OF THE AUSTRALIAN TAX CONSEQUENCES OF AN INVESTMENT IN OUR ORDINARY SHARES OR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10F. Dividends and Paying Agents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10G. Statement by Experts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10H. Documents on Display</w:t>
      </w:r>
    </w:p>
    <w:p>
      <w:pPr>
        <w:spacing w:after="0" w:line="226"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spacing w:after="0" w:line="16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SEC maintains a website (www.sec.gov) that contains reports, proxy and information statements and other information regarding registrants, such as us, that file electronically with the SEC. 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17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We maintain a corporate website at www.opthea.com. Information contained on, or that can be accessed through, our website does not constitute a part of this annual report and our website address is included herein as an inactive textual reference only.</w:t>
      </w:r>
    </w:p>
    <w:p>
      <w:pPr>
        <w:spacing w:after="0" w:line="15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10I.</w:t>
      </w:r>
      <w:r>
        <w:rPr>
          <w:sz w:val="20"/>
          <w:szCs w:val="20"/>
          <w:color w:val="auto"/>
        </w:rPr>
        <w:tab/>
      </w:r>
      <w:r>
        <w:rPr>
          <w:rFonts w:ascii="Arial" w:cs="Arial" w:eastAsia="Arial" w:hAnsi="Arial"/>
          <w:sz w:val="15"/>
          <w:szCs w:val="15"/>
          <w:b w:val="1"/>
          <w:bCs w:val="1"/>
          <w:color w:val="auto"/>
        </w:rPr>
        <w:t>Subsidiary Information</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required.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b w:val="1"/>
          <w:bCs w:val="1"/>
          <w:color w:val="auto"/>
        </w:rPr>
        <w:t>Item 11.Quantitative and Qualitative Disclosures about Market Risk</w:t>
      </w:r>
    </w:p>
    <w:p>
      <w:pPr>
        <w:spacing w:after="0" w:line="22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For information about our exposure to market risk and how we manage this risk, see “Item 5E—Critical Accounting Estimates— Qualitative and Quantitative Disclosures about Market Risk.”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12.Description of Securities Other than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12A. Debt Securities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12B. Warrants and Rights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12C. Other Securities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12D. American Depositary Shares</w:t>
      </w:r>
    </w:p>
    <w:p>
      <w:pPr>
        <w:spacing w:after="0" w:line="226"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Bank of New York Mellon, as depositary, registers and delivers American Depositary Shares, or ADSs. Each ADS represents eight ordinary shares (or a right to receive eight ordinary shares) deposited with HSBC Bank Australia Limited, as custodian for the depositary in Australia.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You may hold ADSs either (A) directly (i) by having an ADR, which is a certificate evidencing a specific number of ADSs, registered in your name, or</w:t>
      </w:r>
    </w:p>
    <w:p>
      <w:pPr>
        <w:spacing w:after="0" w:line="36" w:lineRule="exact"/>
        <w:rPr>
          <w:sz w:val="20"/>
          <w:szCs w:val="20"/>
          <w:color w:val="auto"/>
        </w:rPr>
      </w:pPr>
    </w:p>
    <w:p>
      <w:pPr>
        <w:jc w:val="both"/>
        <w:ind w:firstLine="4"/>
        <w:spacing w:after="0" w:line="259" w:lineRule="auto"/>
        <w:tabs>
          <w:tab w:leader="none" w:pos="268" w:val="left"/>
        </w:tabs>
        <w:numPr>
          <w:ilvl w:val="0"/>
          <w:numId w:val="87"/>
        </w:numPr>
        <w:rPr>
          <w:rFonts w:ascii="Arial" w:cs="Arial" w:eastAsia="Arial" w:hAnsi="Arial"/>
          <w:sz w:val="17"/>
          <w:szCs w:val="17"/>
          <w:color w:val="auto"/>
        </w:rPr>
      </w:pPr>
      <w:r>
        <w:rPr>
          <w:rFonts w:ascii="Arial" w:cs="Arial" w:eastAsia="Arial" w:hAnsi="Arial"/>
          <w:sz w:val="17"/>
          <w:szCs w:val="17"/>
          <w:color w:val="auto"/>
        </w:rPr>
        <w:t>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Registered holders of uncertificated ADSs receive statements from the depositary confirming their holdings.</w:t>
      </w:r>
    </w:p>
    <w:p>
      <w:pPr>
        <w:spacing w:after="0" w:line="22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As an ADS holder, you are not treated as one of our shareholders and you do not have shareholder rights. Australian law governs shareholder rights. The depositary is the holder of the shares underlying your ADSs. As a registered holder of ADSs, you have ADS holder rights. The amended and restated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color w:val="auto"/>
        </w:rPr>
        <w:t>Fees and Expenses</w:t>
      </w:r>
    </w:p>
    <w:p>
      <w:pPr>
        <w:spacing w:after="0" w:line="226"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The following table shows the fees and charges that a holder of our ADSs may have to pay, either directly or indirectly. The majority of these costs are set by the depositary bank and are subject to change: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00" w:type="dxa"/>
            <w:vAlign w:val="bottom"/>
            <w:gridSpan w:val="2"/>
          </w:tcPr>
          <w:p>
            <w:pPr>
              <w:spacing w:after="0"/>
              <w:rPr>
                <w:sz w:val="20"/>
                <w:szCs w:val="20"/>
                <w:color w:val="auto"/>
              </w:rPr>
            </w:pPr>
            <w:r>
              <w:rPr>
                <w:rFonts w:ascii="Arial" w:cs="Arial" w:eastAsia="Arial" w:hAnsi="Arial"/>
                <w:sz w:val="17"/>
                <w:szCs w:val="17"/>
                <w:b w:val="1"/>
                <w:bCs w:val="1"/>
                <w:color w:val="auto"/>
              </w:rPr>
              <w:t>Persons depositing or withdrawing shares or ADS holders must pay:</w:t>
            </w:r>
          </w:p>
        </w:tc>
        <w:tc>
          <w:tcPr>
            <w:tcW w:w="3940" w:type="dxa"/>
            <w:vAlign w:val="bottom"/>
          </w:tcPr>
          <w:p>
            <w:pPr>
              <w:spacing w:after="0"/>
              <w:rPr>
                <w:sz w:val="20"/>
                <w:szCs w:val="20"/>
                <w:color w:val="auto"/>
              </w:rPr>
            </w:pPr>
            <w:r>
              <w:rPr>
                <w:rFonts w:ascii="Arial" w:cs="Arial" w:eastAsia="Arial" w:hAnsi="Arial"/>
                <w:sz w:val="17"/>
                <w:szCs w:val="17"/>
                <w:b w:val="1"/>
                <w:bCs w:val="1"/>
                <w:color w:val="auto"/>
              </w:rPr>
              <w:t>For:</w:t>
            </w:r>
          </w:p>
        </w:tc>
      </w:tr>
      <w:tr>
        <w:trPr>
          <w:trHeight w:val="189"/>
        </w:trPr>
        <w:tc>
          <w:tcPr>
            <w:tcW w:w="7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US$5.00 (or less) per 100 ADSs (or portion of 100 ADSs)</w:t>
            </w:r>
          </w:p>
        </w:tc>
        <w:tc>
          <w:tcPr>
            <w:tcW w:w="120" w:type="dxa"/>
            <w:vAlign w:val="bottom"/>
            <w:tcBorders>
              <w:top w:val="single" w:sz="8" w:color="CCEEFF"/>
            </w:tcBorders>
            <w:shd w:val="clear" w:color="auto" w:fill="CCEEFF"/>
          </w:tcPr>
          <w:p>
            <w:pPr>
              <w:spacing w:after="0"/>
              <w:rPr>
                <w:sz w:val="16"/>
                <w:szCs w:val="16"/>
                <w:color w:val="auto"/>
              </w:rPr>
            </w:pPr>
          </w:p>
        </w:tc>
        <w:tc>
          <w:tcPr>
            <w:tcW w:w="39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Issuance of ADSs, including issuances resulting from a</w:t>
            </w:r>
          </w:p>
        </w:tc>
      </w:tr>
      <w:tr>
        <w:trPr>
          <w:trHeight w:val="220"/>
        </w:trPr>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distribution of shares or rights or other property</w:t>
            </w:r>
          </w:p>
        </w:tc>
      </w:tr>
      <w:tr>
        <w:trPr>
          <w:trHeight w:val="403"/>
        </w:trPr>
        <w:tc>
          <w:tcPr>
            <w:tcW w:w="7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Cancellation of ADSs for the purpose of withdrawal,</w:t>
            </w:r>
          </w:p>
        </w:tc>
      </w:tr>
      <w:tr>
        <w:trPr>
          <w:trHeight w:val="220"/>
        </w:trPr>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including if the deposit agreement terminates</w:t>
            </w:r>
          </w:p>
        </w:tc>
      </w:tr>
      <w:tr>
        <w:trPr>
          <w:trHeight w:val="208"/>
        </w:trPr>
        <w:tc>
          <w:tcPr>
            <w:tcW w:w="7300" w:type="dxa"/>
            <w:vAlign w:val="bottom"/>
            <w:gridSpan w:val="2"/>
          </w:tcPr>
          <w:p>
            <w:pPr>
              <w:spacing w:after="0"/>
              <w:rPr>
                <w:sz w:val="20"/>
                <w:szCs w:val="20"/>
                <w:color w:val="auto"/>
              </w:rPr>
            </w:pPr>
            <w:r>
              <w:rPr>
                <w:rFonts w:ascii="Arial" w:cs="Arial" w:eastAsia="Arial" w:hAnsi="Arial"/>
                <w:sz w:val="17"/>
                <w:szCs w:val="17"/>
                <w:color w:val="auto"/>
              </w:rPr>
              <w:t>US$0.05 (or less) per ADS</w:t>
            </w:r>
          </w:p>
        </w:tc>
        <w:tc>
          <w:tcPr>
            <w:tcW w:w="3940" w:type="dxa"/>
            <w:vAlign w:val="bottom"/>
          </w:tcPr>
          <w:p>
            <w:pPr>
              <w:spacing w:after="0"/>
              <w:rPr>
                <w:sz w:val="20"/>
                <w:szCs w:val="20"/>
                <w:color w:val="auto"/>
              </w:rPr>
            </w:pPr>
            <w:r>
              <w:rPr>
                <w:rFonts w:ascii="Arial" w:cs="Arial" w:eastAsia="Arial" w:hAnsi="Arial"/>
                <w:sz w:val="17"/>
                <w:szCs w:val="17"/>
                <w:color w:val="auto"/>
              </w:rPr>
              <w:t>Any cash distribution to ADS holders</w:t>
            </w:r>
          </w:p>
        </w:tc>
      </w:tr>
      <w:tr>
        <w:trPr>
          <w:trHeight w:val="196"/>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A fee equivalent to the fee that would be payable if securities distributed to you had been shares and</w:t>
            </w: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Distribution of securities distributed to holders of</w:t>
            </w:r>
          </w:p>
        </w:tc>
      </w:tr>
      <w:tr>
        <w:trPr>
          <w:trHeight w:val="208"/>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shares had been deposited for issuance of ADSs</w:t>
            </w: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deposited securities (including rights) that are</w:t>
            </w:r>
          </w:p>
        </w:tc>
      </w:tr>
      <w:tr>
        <w:trPr>
          <w:trHeight w:val="220"/>
        </w:trPr>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distributed by the depositary to ADS holders</w:t>
            </w:r>
          </w:p>
        </w:tc>
      </w:tr>
      <w:tr>
        <w:trPr>
          <w:trHeight w:val="208"/>
        </w:trPr>
        <w:tc>
          <w:tcPr>
            <w:tcW w:w="7300" w:type="dxa"/>
            <w:vAlign w:val="bottom"/>
            <w:gridSpan w:val="2"/>
          </w:tcPr>
          <w:p>
            <w:pPr>
              <w:spacing w:after="0"/>
              <w:rPr>
                <w:sz w:val="20"/>
                <w:szCs w:val="20"/>
                <w:color w:val="auto"/>
              </w:rPr>
            </w:pPr>
            <w:r>
              <w:rPr>
                <w:rFonts w:ascii="Arial" w:cs="Arial" w:eastAsia="Arial" w:hAnsi="Arial"/>
                <w:sz w:val="17"/>
                <w:szCs w:val="17"/>
                <w:color w:val="auto"/>
              </w:rPr>
              <w:t>US$0.05 (or less) per ADS per calendar year</w:t>
            </w:r>
          </w:p>
        </w:tc>
        <w:tc>
          <w:tcPr>
            <w:tcW w:w="3940" w:type="dxa"/>
            <w:vAlign w:val="bottom"/>
          </w:tcPr>
          <w:p>
            <w:pPr>
              <w:spacing w:after="0"/>
              <w:rPr>
                <w:sz w:val="20"/>
                <w:szCs w:val="20"/>
                <w:color w:val="auto"/>
              </w:rPr>
            </w:pPr>
            <w:r>
              <w:rPr>
                <w:rFonts w:ascii="Arial" w:cs="Arial" w:eastAsia="Arial" w:hAnsi="Arial"/>
                <w:sz w:val="17"/>
                <w:szCs w:val="17"/>
                <w:color w:val="auto"/>
              </w:rPr>
              <w:t>Depositary services</w:t>
            </w:r>
          </w:p>
        </w:tc>
      </w:tr>
      <w:tr>
        <w:trPr>
          <w:trHeight w:val="196"/>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Registration or transfer fees</w:t>
            </w: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w w:val="93"/>
              </w:rPr>
              <w:t>Transfer and registration of shares on our share register</w:t>
            </w:r>
          </w:p>
        </w:tc>
      </w:tr>
      <w:tr>
        <w:trPr>
          <w:trHeight w:val="208"/>
        </w:trPr>
        <w:tc>
          <w:tcPr>
            <w:tcW w:w="7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w w:val="94"/>
              </w:rPr>
              <w:t>to or from the name of the depositary or its agent when</w:t>
            </w:r>
          </w:p>
        </w:tc>
      </w:tr>
      <w:tr>
        <w:trPr>
          <w:trHeight w:val="220"/>
        </w:trPr>
        <w:tc>
          <w:tcPr>
            <w:tcW w:w="7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you deposit or withdraw shares</w:t>
            </w:r>
          </w:p>
        </w:tc>
      </w:tr>
      <w:tr>
        <w:trPr>
          <w:trHeight w:val="196"/>
        </w:trPr>
        <w:tc>
          <w:tcPr>
            <w:tcW w:w="7300" w:type="dxa"/>
            <w:vAlign w:val="bottom"/>
            <w:gridSpan w:val="2"/>
          </w:tcPr>
          <w:p>
            <w:pPr>
              <w:spacing w:after="0"/>
              <w:rPr>
                <w:sz w:val="20"/>
                <w:szCs w:val="20"/>
                <w:color w:val="auto"/>
              </w:rPr>
            </w:pPr>
            <w:r>
              <w:rPr>
                <w:rFonts w:ascii="Arial" w:cs="Arial" w:eastAsia="Arial" w:hAnsi="Arial"/>
                <w:sz w:val="17"/>
                <w:szCs w:val="17"/>
                <w:color w:val="auto"/>
              </w:rPr>
              <w:t>Expenses of the depositary</w:t>
            </w:r>
          </w:p>
        </w:tc>
        <w:tc>
          <w:tcPr>
            <w:tcW w:w="3940" w:type="dxa"/>
            <w:vAlign w:val="bottom"/>
          </w:tcPr>
          <w:p>
            <w:pPr>
              <w:spacing w:after="0"/>
              <w:rPr>
                <w:sz w:val="20"/>
                <w:szCs w:val="20"/>
                <w:color w:val="auto"/>
              </w:rPr>
            </w:pPr>
            <w:r>
              <w:rPr>
                <w:rFonts w:ascii="Arial" w:cs="Arial" w:eastAsia="Arial" w:hAnsi="Arial"/>
                <w:sz w:val="17"/>
                <w:szCs w:val="17"/>
                <w:color w:val="auto"/>
                <w:w w:val="98"/>
              </w:rPr>
              <w:t>Cable (including SWIFT) and facsimile transmissions</w:t>
            </w:r>
          </w:p>
        </w:tc>
      </w:tr>
      <w:tr>
        <w:trPr>
          <w:trHeight w:val="208"/>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(when expressly provided in the deposit agreement)</w:t>
            </w:r>
          </w:p>
        </w:tc>
      </w:tr>
      <w:tr>
        <w:trPr>
          <w:trHeight w:val="220"/>
        </w:trPr>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Converting foreign currency to U.S. dollars</w:t>
            </w:r>
          </w:p>
        </w:tc>
      </w:tr>
      <w:tr>
        <w:trPr>
          <w:trHeight w:val="196"/>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Taxes and other governmental charges the depositary or the custodian has to pay on any ADSs or</w:t>
            </w: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As necessary</w:t>
            </w:r>
          </w:p>
        </w:tc>
      </w:tr>
      <w:tr>
        <w:trPr>
          <w:trHeight w:val="220"/>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underlying ADSs, such as stock transfer taxes, stamp duty or withholding taxes</w:t>
            </w:r>
          </w:p>
        </w:tc>
        <w:tc>
          <w:tcPr>
            <w:tcW w:w="3940" w:type="dxa"/>
            <w:vAlign w:val="bottom"/>
            <w:shd w:val="clear" w:color="auto" w:fill="CCEEFF"/>
          </w:tcPr>
          <w:p>
            <w:pPr>
              <w:spacing w:after="0"/>
              <w:rPr>
                <w:sz w:val="19"/>
                <w:szCs w:val="19"/>
                <w:color w:val="auto"/>
              </w:rPr>
            </w:pPr>
          </w:p>
        </w:tc>
      </w:tr>
      <w:tr>
        <w:trPr>
          <w:trHeight w:val="220"/>
        </w:trPr>
        <w:tc>
          <w:tcPr>
            <w:tcW w:w="7300" w:type="dxa"/>
            <w:vAlign w:val="bottom"/>
            <w:gridSpan w:val="2"/>
          </w:tcPr>
          <w:p>
            <w:pPr>
              <w:spacing w:after="0"/>
              <w:rPr>
                <w:sz w:val="20"/>
                <w:szCs w:val="20"/>
                <w:color w:val="auto"/>
              </w:rPr>
            </w:pPr>
            <w:r>
              <w:rPr>
                <w:rFonts w:ascii="Arial" w:cs="Arial" w:eastAsia="Arial" w:hAnsi="Arial"/>
                <w:sz w:val="17"/>
                <w:szCs w:val="17"/>
                <w:color w:val="auto"/>
              </w:rPr>
              <w:t>Any charges incurred by the depositary or its agents for servicing the deposited securities</w:t>
            </w:r>
          </w:p>
        </w:tc>
        <w:tc>
          <w:tcPr>
            <w:tcW w:w="3940" w:type="dxa"/>
            <w:vAlign w:val="bottom"/>
          </w:tcPr>
          <w:p>
            <w:pPr>
              <w:spacing w:after="0"/>
              <w:rPr>
                <w:sz w:val="20"/>
                <w:szCs w:val="20"/>
                <w:color w:val="auto"/>
              </w:rPr>
            </w:pPr>
            <w:r>
              <w:rPr>
                <w:rFonts w:ascii="Arial" w:cs="Arial" w:eastAsia="Arial" w:hAnsi="Arial"/>
                <w:sz w:val="17"/>
                <w:szCs w:val="17"/>
                <w:color w:val="auto"/>
              </w:rPr>
              <w:t>As necessary</w:t>
            </w:r>
          </w:p>
        </w:tc>
      </w:tr>
    </w:tbl>
    <w:p>
      <w:pPr>
        <w:spacing w:after="0" w:line="391" w:lineRule="exact"/>
        <w:rPr>
          <w:sz w:val="20"/>
          <w:szCs w:val="20"/>
          <w:color w:val="auto"/>
        </w:rPr>
      </w:pPr>
    </w:p>
    <w:p>
      <w:pPr>
        <w:jc w:val="both"/>
        <w:ind w:firstLine="433"/>
        <w:spacing w:after="0" w:line="280"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67"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6"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156" w:name="page157"/>
    <w:bookmarkEnd w:id="156"/>
    <w:p>
      <w:pPr>
        <w:jc w:val="both"/>
        <w:spacing w:after="0" w:line="276" w:lineRule="auto"/>
        <w:rPr>
          <w:sz w:val="20"/>
          <w:szCs w:val="20"/>
          <w:color w:val="auto"/>
        </w:rPr>
      </w:pPr>
      <w:r>
        <w:rPr>
          <w:rFonts w:ascii="Arial" w:cs="Arial" w:eastAsia="Arial" w:hAnsi="Arial"/>
          <w:sz w:val="16"/>
          <w:szCs w:val="16"/>
          <w:color w:val="auto"/>
        </w:rPr>
        <w:t>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United States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Taxes</w:t>
      </w:r>
    </w:p>
    <w:p>
      <w:pPr>
        <w:spacing w:after="0" w:line="226" w:lineRule="exact"/>
        <w:rPr>
          <w:sz w:val="20"/>
          <w:szCs w:val="20"/>
          <w:color w:val="auto"/>
        </w:rPr>
      </w:pPr>
    </w:p>
    <w:p>
      <w:pPr>
        <w:jc w:val="both"/>
        <w:ind w:firstLine="433"/>
        <w:spacing w:after="0" w:line="260" w:lineRule="auto"/>
        <w:rPr>
          <w:sz w:val="20"/>
          <w:szCs w:val="20"/>
          <w:color w:val="auto"/>
        </w:rPr>
      </w:pPr>
      <w:r>
        <w:rPr>
          <w:rFonts w:ascii="Arial" w:cs="Arial" w:eastAsia="Arial" w:hAnsi="Arial"/>
          <w:sz w:val="17"/>
          <w:szCs w:val="17"/>
          <w:color w:val="auto"/>
        </w:rPr>
        <w:t>ADS holders are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Your obligation to pay taxes and indemnify us and the depository against any tax claims will survive the transfer or surrender of your ADSs, the withdrawal of the deposited ordinary shares as well as the termination of the deposit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Exhibit 2.3:”Description of Securities” for additional information on the ADSs.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13.Defaults, Dividend Arrearages and Delinquencies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Use of Proceeds</w:t>
      </w:r>
    </w:p>
    <w:p>
      <w:pPr>
        <w:spacing w:after="0" w:line="12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In October 2020, we closed a U.S. initial public offering of 68,506,400 ordinary shares in the form of American Depositary Shares, or ADSs, each representing eight ordinary shares, at an offering price of US$13.50 per ADS for aggregate gross proceeds to us of approximately US$128.2 million. The net offering proceeds to us, after deducting underwriting discounts and commissions and offering expenses, were approximately US$116 million. The offering commenced on October 11, 2020 and did not terminate before all of the securities registered in the registration statement were sold. The effective date of the registration statement–on Form F-1 (File No. 333-249020) for the offering was October 16, 2020.</w:t>
      </w:r>
    </w:p>
    <w:p>
      <w:pPr>
        <w:spacing w:after="0" w:line="180"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Citigroup Global Markets Inc. and SVB Leerink LLC acted as joint book-running managers for the offering. Oppenheimer &amp; Co. and Truist Securities acted as lead managers for the offering.</w:t>
      </w:r>
    </w:p>
    <w:p>
      <w:pPr>
        <w:spacing w:after="0" w:line="159"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The net proceeds from our offering have been used, and are expected to continue to be used, as described in the final prospectus for the offering filed with the U.S. Securities and Exchange Commission on October 19, 2020.</w:t>
      </w:r>
    </w:p>
    <w:p>
      <w:pPr>
        <w:spacing w:after="0" w:line="159"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None of the net proceeds of our initial public offering were paid directly or indirectly to any director, officer, general partner of ours or to their associates, persons owning ten percent or more of any class of our equity securities, or to any of our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15.Controls and Procedures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Disclosure Controls and Procedures</w:t>
      </w:r>
    </w:p>
    <w:p>
      <w:pPr>
        <w:spacing w:after="0" w:line="122" w:lineRule="exact"/>
        <w:rPr>
          <w:sz w:val="20"/>
          <w:szCs w:val="20"/>
          <w:color w:val="auto"/>
        </w:rPr>
      </w:pPr>
    </w:p>
    <w:p>
      <w:pPr>
        <w:jc w:val="both"/>
        <w:ind w:firstLine="433"/>
        <w:spacing w:after="0" w:line="280"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Our management, with the participation of our Principal Executive Officer and Principal Financial Officer, has evaluated the effectiveness of our disclosure controls and procedures (as defined in Exchange Act Rules 13a-15(e) and 15d-15(e)) as of June 30, 2021. Based on such evaluation, our Principal Executive Officer and Principal Financial Officer have concluded that, as of June 30, 2021, our disclosure controls and procedures were effective.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Management’s Annual Report on Internal Control Over Financial Reporting</w:t>
      </w:r>
    </w:p>
    <w:p>
      <w:pPr>
        <w:spacing w:after="0" w:line="226"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due to a transition period established by the SEC’s rules for newly public companies.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87" w:lineRule="exact"/>
        <w:rPr>
          <w:sz w:val="20"/>
          <w:szCs w:val="20"/>
          <w:color w:val="auto"/>
        </w:rPr>
      </w:pPr>
    </w:p>
    <w:p>
      <w:pPr>
        <w:jc w:val="both"/>
        <w:ind w:firstLine="918"/>
        <w:spacing w:after="0" w:line="261" w:lineRule="auto"/>
        <w:rPr>
          <w:sz w:val="20"/>
          <w:szCs w:val="20"/>
          <w:color w:val="auto"/>
        </w:rPr>
      </w:pPr>
      <w:r>
        <w:rPr>
          <w:rFonts w:ascii="Arial" w:cs="Arial" w:eastAsia="Arial" w:hAnsi="Arial"/>
          <w:sz w:val="17"/>
          <w:szCs w:val="17"/>
          <w:color w:val="auto"/>
        </w:rPr>
        <w:t>Prior to our initial public offering, we were a private company with limited accounting personnel and other resources to address our internal control and procedures over financial reporting. In the course of auditing our consolidated financial statements for the year ended June 30, 2020, we and our independent registered public accounting firm identified one material weakness in our internal control over financial reporting and other control deficiencies as of June 30, 2020. As defined in the standards established by the U.S. Public Company Accounting Oversight Board,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58" w:name="page159"/>
    <w:bookmarkEnd w:id="158"/>
    <w:p>
      <w:pPr>
        <w:ind w:left="860"/>
        <w:spacing w:after="0"/>
        <w:rPr>
          <w:sz w:val="20"/>
          <w:szCs w:val="20"/>
          <w:color w:val="auto"/>
        </w:rPr>
      </w:pPr>
      <w:r>
        <w:rPr>
          <w:rFonts w:ascii="Arial" w:cs="Arial" w:eastAsia="Arial" w:hAnsi="Arial"/>
          <w:sz w:val="17"/>
          <w:szCs w:val="17"/>
          <w:color w:val="auto"/>
        </w:rPr>
        <w:t>The material weakness identified related to our lack of accounting personnel with appropriate knowledge of SEC Reporting.</w:t>
      </w:r>
    </w:p>
    <w:p>
      <w:pPr>
        <w:spacing w:after="0" w:line="181" w:lineRule="exact"/>
        <w:rPr>
          <w:sz w:val="20"/>
          <w:szCs w:val="20"/>
          <w:color w:val="auto"/>
        </w:rPr>
      </w:pPr>
    </w:p>
    <w:p>
      <w:pPr>
        <w:jc w:val="both"/>
        <w:ind w:firstLine="918"/>
        <w:spacing w:after="0" w:line="318" w:lineRule="auto"/>
        <w:rPr>
          <w:sz w:val="20"/>
          <w:szCs w:val="20"/>
          <w:color w:val="auto"/>
        </w:rPr>
      </w:pPr>
      <w:r>
        <w:rPr>
          <w:rFonts w:ascii="Arial" w:cs="Arial" w:eastAsia="Arial" w:hAnsi="Arial"/>
          <w:sz w:val="16"/>
          <w:szCs w:val="16"/>
          <w:color w:val="auto"/>
        </w:rPr>
        <w:t>As of the date of this annual report, we have taken several remedial measures to address the material weakness. In May 2021, we appointed Ms Adams as our Vice President Finance. Ms Adams is an Australian certified public accountant and has extensive U.S. and SEC reporting knowledge.</w:t>
      </w:r>
    </w:p>
    <w:p>
      <w:pPr>
        <w:spacing w:after="0" w:line="110" w:lineRule="exact"/>
        <w:rPr>
          <w:sz w:val="20"/>
          <w:szCs w:val="20"/>
          <w:color w:val="auto"/>
        </w:rPr>
      </w:pPr>
    </w:p>
    <w:p>
      <w:pPr>
        <w:jc w:val="both"/>
        <w:ind w:firstLine="918"/>
        <w:spacing w:after="0" w:line="285" w:lineRule="auto"/>
        <w:rPr>
          <w:sz w:val="20"/>
          <w:szCs w:val="20"/>
          <w:color w:val="auto"/>
        </w:rPr>
      </w:pPr>
      <w:r>
        <w:rPr>
          <w:rFonts w:ascii="Arial" w:cs="Arial" w:eastAsia="Arial" w:hAnsi="Arial"/>
          <w:sz w:val="17"/>
          <w:szCs w:val="17"/>
          <w:color w:val="auto"/>
        </w:rPr>
        <w:t>As such our management concluded that the material weakness as of June 30, 2020 relating to the lack of sufficient accounting personnel with appropriate knowledge of SEC reporting requirements has been remediated as of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Attestation Report of the Registered Public Accounting Firm</w:t>
      </w:r>
    </w:p>
    <w:p>
      <w:pPr>
        <w:spacing w:after="0" w:line="12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due to a transition period established by the SEC’s rules for emerging growth companies.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Changes in Internal Control Over Financial Reporting</w:t>
      </w:r>
    </w:p>
    <w:p>
      <w:pPr>
        <w:spacing w:after="0" w:line="122"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We have disclosed changes to our internal control over financial reporting during the fiscal year ended June 30, 2021 that has materially affected, or is reasonably likely to materially affect, our internal control over financial reporting above.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16A.Audit Committee Financial Expert</w:t>
      </w:r>
    </w:p>
    <w:p>
      <w:pPr>
        <w:spacing w:after="0" w:line="330" w:lineRule="exact"/>
        <w:rPr>
          <w:sz w:val="20"/>
          <w:szCs w:val="20"/>
          <w:color w:val="auto"/>
        </w:rPr>
      </w:pPr>
    </w:p>
    <w:p>
      <w:pPr>
        <w:jc w:val="both"/>
        <w:ind w:firstLine="433"/>
        <w:spacing w:after="0" w:line="261" w:lineRule="auto"/>
        <w:rPr>
          <w:sz w:val="20"/>
          <w:szCs w:val="20"/>
          <w:color w:val="auto"/>
        </w:rPr>
      </w:pPr>
      <w:r>
        <w:rPr>
          <w:rFonts w:ascii="Arial" w:cs="Arial" w:eastAsia="Arial" w:hAnsi="Arial"/>
          <w:sz w:val="17"/>
          <w:szCs w:val="17"/>
          <w:color w:val="auto"/>
        </w:rPr>
        <w:t>The members of our Audit and Risk Committee are Ms. Judith Robertson and Messrs. Michael Sistenich and Daniel Spiegelman. Our board of directors has determined that each of Ms. Robertson and Messrs. Sistenich and Spiegelman satisfies the independence requirements under Nasdaq listing standards and Rule 10A-3(b)(1) of the Exchange Act. The chairperson of our Audit and Risk Committee is Mr. Spiegelman. Our board of directors has determined that Mr. Spiegelman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16B.Code of Ethics</w:t>
      </w:r>
    </w:p>
    <w:p>
      <w:pPr>
        <w:spacing w:after="0" w:line="33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annual report.</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16C.Principal Accountant Fees and Services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Fees Paid to Independent Public Accountants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for each of the years indicated, the fees billed by Deloitte Touche Tohmatsu.</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June 30,</w:t>
            </w: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36"/>
              <w:spacing w:after="0" w:line="149"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6"/>
              <w:spacing w:after="0" w:line="14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 )</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21"/>
        </w:trPr>
        <w:tc>
          <w:tcPr>
            <w:tcW w:w="170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7"/>
                <w:szCs w:val="17"/>
                <w:color w:val="auto"/>
              </w:rPr>
              <w:t>Audit Fees</w:t>
            </w:r>
          </w:p>
        </w:tc>
        <w:tc>
          <w:tcPr>
            <w:tcW w:w="2520" w:type="dxa"/>
            <w:vAlign w:val="bottom"/>
            <w:gridSpan w:val="2"/>
            <w:shd w:val="clear" w:color="auto" w:fill="CFF0FC"/>
          </w:tcPr>
          <w:p>
            <w:pPr>
              <w:ind w:left="1820"/>
              <w:spacing w:after="0"/>
              <w:rPr>
                <w:sz w:val="20"/>
                <w:szCs w:val="20"/>
                <w:color w:val="auto"/>
              </w:rPr>
            </w:pPr>
            <w:r>
              <w:rPr>
                <w:rFonts w:ascii="Arial" w:cs="Arial" w:eastAsia="Arial" w:hAnsi="Arial"/>
                <w:sz w:val="17"/>
                <w:szCs w:val="17"/>
                <w:color w:val="auto"/>
              </w:rPr>
              <w:t>A$</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615</w:t>
            </w:r>
          </w:p>
        </w:tc>
        <w:tc>
          <w:tcPr>
            <w:tcW w:w="340" w:type="dxa"/>
            <w:vAlign w:val="bottom"/>
            <w:shd w:val="clear" w:color="auto" w:fill="CFF0FC"/>
          </w:tcPr>
          <w:p>
            <w:pPr>
              <w:ind w:left="40"/>
              <w:spacing w:after="0"/>
              <w:rPr>
                <w:sz w:val="20"/>
                <w:szCs w:val="20"/>
                <w:color w:val="auto"/>
              </w:rPr>
            </w:pPr>
            <w:r>
              <w:rPr>
                <w:rFonts w:ascii="Arial" w:cs="Arial" w:eastAsia="Arial" w:hAnsi="Arial"/>
                <w:sz w:val="17"/>
                <w:szCs w:val="17"/>
                <w:color w:val="auto"/>
              </w:rPr>
              <w:t>A$</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1"/>
        </w:trPr>
        <w:tc>
          <w:tcPr>
            <w:tcW w:w="4260" w:type="dxa"/>
            <w:vAlign w:val="bottom"/>
            <w:gridSpan w:val="2"/>
          </w:tcPr>
          <w:p>
            <w:pPr>
              <w:ind w:left="1700"/>
              <w:spacing w:after="0"/>
              <w:rPr>
                <w:sz w:val="20"/>
                <w:szCs w:val="20"/>
                <w:color w:val="auto"/>
              </w:rPr>
            </w:pPr>
            <w:r>
              <w:rPr>
                <w:rFonts w:ascii="Arial" w:cs="Arial" w:eastAsia="Arial" w:hAnsi="Arial"/>
                <w:sz w:val="17"/>
                <w:szCs w:val="17"/>
                <w:color w:val="auto"/>
              </w:rPr>
              <w:t>Audit-Related Fees</w:t>
            </w:r>
          </w:p>
        </w:tc>
        <w:tc>
          <w:tcPr>
            <w:tcW w:w="1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9"/>
                <w:szCs w:val="19"/>
                <w:color w:val="auto"/>
              </w:rPr>
            </w:pPr>
          </w:p>
        </w:tc>
      </w:tr>
      <w:tr>
        <w:trPr>
          <w:trHeight w:val="221"/>
        </w:trPr>
        <w:tc>
          <w:tcPr>
            <w:tcW w:w="170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7"/>
                <w:szCs w:val="17"/>
                <w:color w:val="auto"/>
              </w:rPr>
              <w:t>Tax Fees</w:t>
            </w:r>
          </w:p>
        </w:tc>
        <w:tc>
          <w:tcPr>
            <w:tcW w:w="18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9"/>
                <w:szCs w:val="19"/>
                <w:color w:val="auto"/>
              </w:rPr>
            </w:pPr>
          </w:p>
        </w:tc>
      </w:tr>
      <w:tr>
        <w:trPr>
          <w:trHeight w:val="221"/>
        </w:trPr>
        <w:tc>
          <w:tcPr>
            <w:tcW w:w="4260" w:type="dxa"/>
            <w:vAlign w:val="bottom"/>
            <w:gridSpan w:val="2"/>
          </w:tcPr>
          <w:p>
            <w:pPr>
              <w:ind w:left="1700"/>
              <w:spacing w:after="0"/>
              <w:rPr>
                <w:sz w:val="20"/>
                <w:szCs w:val="20"/>
                <w:color w:val="auto"/>
              </w:rPr>
            </w:pPr>
            <w:r>
              <w:rPr>
                <w:rFonts w:ascii="Arial" w:cs="Arial" w:eastAsia="Arial" w:hAnsi="Arial"/>
                <w:sz w:val="17"/>
                <w:szCs w:val="17"/>
                <w:color w:val="auto"/>
              </w:rPr>
              <w:t>Other Fees</w:t>
            </w:r>
          </w:p>
        </w:tc>
        <w:tc>
          <w:tcPr>
            <w:tcW w:w="1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45</w:t>
            </w:r>
          </w:p>
        </w:tc>
        <w:tc>
          <w:tcPr>
            <w:tcW w:w="42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80" w:type="dxa"/>
            <w:vAlign w:val="bottom"/>
          </w:tcPr>
          <w:p>
            <w:pPr>
              <w:spacing w:after="0"/>
              <w:rPr>
                <w:sz w:val="19"/>
                <w:szCs w:val="19"/>
                <w:color w:val="auto"/>
              </w:rPr>
            </w:pPr>
          </w:p>
        </w:tc>
      </w:tr>
      <w:tr>
        <w:trPr>
          <w:trHeight w:val="221"/>
        </w:trPr>
        <w:tc>
          <w:tcPr>
            <w:tcW w:w="170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520" w:type="dxa"/>
            <w:vAlign w:val="bottom"/>
            <w:gridSpan w:val="2"/>
            <w:shd w:val="clear" w:color="auto" w:fill="CFF0FC"/>
          </w:tcPr>
          <w:p>
            <w:pPr>
              <w:ind w:left="1820"/>
              <w:spacing w:after="0"/>
              <w:rPr>
                <w:sz w:val="20"/>
                <w:szCs w:val="20"/>
                <w:color w:val="auto"/>
              </w:rPr>
            </w:pPr>
            <w:r>
              <w:rPr>
                <w:rFonts w:ascii="Arial" w:cs="Arial" w:eastAsia="Arial" w:hAnsi="Arial"/>
                <w:sz w:val="17"/>
                <w:szCs w:val="17"/>
                <w:color w:val="auto"/>
              </w:rPr>
              <w:t>A$</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4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w:t>
            </w:r>
          </w:p>
        </w:tc>
        <w:tc>
          <w:tcPr>
            <w:tcW w:w="8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615</w:t>
            </w:r>
          </w:p>
        </w:tc>
        <w:tc>
          <w:tcPr>
            <w:tcW w:w="340" w:type="dxa"/>
            <w:vAlign w:val="bottom"/>
            <w:shd w:val="clear" w:color="auto" w:fill="CFF0FC"/>
          </w:tcPr>
          <w:p>
            <w:pPr>
              <w:ind w:left="40"/>
              <w:spacing w:after="0"/>
              <w:rPr>
                <w:sz w:val="20"/>
                <w:szCs w:val="20"/>
                <w:color w:val="auto"/>
              </w:rPr>
            </w:pPr>
            <w:r>
              <w:rPr>
                <w:rFonts w:ascii="Arial" w:cs="Arial" w:eastAsia="Arial" w:hAnsi="Arial"/>
                <w:sz w:val="17"/>
                <w:szCs w:val="17"/>
                <w:color w:val="auto"/>
              </w:rPr>
              <w:t>A$</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624"/>
        </w:trPr>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tcPr>
          <w:p>
            <w:pPr>
              <w:jc w:val="right"/>
              <w:ind w:right="233"/>
              <w:spacing w:after="0"/>
              <w:rPr>
                <w:sz w:val="20"/>
                <w:szCs w:val="20"/>
                <w:color w:val="auto"/>
              </w:rPr>
            </w:pPr>
            <w:r>
              <w:rPr>
                <w:rFonts w:ascii="Arial" w:cs="Arial" w:eastAsia="Arial" w:hAnsi="Arial"/>
                <w:sz w:val="17"/>
                <w:szCs w:val="17"/>
                <w:color w:val="auto"/>
              </w:rPr>
              <w:t>159</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0"/>
        </w:trPr>
        <w:tc>
          <w:tcPr>
            <w:tcW w:w="17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9" w:name="page160"/>
    <w:bookmarkEnd w:id="159"/>
    <w:p>
      <w:pPr>
        <w:jc w:val="both"/>
        <w:ind w:firstLine="433"/>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 Fees</w:t>
      </w:r>
      <w:r>
        <w:rPr>
          <w:rFonts w:ascii="Arial" w:cs="Arial" w:eastAsia="Arial" w:hAnsi="Arial"/>
          <w:sz w:val="17"/>
          <w:szCs w:val="17"/>
          <w:color w:val="auto"/>
        </w:rPr>
        <w:t>” are the aggregate fees billed for the audit of our annual financial statements. This category also includes services that Deloitte Touche Tohmatsu provides, such as consents and assistance with and review of documents filed with the SEC.</w:t>
      </w:r>
    </w:p>
    <w:p>
      <w:pPr>
        <w:spacing w:after="0" w:line="159"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Audit-Related Fees</w:t>
      </w:r>
      <w:r>
        <w:rPr>
          <w:rFonts w:ascii="Arial" w:cs="Arial" w:eastAsia="Arial" w:hAnsi="Arial"/>
          <w:sz w:val="17"/>
          <w:szCs w:val="17"/>
          <w:color w:val="auto"/>
        </w:rPr>
        <w:t>” are the aggregate fees billed for assurance and related services that are reasonably related to the performance of the audit, including fees related to our public offering, and are not reported under Audit Fees.</w:t>
      </w:r>
    </w:p>
    <w:p>
      <w:pPr>
        <w:spacing w:after="0" w:line="159" w:lineRule="exact"/>
        <w:rPr>
          <w:sz w:val="20"/>
          <w:szCs w:val="20"/>
          <w:color w:val="auto"/>
        </w:rPr>
      </w:pPr>
    </w:p>
    <w:p>
      <w:pPr>
        <w:jc w:val="both"/>
        <w:ind w:firstLine="433"/>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Fees</w:t>
      </w:r>
      <w:r>
        <w:rPr>
          <w:rFonts w:ascii="Arial" w:cs="Arial" w:eastAsia="Arial" w:hAnsi="Arial"/>
          <w:sz w:val="17"/>
          <w:szCs w:val="17"/>
          <w:color w:val="auto"/>
        </w:rPr>
        <w:t>” are the aggregate fees billed for professional services rendered by Deloitte Touche Tohmatsu for tax compliance, tax advice and tax planning related services.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Fees</w:t>
      </w:r>
      <w:r>
        <w:rPr>
          <w:rFonts w:ascii="Arial" w:cs="Arial" w:eastAsia="Arial" w:hAnsi="Arial"/>
          <w:sz w:val="17"/>
          <w:szCs w:val="17"/>
          <w:color w:val="auto"/>
        </w:rPr>
        <w:t>” are any additional amounts billed for products and services provided by Deloitte Touche Tohmatsu.</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“Audit-Related Fees,”or “Tax Fees” or “Other Fees” billed or paid during the fiscal years ended June 30, 2020 or 2019.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Pre-Approval of Audit and Non-Audit Services</w:t>
      </w:r>
    </w:p>
    <w:p>
      <w:pPr>
        <w:spacing w:after="0" w:line="116"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Audit and Risk Management Committee’s pre-approval is required for all services provided by Deloitte Touche Tohmatsu. These services may include audit services, audit-related services, tax services and permissible non-audit services, and are subject to a specific budget. The Audit and Risk Management Committee uses a combination of two approaches – general pre-approval and specific pre-approval – in considering whether particular services or categories of services are consistent with the SEC’s rules on auditor independence. Under general pre-approval proposed services may be pre-approved without consideration of specific case-by-case services.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16D.Exemptions from the Listing Standards for Audit Committees</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16E.Purchases of Equity Securities by the Issuer and Affiliated Purchasers</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16F.Change in Registrant’s Certifying Accountant</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16G.Corporate Governance</w:t>
      </w:r>
    </w:p>
    <w:p>
      <w:pPr>
        <w:spacing w:after="0" w:line="330"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Under Nasdaq Stock Market Rule 5615(a)(3), foreign private issuers, such as our company, are permitted to follow certain home country corporate governance practices instead of certain provisions of the Nasdaq Stock Market Rules. In order to rely on this exception, we are required to disclose each Nasdaq Stock Market Rule that we do not follow and describe the home country practice we do follow in lieu thereof. In accordance with this exception, we intend to follow Australian corporate governance practices in lieu of the following Nasdaq corporate governance standards:</w:t>
      </w:r>
    </w:p>
    <w:p>
      <w:pPr>
        <w:spacing w:after="0" w:line="72" w:lineRule="exact"/>
        <w:rPr>
          <w:sz w:val="20"/>
          <w:szCs w:val="20"/>
          <w:color w:val="auto"/>
        </w:rPr>
      </w:pPr>
    </w:p>
    <w:p>
      <w:pPr>
        <w:jc w:val="both"/>
        <w:ind w:left="860" w:hanging="427"/>
        <w:spacing w:after="0" w:line="311" w:lineRule="auto"/>
        <w:tabs>
          <w:tab w:leader="none" w:pos="8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We follow Australian law and corporate governance practices in lieu of the requirement under the Nasdaq Stock Market Rules that a quorum for a meeting of shareholders may not be less than 33 1/3% of the outstanding shares of an issuer’s voting ordinary shares. In compliance with Australian law, our Constitution provides that a quorum is three or more shareholders present at the meeting of shareholders and entitled to vote on a resolution at the meeting and, accordingly, we claim the exemption for foreign private issuers with respect to the Nasdaq quorum requirement.</w:t>
      </w:r>
    </w:p>
    <w:p>
      <w:pPr>
        <w:spacing w:after="0" w:line="41" w:lineRule="exact"/>
        <w:rPr>
          <w:rFonts w:ascii="Arial" w:cs="Arial" w:eastAsia="Arial" w:hAnsi="Arial"/>
          <w:sz w:val="15"/>
          <w:szCs w:val="15"/>
          <w:color w:val="auto"/>
        </w:rPr>
      </w:pPr>
    </w:p>
    <w:p>
      <w:pPr>
        <w:jc w:val="both"/>
        <w:ind w:left="860" w:hanging="427"/>
        <w:spacing w:after="0" w:line="265" w:lineRule="auto"/>
        <w:tabs>
          <w:tab w:leader="none" w:pos="8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follow Australian law and corporate governance practices in lieu of the requirements under the Nasdaq Stock Market Rules that issuers obtain shareholder approval prior to the issuance of securities in connection with a change of control, certain acquisitions, private placements of securities, or the establishment or amendment of certain stock option, purchase or other equity compensation plans or arrangements. Applicable Australian law prohibits the acquisition of a relevant interest in voting shares of a public company such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60" w:name="page161"/>
    <w:bookmarkEnd w:id="160"/>
    <w:p>
      <w:pPr>
        <w:jc w:val="both"/>
        <w:ind w:left="860"/>
        <w:spacing w:after="0" w:line="311" w:lineRule="auto"/>
        <w:rPr>
          <w:sz w:val="20"/>
          <w:szCs w:val="20"/>
          <w:color w:val="auto"/>
        </w:rPr>
      </w:pPr>
      <w:r>
        <w:rPr>
          <w:rFonts w:ascii="Arial" w:cs="Arial" w:eastAsia="Arial" w:hAnsi="Arial"/>
          <w:sz w:val="15"/>
          <w:szCs w:val="15"/>
          <w:color w:val="auto"/>
        </w:rPr>
        <w:t>if, because of that transaction, a person’s voting power in the company increases from under 20% to over 20% or increases from a starting point that is above 20% and below 90%. This prohibition is subject to a number of exceptions including where the acquisition is approved by a resolution of shareholders of the company in which the acquisition is made. Due to differences between Australian law and corporate governance practices and the Nasdaq Stock Market Rules, we claim the exemption for foreign private issuers with respect to the Nasdaq shareholder approval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16H.Mine Safety Disclosure</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16I.Disclosure Regarding Foreign Jurisdictions that Prevent Inspections</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7"/>
          <w:szCs w:val="17"/>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17.Financial Statements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“Item 18—Financial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18.Financial Statements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consolidated financial statements and the related notes required by this Item are included in this annual report beginning on page F-1.</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ind w:left="280"/>
              <w:spacing w:after="0"/>
              <w:rPr>
                <w:sz w:val="20"/>
                <w:szCs w:val="20"/>
                <w:color w:val="auto"/>
              </w:rPr>
            </w:pPr>
            <w:r>
              <w:rPr>
                <w:rFonts w:ascii="Arial" w:cs="Arial" w:eastAsia="Arial" w:hAnsi="Arial"/>
                <w:sz w:val="17"/>
                <w:szCs w:val="17"/>
                <w:b w:val="1"/>
                <w:bCs w:val="1"/>
                <w:color w:val="auto"/>
              </w:rPr>
              <w:t>Incorporated by Reference</w:t>
            </w: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5"/>
        </w:trPr>
        <w:tc>
          <w:tcPr>
            <w:tcW w:w="960" w:type="dxa"/>
            <w:vAlign w:val="bottom"/>
          </w:tcPr>
          <w:p>
            <w:pPr>
              <w:jc w:val="right"/>
              <w:ind w:right="133"/>
              <w:spacing w:after="0"/>
              <w:rPr>
                <w:sz w:val="20"/>
                <w:szCs w:val="20"/>
                <w:color w:val="auto"/>
              </w:rPr>
            </w:pPr>
            <w:r>
              <w:rPr>
                <w:rFonts w:ascii="Arial" w:cs="Arial" w:eastAsia="Arial" w:hAnsi="Arial"/>
                <w:sz w:val="17"/>
                <w:szCs w:val="17"/>
                <w:b w:val="1"/>
                <w:bCs w:val="1"/>
                <w:color w:val="auto"/>
              </w:rPr>
              <w:t>Exhibit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Filing</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5"/>
              </w:rPr>
              <w:t>Filed</w:t>
            </w:r>
          </w:p>
        </w:tc>
      </w:tr>
      <w:tr>
        <w:trPr>
          <w:trHeight w:val="226"/>
        </w:trPr>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Number</w:t>
            </w:r>
          </w:p>
        </w:tc>
        <w:tc>
          <w:tcPr>
            <w:tcW w:w="140" w:type="dxa"/>
            <w:vAlign w:val="bottom"/>
          </w:tcPr>
          <w:p>
            <w:pPr>
              <w:spacing w:after="0"/>
              <w:rPr>
                <w:sz w:val="19"/>
                <w:szCs w:val="19"/>
                <w:color w:val="auto"/>
              </w:rPr>
            </w:pPr>
          </w:p>
        </w:tc>
        <w:tc>
          <w:tcPr>
            <w:tcW w:w="4400" w:type="dxa"/>
            <w:vAlign w:val="bottom"/>
            <w:tcBorders>
              <w:bottom w:val="single" w:sz="8" w:color="auto"/>
            </w:tcBorders>
            <w:gridSpan w:val="20"/>
          </w:tcPr>
          <w:p>
            <w:pPr>
              <w:spacing w:after="0"/>
              <w:rPr>
                <w:sz w:val="20"/>
                <w:szCs w:val="20"/>
                <w:color w:val="auto"/>
              </w:rPr>
            </w:pPr>
            <w:r>
              <w:rPr>
                <w:rFonts w:ascii="Arial" w:cs="Arial" w:eastAsia="Arial" w:hAnsi="Arial"/>
                <w:sz w:val="17"/>
                <w:szCs w:val="17"/>
                <w:b w:val="1"/>
                <w:bCs w:val="1"/>
                <w:color w:val="auto"/>
              </w:rPr>
              <w:t>Exhibit Description</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Form</w:t>
            </w:r>
          </w:p>
        </w:tc>
        <w:tc>
          <w:tcPr>
            <w:tcW w:w="160" w:type="dxa"/>
            <w:vAlign w:val="bottom"/>
          </w:tcPr>
          <w:p>
            <w:pPr>
              <w:spacing w:after="0"/>
              <w:rPr>
                <w:sz w:val="19"/>
                <w:szCs w:val="19"/>
                <w:color w:val="auto"/>
              </w:rPr>
            </w:pP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File No.</w:t>
            </w:r>
          </w:p>
        </w:tc>
        <w:tc>
          <w:tcPr>
            <w:tcW w:w="140" w:type="dxa"/>
            <w:vAlign w:val="bottom"/>
          </w:tcPr>
          <w:p>
            <w:pPr>
              <w:spacing w:after="0"/>
              <w:rPr>
                <w:sz w:val="19"/>
                <w:szCs w:val="19"/>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Exhibit</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Date</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Herewith</w:t>
            </w:r>
          </w:p>
        </w:tc>
      </w:tr>
      <w:tr>
        <w:trPr>
          <w:trHeight w:val="305"/>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rPr>
            </w:pPr>
            <w:hyperlink r:id="rId214">
              <w:r>
                <w:rPr>
                  <w:rFonts w:ascii="Arial" w:cs="Arial" w:eastAsia="Arial" w:hAnsi="Arial"/>
                  <w:sz w:val="17"/>
                  <w:szCs w:val="17"/>
                  <w:color w:val="0000EE"/>
                </w:rPr>
                <w:t>Certificate of Registration of Opthea Limited.</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2"/>
              </w:rPr>
              <w:t>3.1</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5"/>
              </w:rPr>
            </w:pPr>
            <w:hyperlink r:id="rId214">
              <w:r>
                <w:rPr>
                  <w:rFonts w:ascii="Arial" w:cs="Arial" w:eastAsia="Arial" w:hAnsi="Arial"/>
                  <w:sz w:val="17"/>
                  <w:szCs w:val="17"/>
                  <w:color w:val="0000EE"/>
                  <w:w w:val="95"/>
                </w:rPr>
                <w:t>Constitution of Opthea Limited.</w:t>
              </w:r>
            </w:hyperlink>
          </w:p>
        </w:tc>
        <w:tc>
          <w:tcPr>
            <w:tcW w:w="940" w:type="dxa"/>
            <w:vAlign w:val="bottom"/>
            <w:tcBorders>
              <w:top w:val="single" w:sz="8" w:color="0000EE"/>
            </w:tcBorders>
            <w:gridSpan w:val="4"/>
          </w:tcPr>
          <w:p>
            <w:pPr>
              <w:spacing w:after="0"/>
              <w:rPr>
                <w:sz w:val="24"/>
                <w:szCs w:val="24"/>
                <w:color w:val="auto"/>
              </w:rPr>
            </w:pPr>
          </w:p>
        </w:tc>
        <w:tc>
          <w:tcPr>
            <w:tcW w:w="122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2"/>
              </w:rPr>
              <w:t>3.1</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4"/>
                <w:szCs w:val="24"/>
                <w:color w:val="auto"/>
              </w:rPr>
            </w:pPr>
          </w:p>
        </w:tc>
        <w:tc>
          <w:tcPr>
            <w:tcW w:w="3660" w:type="dxa"/>
            <w:vAlign w:val="bottom"/>
            <w:tcBorders>
              <w:bottom w:val="single" w:sz="8" w:color="0000EE"/>
            </w:tcBorders>
            <w:gridSpan w:val="11"/>
          </w:tcPr>
          <w:p>
            <w:pPr>
              <w:spacing w:after="0"/>
              <w:rPr>
                <w:rFonts w:ascii="Arial" w:cs="Arial" w:eastAsia="Arial" w:hAnsi="Arial"/>
                <w:sz w:val="17"/>
                <w:szCs w:val="17"/>
                <w:color w:val="0000EE"/>
                <w:w w:val="91"/>
              </w:rPr>
            </w:pPr>
            <w:hyperlink r:id="rId215">
              <w:r>
                <w:rPr>
                  <w:rFonts w:ascii="Arial" w:cs="Arial" w:eastAsia="Arial" w:hAnsi="Arial"/>
                  <w:sz w:val="17"/>
                  <w:szCs w:val="17"/>
                  <w:color w:val="0000EE"/>
                  <w:w w:val="91"/>
                </w:rPr>
                <w:t>Form of Amended and Restated Deposit Agreement.</w:t>
              </w:r>
            </w:hyperlink>
          </w:p>
        </w:tc>
        <w:tc>
          <w:tcPr>
            <w:tcW w:w="74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F-1/A</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2"/>
              </w:rPr>
              <w:t>4.1</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10/9/20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w w:val="98"/>
              </w:rPr>
            </w:pPr>
            <w:hyperlink r:id="rId215">
              <w:r>
                <w:rPr>
                  <w:rFonts w:ascii="Arial" w:cs="Arial" w:eastAsia="Arial" w:hAnsi="Arial"/>
                  <w:sz w:val="17"/>
                  <w:szCs w:val="17"/>
                  <w:color w:val="0000EE"/>
                  <w:w w:val="98"/>
                </w:rPr>
                <w:t>Form of American Depositary Receipt evidencing American</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top w:val="single" w:sz="8" w:color="0000EE"/>
              <w:bottom w:val="single" w:sz="8" w:color="0000EE"/>
            </w:tcBorders>
            <w:gridSpan w:val="2"/>
          </w:tcPr>
          <w:p>
            <w:pPr>
              <w:spacing w:after="0" w:line="188" w:lineRule="exact"/>
              <w:rPr>
                <w:rFonts w:ascii="Arial" w:cs="Arial" w:eastAsia="Arial" w:hAnsi="Arial"/>
                <w:sz w:val="17"/>
                <w:szCs w:val="17"/>
                <w:color w:val="0000EE"/>
                <w:w w:val="89"/>
              </w:rPr>
            </w:pPr>
            <w:hyperlink r:id="rId215">
              <w:r>
                <w:rPr>
                  <w:rFonts w:ascii="Arial" w:cs="Arial" w:eastAsia="Arial" w:hAnsi="Arial"/>
                  <w:sz w:val="17"/>
                  <w:szCs w:val="17"/>
                  <w:color w:val="0000EE"/>
                  <w:w w:val="89"/>
                </w:rPr>
                <w:t>Depositary Shares.</w:t>
              </w:r>
            </w:hyperlink>
          </w:p>
        </w:tc>
        <w:tc>
          <w:tcPr>
            <w:tcW w:w="2880" w:type="dxa"/>
            <w:vAlign w:val="bottom"/>
            <w:tcBorders>
              <w:top w:val="single" w:sz="8" w:color="0000EE"/>
            </w:tcBorders>
            <w:gridSpan w:val="13"/>
          </w:tcPr>
          <w:p>
            <w:pPr>
              <w:spacing w:after="0"/>
              <w:rPr>
                <w:sz w:val="16"/>
                <w:szCs w:val="16"/>
                <w:color w:val="auto"/>
              </w:rPr>
            </w:pPr>
          </w:p>
        </w:tc>
        <w:tc>
          <w:tcPr>
            <w:tcW w:w="200" w:type="dxa"/>
            <w:vAlign w:val="bottom"/>
            <w:gridSpan w:val="5"/>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160"/>
              <w:spacing w:after="0" w:line="188" w:lineRule="exact"/>
              <w:rPr>
                <w:sz w:val="20"/>
                <w:szCs w:val="20"/>
                <w:color w:val="auto"/>
              </w:rPr>
            </w:pPr>
            <w:r>
              <w:rPr>
                <w:rFonts w:ascii="Arial" w:cs="Arial" w:eastAsia="Arial" w:hAnsi="Arial"/>
                <w:sz w:val="17"/>
                <w:szCs w:val="17"/>
                <w:color w:val="auto"/>
                <w:w w:val="96"/>
              </w:rPr>
              <w:t>F-1/A</w:t>
            </w:r>
          </w:p>
        </w:tc>
        <w:tc>
          <w:tcPr>
            <w:tcW w:w="1360" w:type="dxa"/>
            <w:vAlign w:val="bottom"/>
          </w:tcPr>
          <w:p>
            <w:pPr>
              <w:jc w:val="center"/>
              <w:spacing w:after="0" w:line="188" w:lineRule="exact"/>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16"/>
                <w:szCs w:val="16"/>
                <w:color w:val="auto"/>
              </w:rPr>
            </w:pPr>
          </w:p>
        </w:tc>
        <w:tc>
          <w:tcPr>
            <w:tcW w:w="800" w:type="dxa"/>
            <w:vAlign w:val="bottom"/>
          </w:tcPr>
          <w:p>
            <w:pPr>
              <w:jc w:val="center"/>
              <w:ind w:left="13"/>
              <w:spacing w:after="0" w:line="188" w:lineRule="exact"/>
              <w:rPr>
                <w:sz w:val="20"/>
                <w:szCs w:val="20"/>
                <w:color w:val="auto"/>
              </w:rPr>
            </w:pPr>
            <w:r>
              <w:rPr>
                <w:rFonts w:ascii="Arial" w:cs="Arial" w:eastAsia="Arial" w:hAnsi="Arial"/>
                <w:sz w:val="17"/>
                <w:szCs w:val="17"/>
                <w:color w:val="auto"/>
                <w:w w:val="92"/>
              </w:rPr>
              <w:t>4.1</w:t>
            </w:r>
          </w:p>
        </w:tc>
        <w:tc>
          <w:tcPr>
            <w:tcW w:w="26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Arial" w:cs="Arial" w:eastAsia="Arial" w:hAnsi="Arial"/>
                <w:sz w:val="17"/>
                <w:szCs w:val="17"/>
                <w:color w:val="auto"/>
                <w:w w:val="95"/>
              </w:rPr>
              <w:t>10/9/20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4"/>
                <w:szCs w:val="24"/>
                <w:color w:val="auto"/>
              </w:rPr>
            </w:pPr>
          </w:p>
        </w:tc>
        <w:tc>
          <w:tcPr>
            <w:tcW w:w="17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202">
              <w:r>
                <w:rPr>
                  <w:rFonts w:ascii="Arial" w:cs="Arial" w:eastAsia="Arial" w:hAnsi="Arial"/>
                  <w:sz w:val="17"/>
                  <w:szCs w:val="17"/>
                  <w:color w:val="0000EE"/>
                  <w:w w:val="93"/>
                </w:rPr>
                <w:t>Description of Securities.</w:t>
              </w:r>
            </w:hyperlink>
          </w:p>
        </w:tc>
        <w:tc>
          <w:tcPr>
            <w:tcW w:w="2620" w:type="dxa"/>
            <w:vAlign w:val="bottom"/>
            <w:gridSpan w:val="17"/>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7"/>
                <w:szCs w:val="17"/>
                <w:color w:val="auto"/>
              </w:rPr>
              <w:t>X</w:t>
            </w: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rPr>
            </w:pPr>
            <w:hyperlink r:id="rId216">
              <w:r>
                <w:rPr>
                  <w:rFonts w:ascii="Arial" w:cs="Arial" w:eastAsia="Arial" w:hAnsi="Arial"/>
                  <w:sz w:val="17"/>
                  <w:szCs w:val="17"/>
                  <w:color w:val="0000EE"/>
                </w:rPr>
                <w:t>Amended and Restated Long Term Incentive Plan Rules.</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rPr>
              <w:t>6-K</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001-39621</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0"/>
              </w:rPr>
              <w:t>99.3</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9/13/21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12"/>
          </w:tcPr>
          <w:p>
            <w:pPr>
              <w:spacing w:after="0"/>
              <w:rPr>
                <w:rFonts w:ascii="Arial" w:cs="Arial" w:eastAsia="Arial" w:hAnsi="Arial"/>
                <w:sz w:val="17"/>
                <w:szCs w:val="17"/>
                <w:color w:val="0000EE"/>
                <w:w w:val="92"/>
              </w:rPr>
            </w:pPr>
            <w:hyperlink r:id="rId217">
              <w:r>
                <w:rPr>
                  <w:rFonts w:ascii="Arial" w:cs="Arial" w:eastAsia="Arial" w:hAnsi="Arial"/>
                  <w:sz w:val="17"/>
                  <w:szCs w:val="17"/>
                  <w:color w:val="0000EE"/>
                  <w:w w:val="92"/>
                </w:rPr>
                <w:t>Non-Executive Directors Share and Option Plan Rules.</w:t>
              </w:r>
            </w:hyperlink>
          </w:p>
        </w:tc>
        <w:tc>
          <w:tcPr>
            <w:tcW w:w="100" w:type="dxa"/>
            <w:vAlign w:val="bottom"/>
            <w:tcBorders>
              <w:top w:val="single" w:sz="8" w:color="0000EE"/>
            </w:tcBorders>
          </w:tcPr>
          <w:p>
            <w:pPr>
              <w:spacing w:after="0"/>
              <w:rPr>
                <w:sz w:val="24"/>
                <w:szCs w:val="24"/>
                <w:color w:val="auto"/>
              </w:rPr>
            </w:pPr>
          </w:p>
        </w:tc>
        <w:tc>
          <w:tcPr>
            <w:tcW w:w="46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0"/>
              </w:rPr>
              <w:t>10.6</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rPr>
            </w:pPr>
            <w:hyperlink r:id="rId218">
              <w:r>
                <w:rPr>
                  <w:rFonts w:ascii="Arial" w:cs="Arial" w:eastAsia="Arial" w:hAnsi="Arial"/>
                  <w:sz w:val="17"/>
                  <w:szCs w:val="17"/>
                  <w:color w:val="0000EE"/>
                </w:rPr>
                <w:t>Executive Employment Contract, dated April 23, 2014,</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tcBorders>
              <w:top w:val="single" w:sz="8" w:color="0000EE"/>
            </w:tcBorders>
            <w:gridSpan w:val="12"/>
          </w:tcPr>
          <w:p>
            <w:pPr>
              <w:spacing w:after="0" w:line="188" w:lineRule="exact"/>
              <w:rPr>
                <w:rFonts w:ascii="Arial" w:cs="Arial" w:eastAsia="Arial" w:hAnsi="Arial"/>
                <w:sz w:val="17"/>
                <w:szCs w:val="17"/>
                <w:color w:val="0000EE"/>
              </w:rPr>
            </w:pPr>
            <w:hyperlink r:id="rId218">
              <w:r>
                <w:rPr>
                  <w:rFonts w:ascii="Arial" w:cs="Arial" w:eastAsia="Arial" w:hAnsi="Arial"/>
                  <w:sz w:val="17"/>
                  <w:szCs w:val="17"/>
                  <w:color w:val="0000EE"/>
                </w:rPr>
                <w:t>between the Registrant and Megan Baldwin, Ph.D.</w:t>
              </w:r>
            </w:hyperlink>
          </w:p>
        </w:tc>
        <w:tc>
          <w:tcPr>
            <w:tcW w:w="560" w:type="dxa"/>
            <w:vAlign w:val="bottom"/>
            <w:gridSpan w:val="8"/>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160"/>
              <w:spacing w:after="0" w:line="188" w:lineRule="exact"/>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line="188" w:lineRule="exact"/>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16"/>
                <w:szCs w:val="16"/>
                <w:color w:val="auto"/>
              </w:rPr>
            </w:pPr>
          </w:p>
        </w:tc>
        <w:tc>
          <w:tcPr>
            <w:tcW w:w="800" w:type="dxa"/>
            <w:vAlign w:val="bottom"/>
          </w:tcPr>
          <w:p>
            <w:pPr>
              <w:jc w:val="center"/>
              <w:ind w:left="13"/>
              <w:spacing w:after="0" w:line="188" w:lineRule="exact"/>
              <w:rPr>
                <w:sz w:val="20"/>
                <w:szCs w:val="20"/>
                <w:color w:val="auto"/>
              </w:rPr>
            </w:pPr>
            <w:r>
              <w:rPr>
                <w:rFonts w:ascii="Arial" w:cs="Arial" w:eastAsia="Arial" w:hAnsi="Arial"/>
                <w:sz w:val="17"/>
                <w:szCs w:val="17"/>
                <w:color w:val="auto"/>
                <w:w w:val="90"/>
              </w:rPr>
              <w:t>10.7</w:t>
            </w:r>
          </w:p>
        </w:tc>
        <w:tc>
          <w:tcPr>
            <w:tcW w:w="26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31"/>
        </w:trPr>
        <w:tc>
          <w:tcPr>
            <w:tcW w:w="960" w:type="dxa"/>
            <w:vAlign w:val="bottom"/>
          </w:tcPr>
          <w:p>
            <w:pPr>
              <w:jc w:val="right"/>
              <w:ind w:right="573"/>
              <w:spacing w:after="0"/>
              <w:rPr>
                <w:sz w:val="20"/>
                <w:szCs w:val="20"/>
                <w:color w:val="auto"/>
              </w:rPr>
            </w:pPr>
            <w:r>
              <w:rPr>
                <w:rFonts w:ascii="Arial" w:cs="Arial" w:eastAsia="Arial" w:hAnsi="Arial"/>
                <w:sz w:val="17"/>
                <w:szCs w:val="17"/>
                <w:color w:val="auto"/>
                <w:w w:val="92"/>
              </w:rPr>
              <w:t>4.4*</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w w:val="94"/>
              </w:rPr>
            </w:pPr>
            <w:hyperlink w:anchor="page214">
              <w:r>
                <w:rPr>
                  <w:rFonts w:ascii="Arial" w:cs="Arial" w:eastAsia="Arial" w:hAnsi="Arial"/>
                  <w:sz w:val="17"/>
                  <w:szCs w:val="17"/>
                  <w:color w:val="0000EE"/>
                  <w:w w:val="94"/>
                </w:rPr>
                <w:t>Executive Employment Contract, dated May 3, 2021, between</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top w:val="single" w:sz="8" w:color="0000EE"/>
              <w:bottom w:val="single" w:sz="8" w:color="0000EE"/>
            </w:tcBorders>
            <w:gridSpan w:val="5"/>
          </w:tcPr>
          <w:p>
            <w:pPr>
              <w:spacing w:after="0" w:line="188" w:lineRule="exact"/>
              <w:rPr>
                <w:rFonts w:ascii="Arial" w:cs="Arial" w:eastAsia="Arial" w:hAnsi="Arial"/>
                <w:sz w:val="17"/>
                <w:szCs w:val="17"/>
                <w:color w:val="0000EE"/>
                <w:w w:val="91"/>
              </w:rPr>
            </w:pPr>
            <w:hyperlink w:anchor="page214">
              <w:r>
                <w:rPr>
                  <w:rFonts w:ascii="Arial" w:cs="Arial" w:eastAsia="Arial" w:hAnsi="Arial"/>
                  <w:sz w:val="17"/>
                  <w:szCs w:val="17"/>
                  <w:color w:val="0000EE"/>
                  <w:w w:val="91"/>
                </w:rPr>
                <w:t>the Registrant and Karen Adams.</w:t>
              </w:r>
            </w:hyperlink>
          </w:p>
        </w:tc>
        <w:tc>
          <w:tcPr>
            <w:tcW w:w="2000" w:type="dxa"/>
            <w:vAlign w:val="bottom"/>
            <w:tcBorders>
              <w:top w:val="single" w:sz="8" w:color="0000EE"/>
            </w:tcBorders>
            <w:gridSpan w:val="13"/>
          </w:tcPr>
          <w:p>
            <w:pPr>
              <w:spacing w:after="0"/>
              <w:rPr>
                <w:sz w:val="16"/>
                <w:szCs w:val="16"/>
                <w:color w:val="auto"/>
              </w:rPr>
            </w:pPr>
          </w:p>
        </w:tc>
        <w:tc>
          <w:tcPr>
            <w:tcW w:w="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line="188" w:lineRule="exact"/>
              <w:rPr>
                <w:sz w:val="20"/>
                <w:szCs w:val="20"/>
                <w:color w:val="auto"/>
              </w:rPr>
            </w:pPr>
            <w:r>
              <w:rPr>
                <w:rFonts w:ascii="Arial" w:cs="Arial" w:eastAsia="Arial" w:hAnsi="Arial"/>
                <w:sz w:val="17"/>
                <w:szCs w:val="17"/>
                <w:color w:val="auto"/>
              </w:rPr>
              <w:t>X</w:t>
            </w: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24"/>
                <w:szCs w:val="24"/>
                <w:color w:val="auto"/>
              </w:rPr>
            </w:pPr>
          </w:p>
        </w:tc>
        <w:tc>
          <w:tcPr>
            <w:tcW w:w="3140" w:type="dxa"/>
            <w:vAlign w:val="bottom"/>
            <w:tcBorders>
              <w:bottom w:val="single" w:sz="8" w:color="0000EE"/>
            </w:tcBorders>
            <w:gridSpan w:val="7"/>
          </w:tcPr>
          <w:p>
            <w:pPr>
              <w:spacing w:after="0"/>
              <w:rPr>
                <w:rFonts w:ascii="Arial" w:cs="Arial" w:eastAsia="Arial" w:hAnsi="Arial"/>
                <w:sz w:val="17"/>
                <w:szCs w:val="17"/>
                <w:color w:val="0000EE"/>
                <w:w w:val="94"/>
              </w:rPr>
            </w:pPr>
            <w:hyperlink r:id="rId219">
              <w:r>
                <w:rPr>
                  <w:rFonts w:ascii="Arial" w:cs="Arial" w:eastAsia="Arial" w:hAnsi="Arial"/>
                  <w:sz w:val="17"/>
                  <w:szCs w:val="17"/>
                  <w:color w:val="0000EE"/>
                  <w:w w:val="94"/>
                </w:rPr>
                <w:t>Form of Non-Executive Director Agreement.</w:t>
              </w:r>
            </w:hyperlink>
          </w:p>
        </w:tc>
        <w:tc>
          <w:tcPr>
            <w:tcW w:w="126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6"/>
              </w:rPr>
              <w:t>F-1/A</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0"/>
              </w:rPr>
              <w:t>10.9</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10/9/20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960" w:type="dxa"/>
            <w:vAlign w:val="bottom"/>
          </w:tcPr>
          <w:p>
            <w:pPr>
              <w:jc w:val="right"/>
              <w:ind w:right="573"/>
              <w:spacing w:after="0"/>
              <w:rPr>
                <w:sz w:val="20"/>
                <w:szCs w:val="20"/>
                <w:color w:val="auto"/>
              </w:rPr>
            </w:pPr>
            <w:r>
              <w:rPr>
                <w:rFonts w:ascii="Arial" w:cs="Arial" w:eastAsia="Arial" w:hAnsi="Arial"/>
                <w:sz w:val="17"/>
                <w:szCs w:val="17"/>
                <w:color w:val="auto"/>
                <w:w w:val="84"/>
              </w:rPr>
              <w:t>4.6#</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w w:val="91"/>
              </w:rPr>
            </w:pPr>
            <w:hyperlink r:id="rId220">
              <w:r>
                <w:rPr>
                  <w:rFonts w:ascii="Arial" w:cs="Arial" w:eastAsia="Arial" w:hAnsi="Arial"/>
                  <w:sz w:val="17"/>
                  <w:szCs w:val="17"/>
                  <w:color w:val="0000EE"/>
                  <w:w w:val="91"/>
                </w:rPr>
                <w:t>Commercial License Agreement, dated as of October 28, 2013,</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top w:val="single" w:sz="8" w:color="0000EE"/>
            </w:tcBorders>
            <w:gridSpan w:val="19"/>
          </w:tcPr>
          <w:p>
            <w:pPr>
              <w:spacing w:after="0" w:line="188" w:lineRule="exact"/>
              <w:rPr>
                <w:rFonts w:ascii="Arial" w:cs="Arial" w:eastAsia="Arial" w:hAnsi="Arial"/>
                <w:sz w:val="17"/>
                <w:szCs w:val="17"/>
                <w:color w:val="0000EE"/>
              </w:rPr>
            </w:pPr>
            <w:hyperlink r:id="rId220">
              <w:r>
                <w:rPr>
                  <w:rFonts w:ascii="Arial" w:cs="Arial" w:eastAsia="Arial" w:hAnsi="Arial"/>
                  <w:sz w:val="17"/>
                  <w:szCs w:val="17"/>
                  <w:color w:val="0000EE"/>
                </w:rPr>
                <w:t>between the Registrant and Selexis SA.</w:t>
              </w:r>
            </w:hyperlink>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160"/>
              <w:spacing w:after="0" w:line="188" w:lineRule="exact"/>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line="188" w:lineRule="exact"/>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16"/>
                <w:szCs w:val="16"/>
                <w:color w:val="auto"/>
              </w:rPr>
            </w:pPr>
          </w:p>
        </w:tc>
        <w:tc>
          <w:tcPr>
            <w:tcW w:w="800" w:type="dxa"/>
            <w:vAlign w:val="bottom"/>
          </w:tcPr>
          <w:p>
            <w:pPr>
              <w:jc w:val="center"/>
              <w:ind w:left="13"/>
              <w:spacing w:after="0" w:line="188" w:lineRule="exact"/>
              <w:rPr>
                <w:sz w:val="20"/>
                <w:szCs w:val="20"/>
                <w:color w:val="auto"/>
              </w:rPr>
            </w:pPr>
            <w:r>
              <w:rPr>
                <w:rFonts w:ascii="Arial" w:cs="Arial" w:eastAsia="Arial" w:hAnsi="Arial"/>
                <w:sz w:val="17"/>
                <w:szCs w:val="17"/>
                <w:color w:val="auto"/>
                <w:w w:val="90"/>
              </w:rPr>
              <w:t>10.1</w:t>
            </w:r>
          </w:p>
        </w:tc>
        <w:tc>
          <w:tcPr>
            <w:tcW w:w="26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31"/>
        </w:trPr>
        <w:tc>
          <w:tcPr>
            <w:tcW w:w="960" w:type="dxa"/>
            <w:vAlign w:val="bottom"/>
          </w:tcPr>
          <w:p>
            <w:pPr>
              <w:jc w:val="right"/>
              <w:ind w:right="513"/>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24"/>
                <w:szCs w:val="24"/>
                <w:color w:val="auto"/>
              </w:rPr>
            </w:pPr>
          </w:p>
        </w:tc>
        <w:tc>
          <w:tcPr>
            <w:tcW w:w="4040" w:type="dxa"/>
            <w:vAlign w:val="bottom"/>
            <w:tcBorders>
              <w:bottom w:val="single" w:sz="8" w:color="0000EE"/>
            </w:tcBorders>
            <w:gridSpan w:val="14"/>
          </w:tcPr>
          <w:p>
            <w:pPr>
              <w:spacing w:after="0"/>
              <w:rPr>
                <w:rFonts w:ascii="Arial" w:cs="Arial" w:eastAsia="Arial" w:hAnsi="Arial"/>
                <w:sz w:val="17"/>
                <w:szCs w:val="17"/>
                <w:color w:val="0000EE"/>
                <w:w w:val="92"/>
              </w:rPr>
            </w:pPr>
            <w:hyperlink r:id="rId221">
              <w:r>
                <w:rPr>
                  <w:rFonts w:ascii="Arial" w:cs="Arial" w:eastAsia="Arial" w:hAnsi="Arial"/>
                  <w:sz w:val="17"/>
                  <w:szCs w:val="17"/>
                  <w:color w:val="0000EE"/>
                  <w:w w:val="92"/>
                </w:rPr>
                <w:t>Biopharmaceutical Manufacturing Agreement, dated as of</w:t>
              </w:r>
            </w:hyperlink>
          </w:p>
        </w:tc>
        <w:tc>
          <w:tcPr>
            <w:tcW w:w="36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gridSpan w:val="20"/>
          </w:tcPr>
          <w:p>
            <w:pPr>
              <w:spacing w:after="0" w:line="188" w:lineRule="exact"/>
              <w:rPr>
                <w:rFonts w:ascii="Arial" w:cs="Arial" w:eastAsia="Arial" w:hAnsi="Arial"/>
                <w:sz w:val="17"/>
                <w:szCs w:val="17"/>
                <w:color w:val="0000EE"/>
                <w:w w:val="94"/>
              </w:rPr>
            </w:pPr>
            <w:hyperlink r:id="rId221">
              <w:r>
                <w:rPr>
                  <w:rFonts w:ascii="Arial" w:cs="Arial" w:eastAsia="Arial" w:hAnsi="Arial"/>
                  <w:sz w:val="17"/>
                  <w:szCs w:val="17"/>
                  <w:color w:val="0000EE"/>
                  <w:w w:val="94"/>
                </w:rPr>
                <w:t>October 28, 2013, between the Registrant, Patheon Biologics</w:t>
              </w:r>
            </w:hyperlink>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20" w:type="dxa"/>
            <w:vAlign w:val="bottom"/>
            <w:gridSpan w:val="9"/>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0" w:type="dxa"/>
            <w:vAlign w:val="bottom"/>
            <w:gridSpan w:val="20"/>
          </w:tcPr>
          <w:p>
            <w:pPr>
              <w:spacing w:after="0" w:line="188" w:lineRule="exact"/>
              <w:rPr>
                <w:rFonts w:ascii="Arial" w:cs="Arial" w:eastAsia="Arial" w:hAnsi="Arial"/>
                <w:sz w:val="17"/>
                <w:szCs w:val="17"/>
                <w:color w:val="0000EE"/>
                <w:w w:val="95"/>
              </w:rPr>
            </w:pPr>
            <w:hyperlink r:id="rId221">
              <w:r>
                <w:rPr>
                  <w:rFonts w:ascii="Arial" w:cs="Arial" w:eastAsia="Arial" w:hAnsi="Arial"/>
                  <w:sz w:val="17"/>
                  <w:szCs w:val="17"/>
                  <w:color w:val="0000EE"/>
                  <w:w w:val="95"/>
                </w:rPr>
                <w:t>Company Australia Pty Ltd. and Patheon Biologics Company</w:t>
              </w:r>
            </w:hyperlink>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0000EE"/>
              <w:bottom w:val="single" w:sz="8" w:color="0000EE"/>
            </w:tcBorders>
          </w:tcPr>
          <w:p>
            <w:pPr>
              <w:spacing w:after="0" w:line="188" w:lineRule="exact"/>
              <w:rPr>
                <w:rFonts w:ascii="Arial" w:cs="Arial" w:eastAsia="Arial" w:hAnsi="Arial"/>
                <w:sz w:val="17"/>
                <w:szCs w:val="17"/>
                <w:color w:val="0000EE"/>
                <w:w w:val="93"/>
              </w:rPr>
            </w:pPr>
            <w:hyperlink r:id="rId221">
              <w:r>
                <w:rPr>
                  <w:rFonts w:ascii="Arial" w:cs="Arial" w:eastAsia="Arial" w:hAnsi="Arial"/>
                  <w:sz w:val="17"/>
                  <w:szCs w:val="17"/>
                  <w:color w:val="0000EE"/>
                  <w:w w:val="93"/>
                </w:rPr>
                <w:t>B.V.</w:t>
              </w:r>
            </w:hyperlink>
          </w:p>
        </w:tc>
        <w:tc>
          <w:tcPr>
            <w:tcW w:w="3960" w:type="dxa"/>
            <w:vAlign w:val="bottom"/>
            <w:tcBorders>
              <w:top w:val="single" w:sz="8" w:color="0000EE"/>
            </w:tcBorders>
            <w:gridSpan w:val="16"/>
          </w:tcPr>
          <w:p>
            <w:pPr>
              <w:spacing w:after="0"/>
              <w:rPr>
                <w:sz w:val="16"/>
                <w:szCs w:val="16"/>
                <w:color w:val="auto"/>
              </w:rPr>
            </w:pPr>
          </w:p>
        </w:tc>
        <w:tc>
          <w:tcPr>
            <w:tcW w:w="12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160"/>
              <w:spacing w:after="0" w:line="188" w:lineRule="exact"/>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line="188" w:lineRule="exact"/>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16"/>
                <w:szCs w:val="16"/>
                <w:color w:val="auto"/>
              </w:rPr>
            </w:pPr>
          </w:p>
        </w:tc>
        <w:tc>
          <w:tcPr>
            <w:tcW w:w="800" w:type="dxa"/>
            <w:vAlign w:val="bottom"/>
          </w:tcPr>
          <w:p>
            <w:pPr>
              <w:jc w:val="center"/>
              <w:ind w:left="13"/>
              <w:spacing w:after="0" w:line="188" w:lineRule="exact"/>
              <w:rPr>
                <w:sz w:val="20"/>
                <w:szCs w:val="20"/>
                <w:color w:val="auto"/>
              </w:rPr>
            </w:pPr>
            <w:r>
              <w:rPr>
                <w:rFonts w:ascii="Arial" w:cs="Arial" w:eastAsia="Arial" w:hAnsi="Arial"/>
                <w:sz w:val="17"/>
                <w:szCs w:val="17"/>
                <w:color w:val="auto"/>
                <w:w w:val="90"/>
              </w:rPr>
              <w:t>10.2</w:t>
            </w:r>
          </w:p>
        </w:tc>
        <w:tc>
          <w:tcPr>
            <w:tcW w:w="26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31"/>
        </w:trPr>
        <w:tc>
          <w:tcPr>
            <w:tcW w:w="960" w:type="dxa"/>
            <w:vAlign w:val="bottom"/>
          </w:tcPr>
          <w:p>
            <w:pPr>
              <w:jc w:val="right"/>
              <w:ind w:right="613"/>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24"/>
                <w:szCs w:val="24"/>
                <w:color w:val="auto"/>
              </w:rPr>
            </w:pPr>
          </w:p>
        </w:tc>
        <w:tc>
          <w:tcPr>
            <w:tcW w:w="4400" w:type="dxa"/>
            <w:vAlign w:val="bottom"/>
            <w:gridSpan w:val="20"/>
          </w:tcPr>
          <w:p>
            <w:pPr>
              <w:spacing w:after="0"/>
              <w:rPr>
                <w:rFonts w:ascii="Arial" w:cs="Arial" w:eastAsia="Arial" w:hAnsi="Arial"/>
                <w:sz w:val="17"/>
                <w:szCs w:val="17"/>
                <w:color w:val="0000EE"/>
              </w:rPr>
            </w:pPr>
            <w:hyperlink r:id="rId222">
              <w:r>
                <w:rPr>
                  <w:rFonts w:ascii="Arial" w:cs="Arial" w:eastAsia="Arial" w:hAnsi="Arial"/>
                  <w:sz w:val="17"/>
                  <w:szCs w:val="17"/>
                  <w:color w:val="0000EE"/>
                </w:rPr>
                <w:t>Form of Deed of Indemnity, Insurance and Access.</w:t>
              </w:r>
            </w:hyperlink>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F-1</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333-249020</w:t>
            </w:r>
          </w:p>
        </w:tc>
        <w:tc>
          <w:tcPr>
            <w:tcW w:w="140" w:type="dxa"/>
            <w:vAlign w:val="bottom"/>
          </w:tcPr>
          <w:p>
            <w:pPr>
              <w:spacing w:after="0"/>
              <w:rPr>
                <w:sz w:val="24"/>
                <w:szCs w:val="24"/>
                <w:color w:val="auto"/>
              </w:rPr>
            </w:pPr>
          </w:p>
        </w:tc>
        <w:tc>
          <w:tcPr>
            <w:tcW w:w="800" w:type="dxa"/>
            <w:vAlign w:val="bottom"/>
          </w:tcPr>
          <w:p>
            <w:pPr>
              <w:jc w:val="center"/>
              <w:ind w:left="13"/>
              <w:spacing w:after="0"/>
              <w:rPr>
                <w:sz w:val="20"/>
                <w:szCs w:val="20"/>
                <w:color w:val="auto"/>
              </w:rPr>
            </w:pPr>
            <w:r>
              <w:rPr>
                <w:rFonts w:ascii="Arial" w:cs="Arial" w:eastAsia="Arial" w:hAnsi="Arial"/>
                <w:sz w:val="17"/>
                <w:szCs w:val="17"/>
                <w:color w:val="auto"/>
                <w:w w:val="90"/>
              </w:rPr>
              <w:t>10.3</w:t>
            </w:r>
          </w:p>
        </w:tc>
        <w:tc>
          <w:tcPr>
            <w:tcW w:w="2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9/24/20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56"/>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633"/>
              <w:spacing w:after="0"/>
              <w:rPr>
                <w:sz w:val="20"/>
                <w:szCs w:val="20"/>
                <w:color w:val="auto"/>
              </w:rPr>
            </w:pPr>
            <w:r>
              <w:rPr>
                <w:rFonts w:ascii="Arial" w:cs="Arial" w:eastAsia="Arial" w:hAnsi="Arial"/>
                <w:sz w:val="17"/>
                <w:szCs w:val="17"/>
                <w:color w:val="auto"/>
                <w:w w:val="84"/>
              </w:rPr>
              <w:t>162</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0"/>
        </w:trPr>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95"/>
        </w:trPr>
        <w:tc>
          <w:tcPr>
            <w:tcW w:w="1100" w:type="dxa"/>
            <w:vAlign w:val="bottom"/>
          </w:tcPr>
          <w:p>
            <w:pPr>
              <w:ind w:left="40"/>
              <w:spacing w:after="0"/>
              <w:rPr>
                <w:sz w:val="20"/>
                <w:szCs w:val="20"/>
                <w:color w:val="auto"/>
              </w:rPr>
            </w:pPr>
            <w:r>
              <w:rPr>
                <w:rFonts w:ascii="Arial" w:cs="Arial" w:eastAsia="Arial" w:hAnsi="Arial"/>
                <w:sz w:val="17"/>
                <w:szCs w:val="17"/>
                <w:color w:val="auto"/>
              </w:rPr>
              <w:t>4.9</w:t>
            </w:r>
          </w:p>
        </w:tc>
        <w:tc>
          <w:tcPr>
            <w:tcW w:w="4660" w:type="dxa"/>
            <w:vAlign w:val="bottom"/>
            <w:gridSpan w:val="16"/>
          </w:tcPr>
          <w:p>
            <w:pPr>
              <w:spacing w:after="0"/>
              <w:rPr>
                <w:rFonts w:ascii="Arial" w:cs="Arial" w:eastAsia="Arial" w:hAnsi="Arial"/>
                <w:sz w:val="17"/>
                <w:szCs w:val="17"/>
                <w:color w:val="0000EE"/>
              </w:rPr>
            </w:pPr>
            <w:hyperlink r:id="rId225">
              <w:r>
                <w:rPr>
                  <w:rFonts w:ascii="Arial" w:cs="Arial" w:eastAsia="Arial" w:hAnsi="Arial"/>
                  <w:sz w:val="17"/>
                  <w:szCs w:val="17"/>
                  <w:color w:val="0000EE"/>
                </w:rPr>
                <w:t>Lease Agreement, dated November 12, 2019, between the</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rPr>
            </w:pPr>
            <w:hyperlink r:id="rId225">
              <w:r>
                <w:rPr>
                  <w:rFonts w:ascii="Arial" w:cs="Arial" w:eastAsia="Arial" w:hAnsi="Arial"/>
                  <w:sz w:val="17"/>
                  <w:szCs w:val="17"/>
                  <w:color w:val="0000EE"/>
                </w:rPr>
                <w:t>Registrant and The Trust Company (Australia) Limited, as</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3460" w:type="dxa"/>
            <w:vAlign w:val="bottom"/>
            <w:tcBorders>
              <w:top w:val="single" w:sz="8" w:color="0000EE"/>
              <w:bottom w:val="single" w:sz="8" w:color="0000EE"/>
            </w:tcBorders>
            <w:gridSpan w:val="5"/>
          </w:tcPr>
          <w:p>
            <w:pPr>
              <w:spacing w:after="0" w:line="188" w:lineRule="exact"/>
              <w:rPr>
                <w:rFonts w:ascii="Arial" w:cs="Arial" w:eastAsia="Arial" w:hAnsi="Arial"/>
                <w:sz w:val="17"/>
                <w:szCs w:val="17"/>
                <w:color w:val="0000EE"/>
                <w:w w:val="93"/>
              </w:rPr>
            </w:pPr>
            <w:hyperlink r:id="rId225">
              <w:r>
                <w:rPr>
                  <w:rFonts w:ascii="Arial" w:cs="Arial" w:eastAsia="Arial" w:hAnsi="Arial"/>
                  <w:sz w:val="17"/>
                  <w:szCs w:val="17"/>
                  <w:color w:val="0000EE"/>
                  <w:w w:val="93"/>
                </w:rPr>
                <w:t>custodian for the Newmark Como Property Trust.</w:t>
              </w:r>
            </w:hyperlink>
          </w:p>
        </w:tc>
        <w:tc>
          <w:tcPr>
            <w:tcW w:w="600" w:type="dxa"/>
            <w:vAlign w:val="bottom"/>
            <w:tcBorders>
              <w:top w:val="single" w:sz="8" w:color="0000EE"/>
            </w:tcBorders>
            <w:gridSpan w:val="3"/>
          </w:tcPr>
          <w:p>
            <w:pPr>
              <w:spacing w:after="0"/>
              <w:rPr>
                <w:sz w:val="16"/>
                <w:szCs w:val="16"/>
                <w:color w:val="auto"/>
              </w:rPr>
            </w:pPr>
          </w:p>
        </w:tc>
        <w:tc>
          <w:tcPr>
            <w:tcW w:w="600" w:type="dxa"/>
            <w:vAlign w:val="bottom"/>
            <w:gridSpan w:val="8"/>
          </w:tcPr>
          <w:p>
            <w:pPr>
              <w:spacing w:after="0"/>
              <w:rPr>
                <w:sz w:val="16"/>
                <w:szCs w:val="16"/>
                <w:color w:val="auto"/>
              </w:rPr>
            </w:pPr>
          </w:p>
        </w:tc>
        <w:tc>
          <w:tcPr>
            <w:tcW w:w="800" w:type="dxa"/>
            <w:vAlign w:val="bottom"/>
          </w:tcPr>
          <w:p>
            <w:pPr>
              <w:ind w:left="220"/>
              <w:spacing w:after="0" w:line="188" w:lineRule="exact"/>
              <w:rPr>
                <w:sz w:val="20"/>
                <w:szCs w:val="20"/>
                <w:color w:val="auto"/>
              </w:rPr>
            </w:pPr>
            <w:r>
              <w:rPr>
                <w:rFonts w:ascii="Arial" w:cs="Arial" w:eastAsia="Arial" w:hAnsi="Arial"/>
                <w:sz w:val="17"/>
                <w:szCs w:val="17"/>
                <w:color w:val="auto"/>
              </w:rPr>
              <w:t>F-1</w:t>
            </w:r>
          </w:p>
        </w:tc>
        <w:tc>
          <w:tcPr>
            <w:tcW w:w="1520" w:type="dxa"/>
            <w:vAlign w:val="bottom"/>
          </w:tcPr>
          <w:p>
            <w:pPr>
              <w:jc w:val="right"/>
              <w:ind w:right="273"/>
              <w:spacing w:after="0" w:line="188" w:lineRule="exact"/>
              <w:rPr>
                <w:sz w:val="20"/>
                <w:szCs w:val="20"/>
                <w:color w:val="auto"/>
              </w:rPr>
            </w:pPr>
            <w:r>
              <w:rPr>
                <w:rFonts w:ascii="Arial" w:cs="Arial" w:eastAsia="Arial" w:hAnsi="Arial"/>
                <w:sz w:val="17"/>
                <w:szCs w:val="17"/>
                <w:color w:val="auto"/>
              </w:rPr>
              <w:t>333-249020</w:t>
            </w:r>
          </w:p>
        </w:tc>
        <w:tc>
          <w:tcPr>
            <w:tcW w:w="980" w:type="dxa"/>
            <w:vAlign w:val="bottom"/>
          </w:tcPr>
          <w:p>
            <w:pPr>
              <w:jc w:val="right"/>
              <w:ind w:right="233"/>
              <w:spacing w:after="0" w:line="188" w:lineRule="exact"/>
              <w:rPr>
                <w:sz w:val="20"/>
                <w:szCs w:val="20"/>
                <w:color w:val="auto"/>
              </w:rPr>
            </w:pPr>
            <w:r>
              <w:rPr>
                <w:rFonts w:ascii="Arial" w:cs="Arial" w:eastAsia="Arial" w:hAnsi="Arial"/>
                <w:sz w:val="17"/>
                <w:szCs w:val="17"/>
                <w:color w:val="auto"/>
              </w:rPr>
              <w:t>10.4</w:t>
            </w:r>
          </w:p>
        </w:tc>
        <w:tc>
          <w:tcPr>
            <w:tcW w:w="1760" w:type="dxa"/>
            <w:vAlign w:val="bottom"/>
          </w:tcPr>
          <w:p>
            <w:pPr>
              <w:ind w:left="320"/>
              <w:spacing w:after="0" w:line="188" w:lineRule="exact"/>
              <w:rPr>
                <w:sz w:val="20"/>
                <w:szCs w:val="20"/>
                <w:color w:val="auto"/>
              </w:rPr>
            </w:pPr>
            <w:r>
              <w:rPr>
                <w:rFonts w:ascii="Arial" w:cs="Arial" w:eastAsia="Arial" w:hAnsi="Arial"/>
                <w:sz w:val="17"/>
                <w:szCs w:val="17"/>
                <w:color w:val="auto"/>
              </w:rPr>
              <w:t>9/24/20</w:t>
            </w:r>
          </w:p>
        </w:tc>
      </w:tr>
      <w:tr>
        <w:trPr>
          <w:trHeight w:val="331"/>
        </w:trPr>
        <w:tc>
          <w:tcPr>
            <w:tcW w:w="1100" w:type="dxa"/>
            <w:vAlign w:val="bottom"/>
          </w:tcPr>
          <w:p>
            <w:pPr>
              <w:ind w:left="40"/>
              <w:spacing w:after="0"/>
              <w:rPr>
                <w:sz w:val="20"/>
                <w:szCs w:val="20"/>
                <w:color w:val="auto"/>
              </w:rPr>
            </w:pPr>
            <w:r>
              <w:rPr>
                <w:rFonts w:ascii="Arial" w:cs="Arial" w:eastAsia="Arial" w:hAnsi="Arial"/>
                <w:sz w:val="17"/>
                <w:szCs w:val="17"/>
                <w:color w:val="auto"/>
              </w:rPr>
              <w:t>8.1</w:t>
            </w:r>
          </w:p>
        </w:tc>
        <w:tc>
          <w:tcPr>
            <w:tcW w:w="4660" w:type="dxa"/>
            <w:vAlign w:val="bottom"/>
            <w:gridSpan w:val="16"/>
          </w:tcPr>
          <w:p>
            <w:pPr>
              <w:spacing w:after="0"/>
              <w:rPr>
                <w:rFonts w:ascii="Arial" w:cs="Arial" w:eastAsia="Arial" w:hAnsi="Arial"/>
                <w:sz w:val="17"/>
                <w:szCs w:val="17"/>
                <w:color w:val="0000EE"/>
              </w:rPr>
            </w:pPr>
            <w:hyperlink w:anchor="page233">
              <w:r>
                <w:rPr>
                  <w:rFonts w:ascii="Arial" w:cs="Arial" w:eastAsia="Arial" w:hAnsi="Arial"/>
                  <w:sz w:val="17"/>
                  <w:szCs w:val="17"/>
                  <w:color w:val="0000EE"/>
                </w:rPr>
                <w:t>List of subsidiaries.</w:t>
              </w:r>
            </w:hyperlink>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ind w:left="1620"/>
              <w:spacing w:after="0"/>
              <w:rPr>
                <w:sz w:val="20"/>
                <w:szCs w:val="20"/>
                <w:color w:val="auto"/>
              </w:rPr>
            </w:pPr>
            <w:r>
              <w:rPr>
                <w:rFonts w:ascii="Arial" w:cs="Arial" w:eastAsia="Arial" w:hAnsi="Arial"/>
                <w:sz w:val="17"/>
                <w:szCs w:val="17"/>
                <w:color w:val="auto"/>
              </w:rPr>
              <w:t>X</w:t>
            </w: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7"/>
                <w:szCs w:val="17"/>
                <w:color w:val="auto"/>
              </w:rPr>
              <w:t>12.1</w:t>
            </w:r>
          </w:p>
        </w:tc>
        <w:tc>
          <w:tcPr>
            <w:tcW w:w="4660" w:type="dxa"/>
            <w:vAlign w:val="bottom"/>
            <w:gridSpan w:val="16"/>
          </w:tcPr>
          <w:p>
            <w:pPr>
              <w:spacing w:after="0"/>
              <w:rPr>
                <w:rFonts w:ascii="Arial" w:cs="Arial" w:eastAsia="Arial" w:hAnsi="Arial"/>
                <w:sz w:val="17"/>
                <w:szCs w:val="17"/>
                <w:color w:val="0000EE"/>
              </w:rPr>
            </w:pPr>
            <w:hyperlink w:anchor="page234">
              <w:r>
                <w:rPr>
                  <w:rFonts w:ascii="Arial" w:cs="Arial" w:eastAsia="Arial" w:hAnsi="Arial"/>
                  <w:sz w:val="17"/>
                  <w:szCs w:val="17"/>
                  <w:color w:val="0000EE"/>
                </w:rPr>
                <w:t>Certification of the Principal Executive Officer pursuant to</w:t>
              </w:r>
            </w:hyperlink>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rPr>
            </w:pPr>
            <w:hyperlink w:anchor="page234">
              <w:r>
                <w:rPr>
                  <w:rFonts w:ascii="Arial" w:cs="Arial" w:eastAsia="Arial" w:hAnsi="Arial"/>
                  <w:sz w:val="17"/>
                  <w:szCs w:val="17"/>
                  <w:color w:val="0000EE"/>
                </w:rPr>
                <w:t>rules 13a-14(a) and 15d-14(a) under the Securities Exchange</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3760" w:type="dxa"/>
            <w:vAlign w:val="bottom"/>
            <w:tcBorders>
              <w:top w:val="single" w:sz="8" w:color="0000EE"/>
              <w:bottom w:val="single" w:sz="8" w:color="0000EE"/>
            </w:tcBorders>
            <w:gridSpan w:val="6"/>
          </w:tcPr>
          <w:p>
            <w:pPr>
              <w:spacing w:after="0" w:line="188" w:lineRule="exact"/>
              <w:rPr>
                <w:rFonts w:ascii="Arial" w:cs="Arial" w:eastAsia="Arial" w:hAnsi="Arial"/>
                <w:sz w:val="17"/>
                <w:szCs w:val="17"/>
                <w:color w:val="0000EE"/>
                <w:w w:val="91"/>
              </w:rPr>
            </w:pPr>
            <w:hyperlink w:anchor="page234">
              <w:r>
                <w:rPr>
                  <w:rFonts w:ascii="Arial" w:cs="Arial" w:eastAsia="Arial" w:hAnsi="Arial"/>
                  <w:sz w:val="17"/>
                  <w:szCs w:val="17"/>
                  <w:color w:val="0000EE"/>
                  <w:w w:val="91"/>
                </w:rPr>
                <w:t>Act of 1934, as adopted pursuant to section 302 of the</w:t>
              </w:r>
            </w:hyperlink>
          </w:p>
        </w:tc>
        <w:tc>
          <w:tcPr>
            <w:tcW w:w="460" w:type="dxa"/>
            <w:vAlign w:val="bottom"/>
            <w:tcBorders>
              <w:top w:val="single" w:sz="8" w:color="0000EE"/>
            </w:tcBorders>
            <w:gridSpan w:val="5"/>
          </w:tcPr>
          <w:p>
            <w:pPr>
              <w:spacing w:after="0"/>
              <w:rPr>
                <w:sz w:val="16"/>
                <w:szCs w:val="16"/>
                <w:color w:val="auto"/>
              </w:rPr>
            </w:pPr>
          </w:p>
        </w:tc>
        <w:tc>
          <w:tcPr>
            <w:tcW w:w="440" w:type="dxa"/>
            <w:vAlign w:val="bottom"/>
            <w:gridSpan w:val="5"/>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rPr>
            </w:pPr>
            <w:hyperlink w:anchor="page234">
              <w:r>
                <w:rPr>
                  <w:rFonts w:ascii="Arial" w:cs="Arial" w:eastAsia="Arial" w:hAnsi="Arial"/>
                  <w:sz w:val="17"/>
                  <w:szCs w:val="17"/>
                  <w:color w:val="0000EE"/>
                </w:rPr>
                <w:t>Sarbanes-Oxley Act of 2002.</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ind w:left="1620"/>
              <w:spacing w:after="0" w:line="188" w:lineRule="exact"/>
              <w:rPr>
                <w:sz w:val="20"/>
                <w:szCs w:val="20"/>
                <w:color w:val="auto"/>
              </w:rPr>
            </w:pPr>
            <w:r>
              <w:rPr>
                <w:rFonts w:ascii="Arial" w:cs="Arial" w:eastAsia="Arial" w:hAnsi="Arial"/>
                <w:sz w:val="17"/>
                <w:szCs w:val="17"/>
                <w:color w:val="auto"/>
              </w:rPr>
              <w:t>X</w:t>
            </w: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7"/>
                <w:szCs w:val="17"/>
                <w:color w:val="auto"/>
              </w:rPr>
              <w:t>12.2</w:t>
            </w:r>
          </w:p>
        </w:tc>
        <w:tc>
          <w:tcPr>
            <w:tcW w:w="4340" w:type="dxa"/>
            <w:vAlign w:val="bottom"/>
            <w:tcBorders>
              <w:bottom w:val="single" w:sz="8" w:color="0000EE"/>
            </w:tcBorders>
            <w:gridSpan w:val="14"/>
          </w:tcPr>
          <w:p>
            <w:pPr>
              <w:spacing w:after="0"/>
              <w:rPr>
                <w:rFonts w:ascii="Arial" w:cs="Arial" w:eastAsia="Arial" w:hAnsi="Arial"/>
                <w:sz w:val="17"/>
                <w:szCs w:val="17"/>
                <w:color w:val="0000EE"/>
                <w:w w:val="94"/>
              </w:rPr>
            </w:pPr>
            <w:hyperlink w:anchor="page235">
              <w:r>
                <w:rPr>
                  <w:rFonts w:ascii="Arial" w:cs="Arial" w:eastAsia="Arial" w:hAnsi="Arial"/>
                  <w:sz w:val="17"/>
                  <w:szCs w:val="17"/>
                  <w:color w:val="0000EE"/>
                  <w:w w:val="94"/>
                </w:rPr>
                <w:t>Certification of the Principal Finance Officer pursuant to rules</w:t>
              </w:r>
            </w:hyperlink>
          </w:p>
        </w:tc>
        <w:tc>
          <w:tcPr>
            <w:tcW w:w="3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1100" w:type="dxa"/>
            <w:vAlign w:val="bottom"/>
          </w:tcPr>
          <w:p>
            <w:pPr>
              <w:spacing w:after="0"/>
              <w:rPr>
                <w:sz w:val="16"/>
                <w:szCs w:val="16"/>
                <w:color w:val="auto"/>
              </w:rPr>
            </w:pPr>
          </w:p>
        </w:tc>
        <w:tc>
          <w:tcPr>
            <w:tcW w:w="4340" w:type="dxa"/>
            <w:vAlign w:val="bottom"/>
            <w:tcBorders>
              <w:bottom w:val="single" w:sz="8" w:color="0000EE"/>
            </w:tcBorders>
            <w:gridSpan w:val="14"/>
          </w:tcPr>
          <w:p>
            <w:pPr>
              <w:spacing w:after="0" w:line="188" w:lineRule="exact"/>
              <w:rPr>
                <w:rFonts w:ascii="Arial" w:cs="Arial" w:eastAsia="Arial" w:hAnsi="Arial"/>
                <w:sz w:val="17"/>
                <w:szCs w:val="17"/>
                <w:color w:val="0000EE"/>
                <w:w w:val="91"/>
              </w:rPr>
            </w:pPr>
            <w:hyperlink w:anchor="page235">
              <w:r>
                <w:rPr>
                  <w:rFonts w:ascii="Arial" w:cs="Arial" w:eastAsia="Arial" w:hAnsi="Arial"/>
                  <w:sz w:val="17"/>
                  <w:szCs w:val="17"/>
                  <w:color w:val="0000EE"/>
                  <w:w w:val="91"/>
                </w:rPr>
                <w:t>13a-14(a) and 15d-14(a) under the Securities Exchange Act of</w:t>
              </w:r>
            </w:hyperlink>
          </w:p>
        </w:tc>
        <w:tc>
          <w:tcPr>
            <w:tcW w:w="32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w w:val="95"/>
              </w:rPr>
            </w:pPr>
            <w:hyperlink w:anchor="page235">
              <w:r>
                <w:rPr>
                  <w:rFonts w:ascii="Arial" w:cs="Arial" w:eastAsia="Arial" w:hAnsi="Arial"/>
                  <w:sz w:val="17"/>
                  <w:szCs w:val="17"/>
                  <w:color w:val="0000EE"/>
                  <w:w w:val="95"/>
                </w:rPr>
                <w:t>1934, as adopted pursuant to section 302 of the Sarbanes-Oxley</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88" w:lineRule="exact"/>
              <w:rPr>
                <w:rFonts w:ascii="Arial" w:cs="Arial" w:eastAsia="Arial" w:hAnsi="Arial"/>
                <w:sz w:val="17"/>
                <w:szCs w:val="17"/>
                <w:color w:val="0000EE"/>
                <w:w w:val="94"/>
              </w:rPr>
            </w:pPr>
            <w:hyperlink w:anchor="page235">
              <w:r>
                <w:rPr>
                  <w:rFonts w:ascii="Arial" w:cs="Arial" w:eastAsia="Arial" w:hAnsi="Arial"/>
                  <w:sz w:val="17"/>
                  <w:szCs w:val="17"/>
                  <w:color w:val="0000EE"/>
                  <w:w w:val="94"/>
                </w:rPr>
                <w:t>Act of 2002.</w:t>
              </w:r>
            </w:hyperlink>
          </w:p>
        </w:tc>
        <w:tc>
          <w:tcPr>
            <w:tcW w:w="3540" w:type="dxa"/>
            <w:vAlign w:val="bottom"/>
            <w:tcBorders>
              <w:top w:val="single" w:sz="8" w:color="0000EE"/>
            </w:tcBorders>
            <w:gridSpan w:val="14"/>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ind w:left="1620"/>
              <w:spacing w:after="0" w:line="188" w:lineRule="exact"/>
              <w:rPr>
                <w:sz w:val="20"/>
                <w:szCs w:val="20"/>
                <w:color w:val="auto"/>
              </w:rPr>
            </w:pPr>
            <w:r>
              <w:rPr>
                <w:rFonts w:ascii="Arial" w:cs="Arial" w:eastAsia="Arial" w:hAnsi="Arial"/>
                <w:sz w:val="17"/>
                <w:szCs w:val="17"/>
                <w:color w:val="auto"/>
              </w:rPr>
              <w:t>X</w:t>
            </w:r>
          </w:p>
        </w:tc>
      </w:tr>
      <w:tr>
        <w:trPr>
          <w:trHeight w:val="331"/>
        </w:trPr>
        <w:tc>
          <w:tcPr>
            <w:tcW w:w="1100" w:type="dxa"/>
            <w:vAlign w:val="bottom"/>
          </w:tcPr>
          <w:p>
            <w:pPr>
              <w:spacing w:after="0"/>
              <w:rPr>
                <w:sz w:val="20"/>
                <w:szCs w:val="20"/>
                <w:color w:val="auto"/>
              </w:rPr>
            </w:pPr>
            <w:r>
              <w:rPr>
                <w:rFonts w:ascii="Arial" w:cs="Arial" w:eastAsia="Arial" w:hAnsi="Arial"/>
                <w:sz w:val="17"/>
                <w:szCs w:val="17"/>
                <w:color w:val="auto"/>
              </w:rPr>
              <w:t>13.1†</w:t>
            </w:r>
          </w:p>
        </w:tc>
        <w:tc>
          <w:tcPr>
            <w:tcW w:w="4320" w:type="dxa"/>
            <w:vAlign w:val="bottom"/>
            <w:tcBorders>
              <w:bottom w:val="single" w:sz="8" w:color="0000EE"/>
            </w:tcBorders>
            <w:gridSpan w:val="13"/>
          </w:tcPr>
          <w:p>
            <w:pPr>
              <w:spacing w:after="0"/>
              <w:rPr>
                <w:rFonts w:ascii="Arial" w:cs="Arial" w:eastAsia="Arial" w:hAnsi="Arial"/>
                <w:sz w:val="17"/>
                <w:szCs w:val="17"/>
                <w:color w:val="0000EE"/>
                <w:w w:val="94"/>
              </w:rPr>
            </w:pPr>
            <w:hyperlink w:anchor="page236">
              <w:r>
                <w:rPr>
                  <w:rFonts w:ascii="Arial" w:cs="Arial" w:eastAsia="Arial" w:hAnsi="Arial"/>
                  <w:sz w:val="17"/>
                  <w:szCs w:val="17"/>
                  <w:color w:val="0000EE"/>
                  <w:w w:val="94"/>
                </w:rPr>
                <w:t>Certification of the Principal Executive Officer pursuant to 18</w:t>
              </w:r>
            </w:hyperlink>
          </w:p>
        </w:tc>
        <w:tc>
          <w:tcPr>
            <w:tcW w:w="3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1100" w:type="dxa"/>
            <w:vAlign w:val="bottom"/>
          </w:tcPr>
          <w:p>
            <w:pPr>
              <w:spacing w:after="0"/>
              <w:rPr>
                <w:sz w:val="16"/>
                <w:szCs w:val="16"/>
                <w:color w:val="auto"/>
              </w:rPr>
            </w:pPr>
          </w:p>
        </w:tc>
        <w:tc>
          <w:tcPr>
            <w:tcW w:w="4320" w:type="dxa"/>
            <w:vAlign w:val="bottom"/>
            <w:tcBorders>
              <w:bottom w:val="single" w:sz="8" w:color="0000EE"/>
            </w:tcBorders>
            <w:gridSpan w:val="13"/>
          </w:tcPr>
          <w:p>
            <w:pPr>
              <w:spacing w:after="0" w:line="188" w:lineRule="exact"/>
              <w:rPr>
                <w:rFonts w:ascii="Arial" w:cs="Arial" w:eastAsia="Arial" w:hAnsi="Arial"/>
                <w:sz w:val="17"/>
                <w:szCs w:val="17"/>
                <w:color w:val="0000EE"/>
                <w:w w:val="90"/>
              </w:rPr>
            </w:pPr>
            <w:hyperlink w:anchor="page236">
              <w:r>
                <w:rPr>
                  <w:rFonts w:ascii="Arial" w:cs="Arial" w:eastAsia="Arial" w:hAnsi="Arial"/>
                  <w:sz w:val="17"/>
                  <w:szCs w:val="17"/>
                  <w:color w:val="0000EE"/>
                  <w:w w:val="90"/>
                </w:rPr>
                <w:t>U.S.C. section 1350, as adopted pursuant to section 906 of the</w:t>
              </w:r>
            </w:hyperlink>
          </w:p>
        </w:tc>
        <w:tc>
          <w:tcPr>
            <w:tcW w:w="34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rPr>
            </w:pPr>
            <w:hyperlink w:anchor="page236">
              <w:r>
                <w:rPr>
                  <w:rFonts w:ascii="Arial" w:cs="Arial" w:eastAsia="Arial" w:hAnsi="Arial"/>
                  <w:sz w:val="17"/>
                  <w:szCs w:val="17"/>
                  <w:color w:val="0000EE"/>
                </w:rPr>
                <w:t>Sarbanes-Oxley Act of 2002.</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ind w:left="1620"/>
              <w:spacing w:after="0" w:line="188" w:lineRule="exact"/>
              <w:rPr>
                <w:sz w:val="20"/>
                <w:szCs w:val="20"/>
                <w:color w:val="auto"/>
              </w:rPr>
            </w:pPr>
            <w:r>
              <w:rPr>
                <w:rFonts w:ascii="Arial" w:cs="Arial" w:eastAsia="Arial" w:hAnsi="Arial"/>
                <w:sz w:val="17"/>
                <w:szCs w:val="17"/>
                <w:color w:val="auto"/>
              </w:rPr>
              <w:t>X</w:t>
            </w:r>
          </w:p>
        </w:tc>
      </w:tr>
      <w:tr>
        <w:trPr>
          <w:trHeight w:val="20"/>
        </w:trPr>
        <w:tc>
          <w:tcPr>
            <w:tcW w:w="11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1"/>
        </w:trPr>
        <w:tc>
          <w:tcPr>
            <w:tcW w:w="1100" w:type="dxa"/>
            <w:vAlign w:val="bottom"/>
          </w:tcPr>
          <w:p>
            <w:pPr>
              <w:spacing w:after="0"/>
              <w:rPr>
                <w:sz w:val="20"/>
                <w:szCs w:val="20"/>
                <w:color w:val="auto"/>
              </w:rPr>
            </w:pPr>
            <w:r>
              <w:rPr>
                <w:rFonts w:ascii="Arial" w:cs="Arial" w:eastAsia="Arial" w:hAnsi="Arial"/>
                <w:sz w:val="17"/>
                <w:szCs w:val="17"/>
                <w:color w:val="auto"/>
              </w:rPr>
              <w:t>13.2†</w:t>
            </w:r>
          </w:p>
        </w:tc>
        <w:tc>
          <w:tcPr>
            <w:tcW w:w="4660" w:type="dxa"/>
            <w:vAlign w:val="bottom"/>
            <w:gridSpan w:val="16"/>
          </w:tcPr>
          <w:p>
            <w:pPr>
              <w:spacing w:after="0"/>
              <w:rPr>
                <w:rFonts w:ascii="Arial" w:cs="Arial" w:eastAsia="Arial" w:hAnsi="Arial"/>
                <w:sz w:val="17"/>
                <w:szCs w:val="17"/>
                <w:color w:val="0000EE"/>
              </w:rPr>
            </w:pPr>
            <w:hyperlink w:anchor="page237">
              <w:r>
                <w:rPr>
                  <w:rFonts w:ascii="Arial" w:cs="Arial" w:eastAsia="Arial" w:hAnsi="Arial"/>
                  <w:sz w:val="17"/>
                  <w:szCs w:val="17"/>
                  <w:color w:val="0000EE"/>
                </w:rPr>
                <w:t>Certification of the Principal Finance Officer pursuant to 18</w:t>
              </w:r>
            </w:hyperlink>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4320" w:type="dxa"/>
            <w:vAlign w:val="bottom"/>
            <w:tcBorders>
              <w:bottom w:val="single" w:sz="8" w:color="0000EE"/>
            </w:tcBorders>
            <w:gridSpan w:val="13"/>
          </w:tcPr>
          <w:p>
            <w:pPr>
              <w:spacing w:after="0" w:line="188" w:lineRule="exact"/>
              <w:rPr>
                <w:rFonts w:ascii="Arial" w:cs="Arial" w:eastAsia="Arial" w:hAnsi="Arial"/>
                <w:sz w:val="17"/>
                <w:szCs w:val="17"/>
                <w:color w:val="0000EE"/>
                <w:w w:val="90"/>
              </w:rPr>
            </w:pPr>
            <w:hyperlink w:anchor="page237">
              <w:r>
                <w:rPr>
                  <w:rFonts w:ascii="Arial" w:cs="Arial" w:eastAsia="Arial" w:hAnsi="Arial"/>
                  <w:sz w:val="17"/>
                  <w:szCs w:val="17"/>
                  <w:color w:val="0000EE"/>
                  <w:w w:val="90"/>
                </w:rPr>
                <w:t>U.S.C. section 1350, as adopted pursuant to section 906 of the</w:t>
              </w:r>
            </w:hyperlink>
          </w:p>
        </w:tc>
        <w:tc>
          <w:tcPr>
            <w:tcW w:w="340" w:type="dxa"/>
            <w:vAlign w:val="bottom"/>
            <w:gridSpan w:val="3"/>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rPr>
            </w:pPr>
            <w:hyperlink w:anchor="page237">
              <w:r>
                <w:rPr>
                  <w:rFonts w:ascii="Arial" w:cs="Arial" w:eastAsia="Arial" w:hAnsi="Arial"/>
                  <w:sz w:val="17"/>
                  <w:szCs w:val="17"/>
                  <w:color w:val="0000EE"/>
                </w:rPr>
                <w:t>Sarbanes-Oxley Act of 2002.</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ind w:left="1620"/>
              <w:spacing w:after="0" w:line="188" w:lineRule="exact"/>
              <w:rPr>
                <w:sz w:val="20"/>
                <w:szCs w:val="20"/>
                <w:color w:val="auto"/>
              </w:rPr>
            </w:pPr>
            <w:r>
              <w:rPr>
                <w:rFonts w:ascii="Arial" w:cs="Arial" w:eastAsia="Arial" w:hAnsi="Arial"/>
                <w:sz w:val="17"/>
                <w:szCs w:val="17"/>
                <w:color w:val="auto"/>
              </w:rPr>
              <w:t>X</w:t>
            </w:r>
          </w:p>
        </w:tc>
      </w:tr>
      <w:tr>
        <w:trPr>
          <w:trHeight w:val="20"/>
        </w:trPr>
        <w:tc>
          <w:tcPr>
            <w:tcW w:w="11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1"/>
        </w:trPr>
        <w:tc>
          <w:tcPr>
            <w:tcW w:w="1100" w:type="dxa"/>
            <w:vAlign w:val="bottom"/>
          </w:tcPr>
          <w:p>
            <w:pPr>
              <w:ind w:left="40"/>
              <w:spacing w:after="0"/>
              <w:rPr>
                <w:sz w:val="20"/>
                <w:szCs w:val="20"/>
                <w:color w:val="auto"/>
              </w:rPr>
            </w:pPr>
            <w:r>
              <w:rPr>
                <w:rFonts w:ascii="Arial" w:cs="Arial" w:eastAsia="Arial" w:hAnsi="Arial"/>
                <w:sz w:val="17"/>
                <w:szCs w:val="17"/>
                <w:color w:val="auto"/>
              </w:rPr>
              <w:t>15.1</w:t>
            </w:r>
          </w:p>
        </w:tc>
        <w:tc>
          <w:tcPr>
            <w:tcW w:w="430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238">
              <w:r>
                <w:rPr>
                  <w:rFonts w:ascii="Arial" w:cs="Arial" w:eastAsia="Arial" w:hAnsi="Arial"/>
                  <w:sz w:val="17"/>
                  <w:szCs w:val="17"/>
                  <w:color w:val="0000EE"/>
                  <w:w w:val="91"/>
                </w:rPr>
                <w:t>Consent of Deloitte Touche Tohmatsu, independent registered</w:t>
              </w:r>
            </w:hyperlink>
          </w:p>
        </w:tc>
        <w:tc>
          <w:tcPr>
            <w:tcW w:w="36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8"/>
        </w:trPr>
        <w:tc>
          <w:tcPr>
            <w:tcW w:w="1100" w:type="dxa"/>
            <w:vAlign w:val="bottom"/>
          </w:tcPr>
          <w:p>
            <w:pPr>
              <w:spacing w:after="0"/>
              <w:rPr>
                <w:sz w:val="16"/>
                <w:szCs w:val="16"/>
                <w:color w:val="auto"/>
              </w:rPr>
            </w:pPr>
          </w:p>
        </w:tc>
        <w:tc>
          <w:tcPr>
            <w:tcW w:w="4660" w:type="dxa"/>
            <w:vAlign w:val="bottom"/>
            <w:gridSpan w:val="16"/>
          </w:tcPr>
          <w:p>
            <w:pPr>
              <w:spacing w:after="0" w:line="188" w:lineRule="exact"/>
              <w:rPr>
                <w:rFonts w:ascii="Arial" w:cs="Arial" w:eastAsia="Arial" w:hAnsi="Arial"/>
                <w:sz w:val="17"/>
                <w:szCs w:val="17"/>
                <w:color w:val="0000EE"/>
              </w:rPr>
            </w:pPr>
            <w:hyperlink w:anchor="page238">
              <w:r>
                <w:rPr>
                  <w:rFonts w:ascii="Arial" w:cs="Arial" w:eastAsia="Arial" w:hAnsi="Arial"/>
                  <w:sz w:val="17"/>
                  <w:szCs w:val="17"/>
                  <w:color w:val="0000EE"/>
                </w:rPr>
                <w:t>public accounting firm.</w:t>
              </w:r>
            </w:hyperlink>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ind w:left="1620"/>
              <w:spacing w:after="0" w:line="188" w:lineRule="exact"/>
              <w:rPr>
                <w:sz w:val="20"/>
                <w:szCs w:val="20"/>
                <w:color w:val="auto"/>
              </w:rPr>
            </w:pPr>
            <w:r>
              <w:rPr>
                <w:rFonts w:ascii="Arial" w:cs="Arial" w:eastAsia="Arial" w:hAnsi="Arial"/>
                <w:sz w:val="17"/>
                <w:szCs w:val="17"/>
                <w:color w:val="auto"/>
              </w:rPr>
              <w:t>X</w:t>
            </w:r>
          </w:p>
        </w:tc>
      </w:tr>
      <w:tr>
        <w:trPr>
          <w:trHeight w:val="20"/>
        </w:trPr>
        <w:tc>
          <w:tcPr>
            <w:tcW w:w="110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57"/>
        </w:trPr>
        <w:tc>
          <w:tcPr>
            <w:tcW w:w="1100" w:type="dxa"/>
            <w:vAlign w:val="bottom"/>
          </w:tcPr>
          <w:p>
            <w:pPr>
              <w:spacing w:after="0"/>
              <w:rPr>
                <w:sz w:val="20"/>
                <w:szCs w:val="20"/>
                <w:color w:val="auto"/>
              </w:rPr>
            </w:pPr>
            <w:r>
              <w:rPr>
                <w:rFonts w:ascii="Arial" w:cs="Arial" w:eastAsia="Arial" w:hAnsi="Arial"/>
                <w:sz w:val="17"/>
                <w:szCs w:val="17"/>
                <w:color w:val="auto"/>
              </w:rPr>
              <w:t>101.</w:t>
            </w:r>
          </w:p>
        </w:tc>
        <w:tc>
          <w:tcPr>
            <w:tcW w:w="4660" w:type="dxa"/>
            <w:vAlign w:val="bottom"/>
            <w:gridSpan w:val="16"/>
          </w:tcPr>
          <w:p>
            <w:pPr>
              <w:spacing w:after="0"/>
              <w:rPr>
                <w:sz w:val="20"/>
                <w:szCs w:val="20"/>
                <w:color w:val="auto"/>
              </w:rPr>
            </w:pPr>
            <w:r>
              <w:rPr>
                <w:rFonts w:ascii="Arial" w:cs="Arial" w:eastAsia="Arial" w:hAnsi="Arial"/>
                <w:sz w:val="17"/>
                <w:szCs w:val="17"/>
                <w:color w:val="auto"/>
                <w:w w:val="98"/>
              </w:rPr>
              <w:t>The following financial statements from the Company’s Annual</w:t>
            </w: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rPr>
              <w:t>Report on Form 20-F for the fiscal year ended  June 30, 2021</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rPr>
              <w:t>were formatted in Inline XBRL: (i) Consolidated Statement of</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rPr>
              <w:t>Profit or Loss and Comprehensive Income, (ii) Consolidated</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w w:val="98"/>
              </w:rPr>
              <w:t>Statement of Financial Position, (iii) Consolidated Statement of</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w w:val="97"/>
              </w:rPr>
              <w:t>Changes in Equity, (iv) Consolidated Statement of Cash Flows,</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w w:val="97"/>
              </w:rPr>
              <w:t>and (v) the Notes to Consolidated Financial Statements, tagged</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1100" w:type="dxa"/>
            <w:vAlign w:val="bottom"/>
          </w:tcPr>
          <w:p>
            <w:pPr>
              <w:spacing w:after="0"/>
              <w:rPr>
                <w:sz w:val="19"/>
                <w:szCs w:val="19"/>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rPr>
              <w:t>as blocks of text and including detailed tags.</w:t>
            </w: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ind w:left="1620"/>
              <w:spacing w:after="0"/>
              <w:rPr>
                <w:sz w:val="20"/>
                <w:szCs w:val="20"/>
                <w:color w:val="auto"/>
              </w:rPr>
            </w:pPr>
            <w:r>
              <w:rPr>
                <w:rFonts w:ascii="Arial" w:cs="Arial" w:eastAsia="Arial" w:hAnsi="Arial"/>
                <w:sz w:val="17"/>
                <w:szCs w:val="17"/>
                <w:color w:val="auto"/>
              </w:rPr>
              <w:t>X</w:t>
            </w:r>
          </w:p>
        </w:tc>
      </w:tr>
      <w:tr>
        <w:trPr>
          <w:trHeight w:val="338"/>
        </w:trPr>
        <w:tc>
          <w:tcPr>
            <w:tcW w:w="1100" w:type="dxa"/>
            <w:vAlign w:val="bottom"/>
          </w:tcPr>
          <w:p>
            <w:pPr>
              <w:spacing w:after="0"/>
              <w:rPr>
                <w:sz w:val="20"/>
                <w:szCs w:val="20"/>
                <w:color w:val="auto"/>
              </w:rPr>
            </w:pPr>
            <w:r>
              <w:rPr>
                <w:rFonts w:ascii="Arial" w:cs="Arial" w:eastAsia="Arial" w:hAnsi="Arial"/>
                <w:sz w:val="17"/>
                <w:szCs w:val="17"/>
                <w:color w:val="auto"/>
              </w:rPr>
              <w:t>104.</w:t>
            </w:r>
          </w:p>
        </w:tc>
        <w:tc>
          <w:tcPr>
            <w:tcW w:w="4660" w:type="dxa"/>
            <w:vAlign w:val="bottom"/>
            <w:gridSpan w:val="16"/>
          </w:tcPr>
          <w:p>
            <w:pPr>
              <w:spacing w:after="0"/>
              <w:rPr>
                <w:sz w:val="20"/>
                <w:szCs w:val="20"/>
                <w:color w:val="auto"/>
              </w:rPr>
            </w:pPr>
            <w:r>
              <w:rPr>
                <w:rFonts w:ascii="Arial" w:cs="Arial" w:eastAsia="Arial" w:hAnsi="Arial"/>
                <w:sz w:val="17"/>
                <w:szCs w:val="17"/>
                <w:color w:val="auto"/>
              </w:rPr>
              <w:t>The cover page from the Company’s Annual Report on Form</w:t>
            </w: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8"/>
        </w:trPr>
        <w:tc>
          <w:tcPr>
            <w:tcW w:w="1100" w:type="dxa"/>
            <w:vAlign w:val="bottom"/>
          </w:tcPr>
          <w:p>
            <w:pPr>
              <w:spacing w:after="0"/>
              <w:rPr>
                <w:sz w:val="18"/>
                <w:szCs w:val="18"/>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w w:val="97"/>
              </w:rPr>
              <w:t>20-F for the fiscal year ended June 30, 2021, formatted in Inline</w:t>
            </w: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0"/>
        </w:trPr>
        <w:tc>
          <w:tcPr>
            <w:tcW w:w="1100" w:type="dxa"/>
            <w:vAlign w:val="bottom"/>
          </w:tcPr>
          <w:p>
            <w:pPr>
              <w:spacing w:after="0"/>
              <w:rPr>
                <w:sz w:val="19"/>
                <w:szCs w:val="19"/>
                <w:color w:val="auto"/>
              </w:rPr>
            </w:pPr>
          </w:p>
        </w:tc>
        <w:tc>
          <w:tcPr>
            <w:tcW w:w="4660" w:type="dxa"/>
            <w:vAlign w:val="bottom"/>
            <w:gridSpan w:val="16"/>
          </w:tcPr>
          <w:p>
            <w:pPr>
              <w:spacing w:after="0"/>
              <w:rPr>
                <w:sz w:val="20"/>
                <w:szCs w:val="20"/>
                <w:color w:val="auto"/>
              </w:rPr>
            </w:pPr>
            <w:r>
              <w:rPr>
                <w:rFonts w:ascii="Arial" w:cs="Arial" w:eastAsia="Arial" w:hAnsi="Arial"/>
                <w:sz w:val="17"/>
                <w:szCs w:val="17"/>
                <w:color w:val="auto"/>
              </w:rPr>
              <w:t>XBRL (Included as Exhibit 101.</w:t>
            </w: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tcPr>
          <w:p>
            <w:pPr>
              <w:ind w:left="1620"/>
              <w:spacing w:after="0"/>
              <w:rPr>
                <w:sz w:val="20"/>
                <w:szCs w:val="20"/>
                <w:color w:val="auto"/>
              </w:rPr>
            </w:pPr>
            <w:r>
              <w:rPr>
                <w:rFonts w:ascii="Arial" w:cs="Arial" w:eastAsia="Arial" w:hAnsi="Arial"/>
                <w:sz w:val="17"/>
                <w:szCs w:val="17"/>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165100</wp:posOffset>
            </wp:positionV>
            <wp:extent cx="16503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273" w:lineRule="exact"/>
        <w:rPr>
          <w:sz w:val="20"/>
          <w:szCs w:val="20"/>
          <w:color w:val="auto"/>
        </w:rPr>
      </w:pPr>
    </w:p>
    <w:p>
      <w:pPr>
        <w:ind w:left="440" w:hanging="436"/>
        <w:spacing w:after="0"/>
        <w:tabs>
          <w:tab w:leader="none" w:pos="4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86" w:lineRule="exact"/>
        <w:rPr>
          <w:sz w:val="20"/>
          <w:szCs w:val="20"/>
          <w:color w:val="auto"/>
        </w:rPr>
      </w:pPr>
    </w:p>
    <w:p>
      <w:pPr>
        <w:ind w:left="440" w:hanging="436"/>
        <w:spacing w:after="0" w:line="237" w:lineRule="auto"/>
        <w:tabs>
          <w:tab w:leader="none" w:pos="4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Certain confidential portions of this exhibit were omitted by means of marking such portions with brackets (“[***]”) because the identified confidential portions are not material and would be competitively harmful if publicly disclosed.</w:t>
      </w:r>
    </w:p>
    <w:p>
      <w:pPr>
        <w:spacing w:after="0" w:line="72" w:lineRule="exact"/>
        <w:rPr>
          <w:sz w:val="20"/>
          <w:szCs w:val="20"/>
          <w:color w:val="auto"/>
        </w:rPr>
      </w:pPr>
    </w:p>
    <w:p>
      <w:pPr>
        <w:jc w:val="both"/>
        <w:ind w:left="440" w:hanging="436"/>
        <w:spacing w:after="0" w:line="229" w:lineRule="auto"/>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certifications attached as Exhibits 13.1 and 13.2 accompanying this Annual Report on Form 10-K are not deemed filed with the SEC and are not to be incorporated by reference into any filing of Opthea Limited under the Securities Act of 1933, as amended, or the Securities Exchange Act of 1934, as amended, whether made before or after the date of this Annual Report on Form 20-F, irrespective of any general incorporation language contained in such filing.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ind w:firstLine="433"/>
        <w:spacing w:after="0" w:line="285"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Opthea Limited</w:t>
      </w:r>
    </w:p>
    <w:p>
      <w:pPr>
        <w:spacing w:after="0" w:line="226"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Arial" w:cs="Arial" w:eastAsia="Arial" w:hAnsi="Arial"/>
                <w:sz w:val="16"/>
                <w:szCs w:val="16"/>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7"/>
                <w:szCs w:val="17"/>
                <w:color w:val="auto"/>
              </w:rPr>
              <w:t>Megan Baldwin</w:t>
            </w:r>
          </w:p>
        </w:tc>
      </w:tr>
      <w:tr>
        <w:trPr>
          <w:trHeight w:val="191"/>
        </w:trPr>
        <w:tc>
          <w:tcPr>
            <w:tcW w:w="880" w:type="dxa"/>
            <w:vAlign w:val="bottom"/>
          </w:tcPr>
          <w:p>
            <w:pPr>
              <w:spacing w:after="0" w:line="182" w:lineRule="exact"/>
              <w:rPr>
                <w:sz w:val="20"/>
                <w:szCs w:val="20"/>
                <w:color w:val="auto"/>
              </w:rPr>
            </w:pPr>
            <w:r>
              <w:rPr>
                <w:rFonts w:ascii="Arial" w:cs="Arial" w:eastAsia="Arial" w:hAnsi="Arial"/>
                <w:sz w:val="16"/>
                <w:szCs w:val="16"/>
                <w:color w:val="auto"/>
              </w:rPr>
              <w:t>Name:</w:t>
            </w:r>
          </w:p>
        </w:tc>
        <w:tc>
          <w:tcPr>
            <w:tcW w:w="4720" w:type="dxa"/>
            <w:vAlign w:val="bottom"/>
          </w:tcPr>
          <w:p>
            <w:pPr>
              <w:spacing w:after="0"/>
              <w:rPr>
                <w:sz w:val="20"/>
                <w:szCs w:val="20"/>
                <w:color w:val="auto"/>
              </w:rPr>
            </w:pPr>
            <w:r>
              <w:rPr>
                <w:rFonts w:ascii="Arial" w:cs="Arial" w:eastAsia="Arial" w:hAnsi="Arial"/>
                <w:sz w:val="16"/>
                <w:szCs w:val="16"/>
                <w:color w:val="auto"/>
              </w:rPr>
              <w:t>Megan Baldwin, Ph.D.</w:t>
            </w:r>
          </w:p>
        </w:tc>
      </w:tr>
      <w:tr>
        <w:trPr>
          <w:trHeight w:val="195"/>
        </w:trPr>
        <w:tc>
          <w:tcPr>
            <w:tcW w:w="880" w:type="dxa"/>
            <w:vAlign w:val="bottom"/>
          </w:tcPr>
          <w:p>
            <w:pPr>
              <w:spacing w:after="0"/>
              <w:rPr>
                <w:sz w:val="20"/>
                <w:szCs w:val="20"/>
                <w:color w:val="auto"/>
              </w:rPr>
            </w:pPr>
            <w:r>
              <w:rPr>
                <w:rFonts w:ascii="Arial" w:cs="Arial" w:eastAsia="Arial" w:hAnsi="Arial"/>
                <w:sz w:val="16"/>
                <w:szCs w:val="16"/>
                <w:color w:val="auto"/>
              </w:rPr>
              <w:t>Title:</w:t>
            </w:r>
          </w:p>
        </w:tc>
        <w:tc>
          <w:tcPr>
            <w:tcW w:w="4720" w:type="dxa"/>
            <w:vAlign w:val="bottom"/>
          </w:tcPr>
          <w:p>
            <w:pPr>
              <w:spacing w:after="0"/>
              <w:rPr>
                <w:sz w:val="20"/>
                <w:szCs w:val="20"/>
                <w:color w:val="auto"/>
              </w:rPr>
            </w:pPr>
            <w:r>
              <w:rPr>
                <w:rFonts w:ascii="Arial" w:cs="Arial" w:eastAsia="Arial" w:hAnsi="Arial"/>
                <w:sz w:val="16"/>
                <w:szCs w:val="16"/>
                <w:color w:val="auto"/>
              </w:rPr>
              <w:t>Chief Executive Officer and</w:t>
            </w:r>
          </w:p>
        </w:tc>
      </w:tr>
      <w:tr>
        <w:trPr>
          <w:trHeight w:val="199"/>
        </w:trPr>
        <w:tc>
          <w:tcPr>
            <w:tcW w:w="88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6"/>
                <w:szCs w:val="16"/>
                <w:color w:val="auto"/>
              </w:rPr>
              <w:t>Managing Director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Dated: October 28,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6"/>
        </w:trPr>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20" w:type="dxa"/>
            <w:vAlign w:val="bottom"/>
            <w:gridSpan w:val="3"/>
          </w:tcPr>
          <w:p>
            <w:pPr>
              <w:ind w:left="500"/>
              <w:spacing w:after="0"/>
              <w:rPr>
                <w:sz w:val="20"/>
                <w:szCs w:val="20"/>
                <w:color w:val="auto"/>
              </w:rPr>
            </w:pPr>
            <w:r>
              <w:rPr>
                <w:rFonts w:ascii="Arial" w:cs="Arial" w:eastAsia="Arial" w:hAnsi="Arial"/>
                <w:sz w:val="17"/>
                <w:szCs w:val="17"/>
                <w:b w:val="1"/>
                <w:bCs w:val="1"/>
                <w:color w:val="auto"/>
              </w:rPr>
              <w:t>INDEX TO CONSOLIDATED FINANCIAL STATEMENTS</w:t>
            </w:r>
          </w:p>
        </w:tc>
        <w:tc>
          <w:tcPr>
            <w:tcW w:w="1660" w:type="dxa"/>
            <w:vAlign w:val="bottom"/>
          </w:tcPr>
          <w:p>
            <w:pPr>
              <w:spacing w:after="0"/>
              <w:rPr>
                <w:sz w:val="19"/>
                <w:szCs w:val="19"/>
                <w:color w:val="auto"/>
              </w:rPr>
            </w:pPr>
          </w:p>
        </w:tc>
      </w:tr>
      <w:tr>
        <w:trPr>
          <w:trHeight w:val="390"/>
        </w:trPr>
        <w:tc>
          <w:tcPr>
            <w:tcW w:w="9580" w:type="dxa"/>
            <w:vAlign w:val="bottom"/>
            <w:gridSpan w:val="7"/>
          </w:tcPr>
          <w:p>
            <w:pPr>
              <w:spacing w:after="0"/>
              <w:rPr>
                <w:rFonts w:ascii="Arial" w:cs="Arial" w:eastAsia="Arial" w:hAnsi="Arial"/>
                <w:sz w:val="17"/>
                <w:szCs w:val="17"/>
                <w:color w:val="0000EE"/>
              </w:rPr>
            </w:pPr>
            <w:hyperlink w:anchor="page166">
              <w:r>
                <w:rPr>
                  <w:rFonts w:ascii="Arial" w:cs="Arial" w:eastAsia="Arial" w:hAnsi="Arial"/>
                  <w:sz w:val="17"/>
                  <w:szCs w:val="17"/>
                  <w:color w:val="0000EE"/>
                </w:rPr>
                <w:t>Report of Independent Registered Public Accounting Firm</w:t>
              </w:r>
            </w:hyperlink>
          </w:p>
        </w:tc>
        <w:tc>
          <w:tcPr>
            <w:tcW w:w="1660" w:type="dxa"/>
            <w:vAlign w:val="bottom"/>
          </w:tcPr>
          <w:p>
            <w:pPr>
              <w:ind w:left="1420"/>
              <w:spacing w:after="0"/>
              <w:rPr>
                <w:sz w:val="20"/>
                <w:szCs w:val="20"/>
                <w:color w:val="auto"/>
              </w:rPr>
            </w:pPr>
            <w:r>
              <w:rPr>
                <w:rFonts w:ascii="Arial" w:cs="Arial" w:eastAsia="Arial" w:hAnsi="Arial"/>
                <w:sz w:val="17"/>
                <w:szCs w:val="17"/>
                <w:color w:val="auto"/>
                <w:w w:val="86"/>
              </w:rPr>
              <w:t>F-2</w:t>
            </w:r>
          </w:p>
        </w:tc>
      </w:tr>
      <w:tr>
        <w:trPr>
          <w:trHeight w:val="20"/>
        </w:trPr>
        <w:tc>
          <w:tcPr>
            <w:tcW w:w="2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2"/>
        </w:trPr>
        <w:tc>
          <w:tcPr>
            <w:tcW w:w="9580" w:type="dxa"/>
            <w:vAlign w:val="bottom"/>
            <w:gridSpan w:val="7"/>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Consolidated Statement of Profit or Loss and Other Comprehensive Income</w:t>
              </w:r>
            </w:hyperlink>
          </w:p>
        </w:tc>
        <w:tc>
          <w:tcPr>
            <w:tcW w:w="1660" w:type="dxa"/>
            <w:vAlign w:val="bottom"/>
          </w:tcPr>
          <w:p>
            <w:pPr>
              <w:ind w:left="1420"/>
              <w:spacing w:after="0"/>
              <w:rPr>
                <w:sz w:val="20"/>
                <w:szCs w:val="20"/>
                <w:color w:val="auto"/>
              </w:rPr>
            </w:pPr>
            <w:r>
              <w:rPr>
                <w:rFonts w:ascii="Arial" w:cs="Arial" w:eastAsia="Arial" w:hAnsi="Arial"/>
                <w:sz w:val="17"/>
                <w:szCs w:val="17"/>
                <w:color w:val="auto"/>
                <w:w w:val="86"/>
              </w:rPr>
              <w:t>F-3</w:t>
            </w:r>
          </w:p>
        </w:tc>
      </w:tr>
      <w:tr>
        <w:trPr>
          <w:trHeight w:val="422"/>
        </w:trPr>
        <w:tc>
          <w:tcPr>
            <w:tcW w:w="5260" w:type="dxa"/>
            <w:vAlign w:val="bottom"/>
            <w:tcBorders>
              <w:top w:val="single" w:sz="8" w:color="0000EE"/>
            </w:tcBorders>
            <w:gridSpan w:val="6"/>
          </w:tcPr>
          <w:p>
            <w:pPr>
              <w:spacing w:after="0"/>
              <w:rPr>
                <w:rFonts w:ascii="Arial" w:cs="Arial" w:eastAsia="Arial" w:hAnsi="Arial"/>
                <w:sz w:val="17"/>
                <w:szCs w:val="17"/>
                <w:color w:val="0000EE"/>
              </w:rPr>
            </w:pPr>
            <w:hyperlink w:anchor="page168">
              <w:r>
                <w:rPr>
                  <w:rFonts w:ascii="Arial" w:cs="Arial" w:eastAsia="Arial" w:hAnsi="Arial"/>
                  <w:sz w:val="17"/>
                  <w:szCs w:val="17"/>
                  <w:color w:val="0000EE"/>
                </w:rPr>
                <w:t>Consolidated Statement of Financial Position</w:t>
              </w:r>
            </w:hyperlink>
          </w:p>
        </w:tc>
        <w:tc>
          <w:tcPr>
            <w:tcW w:w="4320" w:type="dxa"/>
            <w:vAlign w:val="bottom"/>
          </w:tcPr>
          <w:p>
            <w:pPr>
              <w:spacing w:after="0"/>
              <w:rPr>
                <w:sz w:val="24"/>
                <w:szCs w:val="24"/>
                <w:color w:val="auto"/>
              </w:rPr>
            </w:pPr>
          </w:p>
        </w:tc>
        <w:tc>
          <w:tcPr>
            <w:tcW w:w="1660" w:type="dxa"/>
            <w:vAlign w:val="bottom"/>
          </w:tcPr>
          <w:p>
            <w:pPr>
              <w:ind w:left="1420"/>
              <w:spacing w:after="0"/>
              <w:rPr>
                <w:sz w:val="20"/>
                <w:szCs w:val="20"/>
                <w:color w:val="auto"/>
              </w:rPr>
            </w:pPr>
            <w:r>
              <w:rPr>
                <w:rFonts w:ascii="Arial" w:cs="Arial" w:eastAsia="Arial" w:hAnsi="Arial"/>
                <w:sz w:val="17"/>
                <w:szCs w:val="17"/>
                <w:color w:val="auto"/>
                <w:w w:val="86"/>
              </w:rPr>
              <w:t>F-4</w:t>
            </w:r>
          </w:p>
        </w:tc>
      </w:tr>
      <w:tr>
        <w:trPr>
          <w:trHeight w:val="20"/>
        </w:trPr>
        <w:tc>
          <w:tcPr>
            <w:tcW w:w="2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2"/>
        </w:trPr>
        <w:tc>
          <w:tcPr>
            <w:tcW w:w="9580" w:type="dxa"/>
            <w:vAlign w:val="bottom"/>
            <w:gridSpan w:val="7"/>
          </w:tcPr>
          <w:p>
            <w:pPr>
              <w:spacing w:after="0"/>
              <w:rPr>
                <w:rFonts w:ascii="Arial" w:cs="Arial" w:eastAsia="Arial" w:hAnsi="Arial"/>
                <w:sz w:val="17"/>
                <w:szCs w:val="17"/>
                <w:color w:val="0000EE"/>
              </w:rPr>
            </w:pPr>
            <w:hyperlink w:anchor="page169">
              <w:r>
                <w:rPr>
                  <w:rFonts w:ascii="Arial" w:cs="Arial" w:eastAsia="Arial" w:hAnsi="Arial"/>
                  <w:sz w:val="17"/>
                  <w:szCs w:val="17"/>
                  <w:color w:val="0000EE"/>
                </w:rPr>
                <w:t>Consolidated Statement of Changes in Equity</w:t>
              </w:r>
            </w:hyperlink>
          </w:p>
        </w:tc>
        <w:tc>
          <w:tcPr>
            <w:tcW w:w="1660" w:type="dxa"/>
            <w:vAlign w:val="bottom"/>
          </w:tcPr>
          <w:p>
            <w:pPr>
              <w:ind w:left="1420"/>
              <w:spacing w:after="0"/>
              <w:rPr>
                <w:sz w:val="20"/>
                <w:szCs w:val="20"/>
                <w:color w:val="auto"/>
              </w:rPr>
            </w:pPr>
            <w:r>
              <w:rPr>
                <w:rFonts w:ascii="Arial" w:cs="Arial" w:eastAsia="Arial" w:hAnsi="Arial"/>
                <w:sz w:val="17"/>
                <w:szCs w:val="17"/>
                <w:color w:val="auto"/>
                <w:w w:val="86"/>
              </w:rPr>
              <w:t>F-5</w:t>
            </w:r>
          </w:p>
        </w:tc>
      </w:tr>
      <w:tr>
        <w:trPr>
          <w:trHeight w:val="422"/>
        </w:trPr>
        <w:tc>
          <w:tcPr>
            <w:tcW w:w="2700" w:type="dxa"/>
            <w:vAlign w:val="bottom"/>
            <w:tcBorders>
              <w:top w:val="single" w:sz="8" w:color="0000EE"/>
              <w:bottom w:val="single" w:sz="8" w:color="0000EE"/>
            </w:tcBorders>
          </w:tcPr>
          <w:p>
            <w:pPr>
              <w:spacing w:after="0"/>
              <w:rPr>
                <w:rFonts w:ascii="Arial" w:cs="Arial" w:eastAsia="Arial" w:hAnsi="Arial"/>
                <w:sz w:val="17"/>
                <w:szCs w:val="17"/>
                <w:color w:val="0000EE"/>
                <w:w w:val="91"/>
              </w:rPr>
            </w:pPr>
            <w:hyperlink w:anchor="page170">
              <w:r>
                <w:rPr>
                  <w:rFonts w:ascii="Arial" w:cs="Arial" w:eastAsia="Arial" w:hAnsi="Arial"/>
                  <w:sz w:val="17"/>
                  <w:szCs w:val="17"/>
                  <w:color w:val="0000EE"/>
                  <w:w w:val="91"/>
                </w:rPr>
                <w:t>Consolidated Statement of Cash Flows</w:t>
              </w:r>
            </w:hyperlink>
          </w:p>
        </w:tc>
        <w:tc>
          <w:tcPr>
            <w:tcW w:w="460" w:type="dxa"/>
            <w:vAlign w:val="bottom"/>
            <w:tcBorders>
              <w:top w:val="single" w:sz="8" w:color="0000EE"/>
            </w:tcBorders>
            <w:gridSpan w:val="3"/>
          </w:tcPr>
          <w:p>
            <w:pPr>
              <w:spacing w:after="0"/>
              <w:rPr>
                <w:sz w:val="24"/>
                <w:szCs w:val="24"/>
                <w:color w:val="auto"/>
              </w:rPr>
            </w:pPr>
          </w:p>
        </w:tc>
        <w:tc>
          <w:tcPr>
            <w:tcW w:w="6420" w:type="dxa"/>
            <w:vAlign w:val="bottom"/>
            <w:gridSpan w:val="3"/>
          </w:tcPr>
          <w:p>
            <w:pPr>
              <w:spacing w:after="0"/>
              <w:rPr>
                <w:sz w:val="24"/>
                <w:szCs w:val="24"/>
                <w:color w:val="auto"/>
              </w:rPr>
            </w:pPr>
          </w:p>
        </w:tc>
        <w:tc>
          <w:tcPr>
            <w:tcW w:w="1660" w:type="dxa"/>
            <w:vAlign w:val="bottom"/>
          </w:tcPr>
          <w:p>
            <w:pPr>
              <w:ind w:left="1420"/>
              <w:spacing w:after="0"/>
              <w:rPr>
                <w:sz w:val="20"/>
                <w:szCs w:val="20"/>
                <w:color w:val="auto"/>
              </w:rPr>
            </w:pPr>
            <w:r>
              <w:rPr>
                <w:rFonts w:ascii="Arial" w:cs="Arial" w:eastAsia="Arial" w:hAnsi="Arial"/>
                <w:sz w:val="17"/>
                <w:szCs w:val="17"/>
                <w:color w:val="auto"/>
                <w:w w:val="86"/>
              </w:rPr>
              <w:t>F-6</w:t>
            </w:r>
          </w:p>
        </w:tc>
      </w:tr>
      <w:tr>
        <w:trPr>
          <w:trHeight w:val="422"/>
        </w:trPr>
        <w:tc>
          <w:tcPr>
            <w:tcW w:w="3040" w:type="dxa"/>
            <w:vAlign w:val="bottom"/>
            <w:tcBorders>
              <w:bottom w:val="single" w:sz="8" w:color="0000EE"/>
            </w:tcBorders>
            <w:gridSpan w:val="2"/>
          </w:tcPr>
          <w:p>
            <w:pPr>
              <w:spacing w:after="0"/>
              <w:rPr>
                <w:rFonts w:ascii="Arial" w:cs="Arial" w:eastAsia="Arial" w:hAnsi="Arial"/>
                <w:sz w:val="17"/>
                <w:szCs w:val="17"/>
                <w:color w:val="0000EE"/>
                <w:w w:val="91"/>
              </w:rPr>
            </w:pPr>
            <w:hyperlink w:anchor="page171">
              <w:r>
                <w:rPr>
                  <w:rFonts w:ascii="Arial" w:cs="Arial" w:eastAsia="Arial" w:hAnsi="Arial"/>
                  <w:sz w:val="17"/>
                  <w:szCs w:val="17"/>
                  <w:color w:val="0000EE"/>
                  <w:w w:val="91"/>
                </w:rPr>
                <w:t>Notes to Consolidated Financial Statements</w:t>
              </w:r>
            </w:hyperlink>
          </w:p>
        </w:tc>
        <w:tc>
          <w:tcPr>
            <w:tcW w:w="6540" w:type="dxa"/>
            <w:vAlign w:val="bottom"/>
            <w:gridSpan w:val="5"/>
          </w:tcPr>
          <w:p>
            <w:pPr>
              <w:spacing w:after="0"/>
              <w:rPr>
                <w:sz w:val="24"/>
                <w:szCs w:val="24"/>
                <w:color w:val="auto"/>
              </w:rPr>
            </w:pPr>
          </w:p>
        </w:tc>
        <w:tc>
          <w:tcPr>
            <w:tcW w:w="1660" w:type="dxa"/>
            <w:vAlign w:val="bottom"/>
          </w:tcPr>
          <w:p>
            <w:pPr>
              <w:ind w:left="1420"/>
              <w:spacing w:after="0"/>
              <w:rPr>
                <w:sz w:val="20"/>
                <w:szCs w:val="20"/>
                <w:color w:val="auto"/>
              </w:rPr>
            </w:pPr>
            <w:r>
              <w:rPr>
                <w:rFonts w:ascii="Arial" w:cs="Arial" w:eastAsia="Arial" w:hAnsi="Arial"/>
                <w:sz w:val="17"/>
                <w:szCs w:val="17"/>
                <w:color w:val="auto"/>
                <w:w w:val="86"/>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5" w:name="page166"/>
    <w:bookmarkEnd w:id="165"/>
    <w:p>
      <w:pPr>
        <w:ind w:left="34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Opthea Limited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6"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We have audited the accompanying consolidated statements of financial position of Opthea Limited and subsidiaries (the “Company”) as of June 30, 2021, and 2020, the related consolidated statements of profit or loss and other comprehensive income, changes in equity, and cash flows for each of the three years in the period ended June 30, 2021, and the related notes (collectively referred to as the “financial statements”).</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financial statements present fairly, in all material respects, the financial position of the Company as of June 30, 2021, and 2020, and the results of its operations and its cash flows for each of the three years in the period ended June 30, 2021, and 2020, in conformity with International Financial Reporting Standards as issued by the International Accounting Standards Board.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Principle</w:t>
      </w:r>
    </w:p>
    <w:p>
      <w:pPr>
        <w:spacing w:after="0" w:line="22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Without qualifying our opinion on the financial statements, we draw attention to Note 3 to the financial statements, which indicates that the Company has changed its functional and presentation currency from Australian dollar to US dollar. The change in functional currency is as of January 1, 2021. The change in presentation currency is as of June 30, 2021, and this change has been retrospectively applied in the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(“or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8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 Deloitte Touche Tohmatsu</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DELOITTE TOUCHE TOHMATSU</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October, 28, 2021</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Perth, Australia</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auditors since 2012.</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Profit or Loss and Other Comprehensive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June 30, 2021, and 2020, and 2019</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gridSpan w:val="2"/>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center"/>
              <w:ind w:right="600"/>
              <w:spacing w:after="0" w:line="156" w:lineRule="exact"/>
              <w:rPr>
                <w:sz w:val="20"/>
                <w:szCs w:val="20"/>
                <w:color w:val="auto"/>
              </w:rPr>
            </w:pPr>
            <w:r>
              <w:rPr>
                <w:rFonts w:ascii="Arial" w:cs="Arial" w:eastAsia="Arial" w:hAnsi="Arial"/>
                <w:sz w:val="14"/>
                <w:szCs w:val="14"/>
                <w:b w:val="1"/>
                <w:bCs w:val="1"/>
                <w:color w:val="auto"/>
                <w:w w:val="87"/>
              </w:rPr>
              <w:t>Restated</w:t>
            </w: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5"/>
        </w:trPr>
        <w:tc>
          <w:tcPr>
            <w:tcW w:w="5100" w:type="dxa"/>
            <w:vAlign w:val="bottom"/>
          </w:tcPr>
          <w:p>
            <w:pPr>
              <w:spacing w:after="0"/>
              <w:rPr>
                <w:sz w:val="14"/>
                <w:szCs w:val="14"/>
                <w:color w:val="auto"/>
              </w:rPr>
            </w:pPr>
          </w:p>
        </w:tc>
        <w:tc>
          <w:tcPr>
            <w:tcW w:w="1400" w:type="dxa"/>
            <w:vAlign w:val="bottom"/>
          </w:tcPr>
          <w:p>
            <w:pPr>
              <w:ind w:left="700"/>
              <w:spacing w:after="0"/>
              <w:rPr>
                <w:sz w:val="20"/>
                <w:szCs w:val="20"/>
                <w:color w:val="auto"/>
              </w:rPr>
            </w:pPr>
            <w:r>
              <w:rPr>
                <w:rFonts w:ascii="Arial" w:cs="Arial" w:eastAsia="Arial" w:hAnsi="Arial"/>
                <w:sz w:val="14"/>
                <w:szCs w:val="14"/>
                <w:b w:val="1"/>
                <w:bCs w:val="1"/>
                <w:color w:val="auto"/>
              </w:rPr>
              <w:t>Notes</w:t>
            </w:r>
          </w:p>
        </w:tc>
        <w:tc>
          <w:tcPr>
            <w:tcW w:w="180" w:type="dxa"/>
            <w:vAlign w:val="bottom"/>
          </w:tcPr>
          <w:p>
            <w:pPr>
              <w:spacing w:after="0"/>
              <w:rPr>
                <w:sz w:val="14"/>
                <w:szCs w:val="14"/>
                <w:color w:val="auto"/>
              </w:rPr>
            </w:pPr>
          </w:p>
        </w:tc>
        <w:tc>
          <w:tcPr>
            <w:tcW w:w="15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7"/>
              </w:rPr>
              <w:t>US$</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370"/>
        </w:trPr>
        <w:tc>
          <w:tcPr>
            <w:tcW w:w="5100" w:type="dxa"/>
            <w:vAlign w:val="bottom"/>
          </w:tcPr>
          <w:p>
            <w:pPr>
              <w:spacing w:after="0"/>
              <w:rPr>
                <w:sz w:val="20"/>
                <w:szCs w:val="20"/>
                <w:color w:val="auto"/>
              </w:rPr>
            </w:pPr>
            <w:r>
              <w:rPr>
                <w:rFonts w:ascii="Arial" w:cs="Arial" w:eastAsia="Arial" w:hAnsi="Arial"/>
                <w:sz w:val="17"/>
                <w:szCs w:val="17"/>
                <w:color w:val="auto"/>
              </w:rPr>
              <w:t>Revenue</w:t>
            </w:r>
          </w:p>
        </w:tc>
        <w:tc>
          <w:tcPr>
            <w:tcW w:w="1400" w:type="dxa"/>
            <w:vAlign w:val="bottom"/>
          </w:tcPr>
          <w:p>
            <w:pPr>
              <w:jc w:val="center"/>
              <w:ind w:left="235"/>
              <w:spacing w:after="0"/>
              <w:rPr>
                <w:sz w:val="20"/>
                <w:szCs w:val="20"/>
                <w:color w:val="auto"/>
              </w:rPr>
            </w:pPr>
            <w:r>
              <w:rPr>
                <w:rFonts w:ascii="Arial" w:cs="Arial" w:eastAsia="Arial" w:hAnsi="Arial"/>
                <w:sz w:val="17"/>
                <w:szCs w:val="17"/>
                <w:color w:val="auto"/>
                <w:w w:val="84"/>
              </w:rPr>
              <w:t>7</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68,613</w:t>
            </w:r>
          </w:p>
        </w:tc>
        <w:tc>
          <w:tcPr>
            <w:tcW w:w="500" w:type="dxa"/>
            <w:vAlign w:val="bottom"/>
          </w:tcPr>
          <w:p>
            <w:pPr>
              <w:spacing w:after="0"/>
              <w:rPr>
                <w:sz w:val="24"/>
                <w:szCs w:val="24"/>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59,061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112,497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Other income</w:t>
            </w:r>
          </w:p>
        </w:tc>
        <w:tc>
          <w:tcPr>
            <w:tcW w:w="1400" w:type="dxa"/>
            <w:vAlign w:val="bottom"/>
            <w:shd w:val="clear" w:color="auto" w:fill="CFF0FC"/>
          </w:tcPr>
          <w:p>
            <w:pPr>
              <w:jc w:val="center"/>
              <w:ind w:left="235"/>
              <w:spacing w:after="0"/>
              <w:rPr>
                <w:sz w:val="20"/>
                <w:szCs w:val="20"/>
                <w:color w:val="auto"/>
              </w:rPr>
            </w:pPr>
            <w:r>
              <w:rPr>
                <w:rFonts w:ascii="Arial" w:cs="Arial" w:eastAsia="Arial" w:hAnsi="Arial"/>
                <w:sz w:val="17"/>
                <w:szCs w:val="17"/>
                <w:color w:val="auto"/>
                <w:w w:val="84"/>
              </w:rPr>
              <w:t>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398,951</w:t>
            </w:r>
          </w:p>
        </w:tc>
        <w:tc>
          <w:tcPr>
            <w:tcW w:w="5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522,082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598,269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1400" w:type="dxa"/>
            <w:vAlign w:val="bottom"/>
            <w:shd w:val="clear" w:color="auto" w:fill="CFF0FC"/>
          </w:tcPr>
          <w:p>
            <w:pPr>
              <w:jc w:val="center"/>
              <w:ind w:left="235"/>
              <w:spacing w:after="0"/>
              <w:rPr>
                <w:sz w:val="20"/>
                <w:szCs w:val="20"/>
                <w:color w:val="auto"/>
              </w:rPr>
            </w:pPr>
            <w:r>
              <w:rPr>
                <w:rFonts w:ascii="Arial" w:cs="Arial" w:eastAsia="Arial" w:hAnsi="Arial"/>
                <w:sz w:val="17"/>
                <w:szCs w:val="17"/>
                <w:color w:val="auto"/>
                <w:w w:val="84"/>
              </w:rPr>
              <w:t>9</w:t>
            </w:r>
          </w:p>
        </w:tc>
        <w:tc>
          <w:tcPr>
            <w:tcW w:w="172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(25,891,851)</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(12,064,008)</w:t>
            </w:r>
          </w:p>
        </w:tc>
        <w:tc>
          <w:tcPr>
            <w:tcW w:w="2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(22,419,712)</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7"/>
                <w:szCs w:val="17"/>
                <w:color w:val="auto"/>
              </w:rPr>
              <w:t>Patent expenses</w:t>
            </w:r>
          </w:p>
        </w:tc>
        <w:tc>
          <w:tcPr>
            <w:tcW w:w="1400" w:type="dxa"/>
            <w:vAlign w:val="bottom"/>
          </w:tcPr>
          <w:p>
            <w:pPr>
              <w:spacing w:after="0"/>
              <w:rPr>
                <w:sz w:val="19"/>
                <w:szCs w:val="19"/>
                <w:color w:val="auto"/>
              </w:rPr>
            </w:pP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(137,666)</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(282,042)</w:t>
            </w:r>
          </w:p>
        </w:tc>
        <w:tc>
          <w:tcPr>
            <w:tcW w:w="26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(194,512)</w:t>
            </w: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Intellectual property expenses</w:t>
            </w:r>
          </w:p>
        </w:tc>
        <w:tc>
          <w:tcPr>
            <w:tcW w:w="14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(291,235)</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(74,938)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7"/>
                <w:szCs w:val="17"/>
                <w:color w:val="auto"/>
              </w:rPr>
              <w:t>Administration expenses</w:t>
            </w:r>
          </w:p>
        </w:tc>
        <w:tc>
          <w:tcPr>
            <w:tcW w:w="1400" w:type="dxa"/>
            <w:vAlign w:val="bottom"/>
          </w:tcPr>
          <w:p>
            <w:pPr>
              <w:jc w:val="center"/>
              <w:ind w:left="215"/>
              <w:spacing w:after="0"/>
              <w:rPr>
                <w:sz w:val="20"/>
                <w:szCs w:val="20"/>
                <w:color w:val="auto"/>
              </w:rPr>
            </w:pPr>
            <w:r>
              <w:rPr>
                <w:rFonts w:ascii="Arial" w:cs="Arial" w:eastAsia="Arial" w:hAnsi="Arial"/>
                <w:sz w:val="17"/>
                <w:szCs w:val="17"/>
                <w:color w:val="auto"/>
                <w:w w:val="94"/>
              </w:rPr>
              <w:t>10</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(13,399,748)</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(4,702,860)</w:t>
            </w:r>
          </w:p>
        </w:tc>
        <w:tc>
          <w:tcPr>
            <w:tcW w:w="26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(3,686,621)</w:t>
            </w: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Occupancy expenses</w:t>
            </w:r>
          </w:p>
        </w:tc>
        <w:tc>
          <w:tcPr>
            <w:tcW w:w="1400" w:type="dxa"/>
            <w:vAlign w:val="bottom"/>
            <w:shd w:val="clear" w:color="auto" w:fill="CFF0FC"/>
          </w:tcPr>
          <w:p>
            <w:pPr>
              <w:jc w:val="center"/>
              <w:ind w:left="215"/>
              <w:spacing w:after="0"/>
              <w:rPr>
                <w:sz w:val="20"/>
                <w:szCs w:val="20"/>
                <w:color w:val="auto"/>
              </w:rPr>
            </w:pPr>
            <w:r>
              <w:rPr>
                <w:rFonts w:ascii="Arial" w:cs="Arial" w:eastAsia="Arial" w:hAnsi="Arial"/>
                <w:sz w:val="17"/>
                <w:szCs w:val="17"/>
                <w:color w:val="auto"/>
                <w:w w:val="94"/>
              </w:rPr>
              <w:t>10</w:t>
            </w:r>
          </w:p>
        </w:tc>
        <w:tc>
          <w:tcPr>
            <w:tcW w:w="172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(18,445)</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(23,272)</w:t>
            </w:r>
          </w:p>
        </w:tc>
        <w:tc>
          <w:tcPr>
            <w:tcW w:w="2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(78,115)</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7"/>
                <w:szCs w:val="17"/>
                <w:color w:val="auto"/>
              </w:rPr>
              <w:t>Net foreign exchange gain/(loss)</w:t>
            </w:r>
          </w:p>
        </w:tc>
        <w:tc>
          <w:tcPr>
            <w:tcW w:w="1400" w:type="dxa"/>
            <w:vAlign w:val="bottom"/>
          </w:tcPr>
          <w:p>
            <w:pPr>
              <w:jc w:val="center"/>
              <w:ind w:left="235"/>
              <w:spacing w:after="0"/>
              <w:rPr>
                <w:sz w:val="20"/>
                <w:szCs w:val="20"/>
                <w:color w:val="auto"/>
              </w:rPr>
            </w:pPr>
            <w:r>
              <w:rPr>
                <w:rFonts w:ascii="Arial" w:cs="Arial" w:eastAsia="Arial" w:hAnsi="Arial"/>
                <w:sz w:val="17"/>
                <w:szCs w:val="17"/>
                <w:color w:val="auto"/>
                <w:w w:val="84"/>
              </w:rPr>
              <w:t>11</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(11,011,961)</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(265,989)</w:t>
            </w: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before income tax</w:t>
            </w:r>
          </w:p>
        </w:tc>
        <w:tc>
          <w:tcPr>
            <w:tcW w:w="1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0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(50,283,342)</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(16,831,966)</w:t>
            </w:r>
          </w:p>
        </w:tc>
        <w:tc>
          <w:tcPr>
            <w:tcW w:w="26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(25,426,380)</w:t>
            </w:r>
          </w:p>
        </w:tc>
        <w:tc>
          <w:tcPr>
            <w:tcW w:w="0" w:type="dxa"/>
            <w:vAlign w:val="bottom"/>
          </w:tcPr>
          <w:p>
            <w:pPr>
              <w:spacing w:after="0"/>
              <w:rPr>
                <w:sz w:val="1"/>
                <w:szCs w:val="1"/>
                <w:color w:val="auto"/>
              </w:rPr>
            </w:pPr>
          </w:p>
        </w:tc>
      </w:tr>
      <w:tr>
        <w:trPr>
          <w:trHeight w:val="221"/>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Income tax benefit</w:t>
            </w:r>
          </w:p>
        </w:tc>
        <w:tc>
          <w:tcPr>
            <w:tcW w:w="1400" w:type="dxa"/>
            <w:vAlign w:val="bottom"/>
            <w:tcBorders>
              <w:bottom w:val="single" w:sz="8" w:color="CFF0FC"/>
            </w:tcBorders>
          </w:tcPr>
          <w:p>
            <w:pPr>
              <w:jc w:val="center"/>
              <w:ind w:left="215"/>
              <w:spacing w:after="0"/>
              <w:rPr>
                <w:sz w:val="20"/>
                <w:szCs w:val="20"/>
                <w:color w:val="auto"/>
              </w:rPr>
            </w:pPr>
            <w:r>
              <w:rPr>
                <w:rFonts w:ascii="Arial" w:cs="Arial" w:eastAsia="Arial" w:hAnsi="Arial"/>
                <w:sz w:val="17"/>
                <w:szCs w:val="17"/>
                <w:color w:val="auto"/>
                <w:w w:val="94"/>
              </w:rPr>
              <w:t>12</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4,938,846</w:t>
            </w:r>
          </w:p>
        </w:tc>
        <w:tc>
          <w:tcPr>
            <w:tcW w:w="5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5,708,767</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10,474,432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Loss for the year</w:t>
            </w:r>
          </w:p>
        </w:tc>
        <w:tc>
          <w:tcPr>
            <w:tcW w:w="14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(45,344,496)</w:t>
            </w:r>
          </w:p>
        </w:tc>
        <w:tc>
          <w:tcPr>
            <w:tcW w:w="5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(11,123,199)</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(14,951,948)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7"/>
                <w:szCs w:val="17"/>
                <w:color w:val="auto"/>
              </w:rPr>
              <w:t>Items that will not be reclassified subsequently to profit or loss:</w:t>
            </w: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Fair value gains on investments in financial assets</w:t>
            </w:r>
          </w:p>
        </w:tc>
        <w:tc>
          <w:tcPr>
            <w:tcW w:w="1400" w:type="dxa"/>
            <w:vAlign w:val="bottom"/>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469,767</w:t>
            </w:r>
          </w:p>
        </w:tc>
        <w:tc>
          <w:tcPr>
            <w:tcW w:w="500" w:type="dxa"/>
            <w:vAlign w:val="bottom"/>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41,098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181,687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comprehensive income for the period, net of tax</w:t>
            </w:r>
          </w:p>
        </w:tc>
        <w:tc>
          <w:tcPr>
            <w:tcW w:w="140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469,767</w:t>
            </w:r>
          </w:p>
        </w:tc>
        <w:tc>
          <w:tcPr>
            <w:tcW w:w="50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41,098</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181,687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Total comprehensive loss for the year</w:t>
            </w:r>
          </w:p>
        </w:tc>
        <w:tc>
          <w:tcPr>
            <w:tcW w:w="1400" w:type="dxa"/>
            <w:vAlign w:val="bottom"/>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(44,874,729)</w:t>
            </w:r>
          </w:p>
        </w:tc>
        <w:tc>
          <w:tcPr>
            <w:tcW w:w="500" w:type="dxa"/>
            <w:vAlign w:val="bottom"/>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(11,082,101)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(14,770,261)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Loss for the year is attributable to:</w:t>
            </w: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7"/>
                <w:szCs w:val="17"/>
                <w:color w:val="auto"/>
              </w:rPr>
              <w:t>Owners of the Company</w:t>
            </w:r>
          </w:p>
        </w:tc>
        <w:tc>
          <w:tcPr>
            <w:tcW w:w="1400" w:type="dxa"/>
            <w:vAlign w:val="bottom"/>
          </w:tcPr>
          <w:p>
            <w:pPr>
              <w:spacing w:after="0"/>
              <w:rPr>
                <w:sz w:val="19"/>
                <w:szCs w:val="19"/>
                <w:color w:val="auto"/>
              </w:rPr>
            </w:pP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(45,344,496)</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(11,123,199)</w:t>
            </w:r>
          </w:p>
        </w:tc>
        <w:tc>
          <w:tcPr>
            <w:tcW w:w="26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(14,951,948)</w:t>
            </w:r>
          </w:p>
        </w:tc>
        <w:tc>
          <w:tcPr>
            <w:tcW w:w="0" w:type="dxa"/>
            <w:vAlign w:val="bottom"/>
          </w:tcPr>
          <w:p>
            <w:pPr>
              <w:spacing w:after="0"/>
              <w:rPr>
                <w:sz w:val="1"/>
                <w:szCs w:val="1"/>
                <w:color w:val="auto"/>
              </w:rPr>
            </w:pPr>
          </w:p>
        </w:tc>
      </w:tr>
      <w:tr>
        <w:trPr>
          <w:trHeight w:val="214"/>
        </w:trPr>
        <w:tc>
          <w:tcPr>
            <w:tcW w:w="510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jc w:val="center"/>
              <w:ind w:left="215"/>
              <w:spacing w:after="0"/>
              <w:rPr>
                <w:sz w:val="20"/>
                <w:szCs w:val="20"/>
                <w:color w:val="auto"/>
              </w:rPr>
            </w:pPr>
            <w:r>
              <w:rPr>
                <w:rFonts w:ascii="Arial" w:cs="Arial" w:eastAsia="Arial" w:hAnsi="Arial"/>
                <w:sz w:val="17"/>
                <w:szCs w:val="17"/>
                <w:color w:val="auto"/>
                <w:w w:val="94"/>
              </w:rPr>
              <w:t>24</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(45,344,496)</w:t>
            </w:r>
          </w:p>
        </w:tc>
        <w:tc>
          <w:tcPr>
            <w:tcW w:w="5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(11,123,199)</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(14,951,948)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7"/>
                <w:szCs w:val="17"/>
                <w:color w:val="auto"/>
              </w:rPr>
              <w:t>Total comprehensive loss for the year is attributable to:</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Owners of the Company</w:t>
            </w:r>
          </w:p>
        </w:tc>
        <w:tc>
          <w:tcPr>
            <w:tcW w:w="1400" w:type="dxa"/>
            <w:vAlign w:val="bottom"/>
            <w:shd w:val="clear" w:color="auto" w:fill="CFF0FC"/>
          </w:tcPr>
          <w:p>
            <w:pPr>
              <w:spacing w:after="0"/>
              <w:rPr>
                <w:sz w:val="19"/>
                <w:szCs w:val="19"/>
                <w:color w:val="auto"/>
              </w:rPr>
            </w:pPr>
          </w:p>
        </w:tc>
        <w:tc>
          <w:tcPr>
            <w:tcW w:w="1720" w:type="dxa"/>
            <w:vAlign w:val="bottom"/>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(44,874,729)</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(11,082,101)</w:t>
            </w:r>
          </w:p>
        </w:tc>
        <w:tc>
          <w:tcPr>
            <w:tcW w:w="26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(14,770,261)</w:t>
            </w:r>
          </w:p>
        </w:tc>
        <w:tc>
          <w:tcPr>
            <w:tcW w:w="0" w:type="dxa"/>
            <w:vAlign w:val="bottom"/>
          </w:tcPr>
          <w:p>
            <w:pPr>
              <w:spacing w:after="0"/>
              <w:rPr>
                <w:sz w:val="1"/>
                <w:szCs w:val="1"/>
                <w:color w:val="auto"/>
              </w:rPr>
            </w:pPr>
          </w:p>
        </w:tc>
      </w:tr>
      <w:tr>
        <w:trPr>
          <w:trHeight w:val="214"/>
        </w:trPr>
        <w:tc>
          <w:tcPr>
            <w:tcW w:w="510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(44,874,729)</w:t>
            </w:r>
          </w:p>
        </w:tc>
        <w:tc>
          <w:tcPr>
            <w:tcW w:w="500" w:type="dxa"/>
            <w:vAlign w:val="bottom"/>
            <w:tcBorders>
              <w:bottom w:val="single" w:sz="8" w:color="CFF0FC"/>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(11,082,101)</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(14,770,261)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Loss per share attributable to the owners of the Company:</w:t>
            </w: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7"/>
                <w:szCs w:val="17"/>
                <w:color w:val="auto"/>
              </w:rPr>
              <w:t>- Basic and diluted loss per share (cents)</w:t>
            </w:r>
          </w:p>
        </w:tc>
        <w:tc>
          <w:tcPr>
            <w:tcW w:w="1400" w:type="dxa"/>
            <w:vAlign w:val="bottom"/>
          </w:tcPr>
          <w:p>
            <w:pPr>
              <w:jc w:val="center"/>
              <w:ind w:left="215"/>
              <w:spacing w:after="0"/>
              <w:rPr>
                <w:sz w:val="20"/>
                <w:szCs w:val="20"/>
                <w:color w:val="auto"/>
              </w:rPr>
            </w:pPr>
            <w:r>
              <w:rPr>
                <w:rFonts w:ascii="Arial" w:cs="Arial" w:eastAsia="Arial" w:hAnsi="Arial"/>
                <w:sz w:val="17"/>
                <w:szCs w:val="17"/>
                <w:color w:val="auto"/>
                <w:w w:val="94"/>
              </w:rPr>
              <w:t>13</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(14.15)</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(4.27)</w:t>
            </w:r>
          </w:p>
        </w:tc>
        <w:tc>
          <w:tcPr>
            <w:tcW w:w="26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200" w:right="160" w:hanging="19"/>
        <w:spacing w:after="0" w:line="355" w:lineRule="auto"/>
        <w:rPr>
          <w:sz w:val="20"/>
          <w:szCs w:val="20"/>
          <w:color w:val="auto"/>
        </w:rPr>
      </w:pPr>
      <w:r>
        <w:rPr>
          <w:rFonts w:ascii="Arial" w:cs="Arial" w:eastAsia="Arial" w:hAnsi="Arial"/>
          <w:sz w:val="15"/>
          <w:szCs w:val="15"/>
          <w:color w:val="auto"/>
        </w:rPr>
        <w:t>The above consolidated statement of profit or loss and other comprehensive income should be read in conjunction with the accompanying notes. All amounts presented in respect of prior periods have been restated to reflect the change in presentation currency as set out in the accounting policies included in Note 3.</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June 30,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7"/>
              </w:rPr>
              <w:t>Restated</w:t>
            </w:r>
          </w:p>
        </w:tc>
        <w:tc>
          <w:tcPr>
            <w:tcW w:w="13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2580" w:type="dxa"/>
            <w:vAlign w:val="bottom"/>
          </w:tcPr>
          <w:p>
            <w:pPr>
              <w:jc w:val="center"/>
              <w:ind w:left="1414"/>
              <w:spacing w:after="0"/>
              <w:rPr>
                <w:sz w:val="20"/>
                <w:szCs w:val="20"/>
                <w:color w:val="auto"/>
              </w:rPr>
            </w:pPr>
            <w:r>
              <w:rPr>
                <w:rFonts w:ascii="Arial" w:cs="Arial" w:eastAsia="Arial" w:hAnsi="Arial"/>
                <w:sz w:val="14"/>
                <w:szCs w:val="14"/>
                <w:b w:val="1"/>
                <w:bCs w:val="1"/>
                <w:color w:val="auto"/>
                <w:w w:val="82"/>
              </w:rPr>
              <w:t>Notes</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14"/>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25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Current assets:</w:t>
            </w:r>
          </w:p>
        </w:tc>
        <w:tc>
          <w:tcPr>
            <w:tcW w:w="2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14</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118,193,177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42,650,858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15,121,820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Current tax receivable</w:t>
            </w:r>
          </w:p>
        </w:tc>
        <w:tc>
          <w:tcPr>
            <w:tcW w:w="2580" w:type="dxa"/>
            <w:vAlign w:val="bottom"/>
          </w:tcPr>
          <w:p>
            <w:pPr>
              <w:jc w:val="center"/>
              <w:ind w:left="1414"/>
              <w:spacing w:after="0"/>
              <w:rPr>
                <w:sz w:val="20"/>
                <w:szCs w:val="20"/>
                <w:color w:val="auto"/>
              </w:rPr>
            </w:pPr>
            <w:r>
              <w:rPr>
                <w:rFonts w:ascii="Arial" w:cs="Arial" w:eastAsia="Arial" w:hAnsi="Arial"/>
                <w:sz w:val="17"/>
                <w:szCs w:val="17"/>
                <w:color w:val="auto"/>
                <w:w w:val="84"/>
              </w:rPr>
              <w:t>12</w:t>
            </w:r>
          </w:p>
        </w:tc>
        <w:tc>
          <w:tcPr>
            <w:tcW w:w="1220" w:type="dxa"/>
            <w:vAlign w:val="bottom"/>
          </w:tcPr>
          <w:p>
            <w:pPr>
              <w:jc w:val="right"/>
              <w:spacing w:after="0"/>
              <w:rPr>
                <w:sz w:val="20"/>
                <w:szCs w:val="20"/>
                <w:color w:val="auto"/>
              </w:rPr>
            </w:pPr>
            <w:r>
              <w:rPr>
                <w:rFonts w:ascii="Arial" w:cs="Arial" w:eastAsia="Arial" w:hAnsi="Arial"/>
                <w:sz w:val="17"/>
                <w:szCs w:val="17"/>
                <w:color w:val="auto"/>
              </w:rPr>
              <w:t>4,972,898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5,868,152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10,278,082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Receivables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15</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565,286</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195,573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Prepayments</w:t>
            </w:r>
          </w:p>
        </w:tc>
        <w:tc>
          <w:tcPr>
            <w:tcW w:w="2580" w:type="dxa"/>
            <w:vAlign w:val="bottom"/>
            <w:tcBorders>
              <w:bottom w:val="single" w:sz="8" w:color="CFF0FC"/>
            </w:tcBorders>
          </w:tcPr>
          <w:p>
            <w:pPr>
              <w:jc w:val="center"/>
              <w:ind w:left="1414"/>
              <w:spacing w:after="0"/>
              <w:rPr>
                <w:sz w:val="20"/>
                <w:szCs w:val="20"/>
                <w:color w:val="auto"/>
              </w:rPr>
            </w:pPr>
            <w:r>
              <w:rPr>
                <w:rFonts w:ascii="Arial" w:cs="Arial" w:eastAsia="Arial" w:hAnsi="Arial"/>
                <w:sz w:val="17"/>
                <w:szCs w:val="17"/>
                <w:color w:val="auto"/>
                <w:w w:val="84"/>
              </w:rPr>
              <w:t>16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14,386,155</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329,151</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298,156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00" w:type="dxa"/>
            <w:vAlign w:val="bottom"/>
            <w:shd w:val="clear" w:color="auto" w:fill="CFF0FC"/>
          </w:tcPr>
          <w:p>
            <w:pPr>
              <w:ind w:left="480"/>
              <w:spacing w:after="0"/>
              <w:rPr>
                <w:sz w:val="20"/>
                <w:szCs w:val="20"/>
                <w:color w:val="auto"/>
              </w:rPr>
            </w:pPr>
            <w:r>
              <w:rPr>
                <w:rFonts w:ascii="Arial" w:cs="Arial" w:eastAsia="Arial" w:hAnsi="Arial"/>
                <w:sz w:val="17"/>
                <w:szCs w:val="17"/>
                <w:b w:val="1"/>
                <w:bCs w:val="1"/>
                <w:color w:val="auto"/>
              </w:rPr>
              <w:t>Total current assets</w:t>
            </w:r>
          </w:p>
        </w:tc>
        <w:tc>
          <w:tcPr>
            <w:tcW w:w="25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138,117,516</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49,043,734</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25,905,759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Non-current assets:</w:t>
            </w:r>
          </w:p>
        </w:tc>
        <w:tc>
          <w:tcPr>
            <w:tcW w:w="2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Investment in financial assets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17</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199,417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501,454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Property and equipment, net</w:t>
            </w:r>
          </w:p>
        </w:tc>
        <w:tc>
          <w:tcPr>
            <w:tcW w:w="2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23,259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25,568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Right-of-use assets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18</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93,852</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167,460</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Prepayments</w:t>
            </w:r>
          </w:p>
        </w:tc>
        <w:tc>
          <w:tcPr>
            <w:tcW w:w="2580" w:type="dxa"/>
            <w:vAlign w:val="bottom"/>
          </w:tcPr>
          <w:p>
            <w:pPr>
              <w:jc w:val="center"/>
              <w:ind w:left="1414"/>
              <w:spacing w:after="0"/>
              <w:rPr>
                <w:sz w:val="20"/>
                <w:szCs w:val="20"/>
                <w:color w:val="auto"/>
              </w:rPr>
            </w:pPr>
            <w:r>
              <w:rPr>
                <w:rFonts w:ascii="Arial" w:cs="Arial" w:eastAsia="Arial" w:hAnsi="Arial"/>
                <w:sz w:val="17"/>
                <w:szCs w:val="17"/>
                <w:color w:val="auto"/>
                <w:w w:val="84"/>
              </w:rPr>
              <w:t>19</w:t>
            </w:r>
          </w:p>
        </w:tc>
        <w:tc>
          <w:tcPr>
            <w:tcW w:w="1220" w:type="dxa"/>
            <w:vAlign w:val="bottom"/>
          </w:tcPr>
          <w:p>
            <w:pPr>
              <w:jc w:val="right"/>
              <w:spacing w:after="0"/>
              <w:rPr>
                <w:sz w:val="20"/>
                <w:szCs w:val="20"/>
                <w:color w:val="auto"/>
              </w:rPr>
            </w:pPr>
            <w:r>
              <w:rPr>
                <w:rFonts w:ascii="Arial" w:cs="Arial" w:eastAsia="Arial" w:hAnsi="Arial"/>
                <w:sz w:val="17"/>
                <w:szCs w:val="17"/>
                <w:color w:val="auto"/>
              </w:rPr>
              <w:t>174,541</w:t>
            </w:r>
          </w:p>
        </w:tc>
        <w:tc>
          <w:tcPr>
            <w:tcW w:w="2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4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7"/>
                <w:szCs w:val="17"/>
                <w:b w:val="1"/>
                <w:bCs w:val="1"/>
                <w:color w:val="auto"/>
              </w:rPr>
              <w:t>Total non-current assets</w:t>
            </w:r>
          </w:p>
        </w:tc>
        <w:tc>
          <w:tcPr>
            <w:tcW w:w="258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291,652</w:t>
            </w:r>
          </w:p>
        </w:tc>
        <w:tc>
          <w:tcPr>
            <w:tcW w:w="2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392,445</w:t>
            </w: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539,417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Total assets</w:t>
            </w:r>
          </w:p>
        </w:tc>
        <w:tc>
          <w:tcPr>
            <w:tcW w:w="25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138,409,168</w:t>
            </w: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49,436,179</w:t>
            </w:r>
          </w:p>
        </w:tc>
        <w:tc>
          <w:tcPr>
            <w:tcW w:w="2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26,445,176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25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Current liabilities:</w:t>
            </w:r>
          </w:p>
        </w:tc>
        <w:tc>
          <w:tcPr>
            <w:tcW w:w="2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Payables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20</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2,501,518</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4,053,961</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4,179,453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Lease liabilities</w:t>
            </w:r>
          </w:p>
        </w:tc>
        <w:tc>
          <w:tcPr>
            <w:tcW w:w="2580" w:type="dxa"/>
            <w:vAlign w:val="bottom"/>
          </w:tcPr>
          <w:p>
            <w:pPr>
              <w:jc w:val="center"/>
              <w:ind w:left="1414"/>
              <w:spacing w:after="0"/>
              <w:rPr>
                <w:sz w:val="20"/>
                <w:szCs w:val="20"/>
                <w:color w:val="auto"/>
              </w:rPr>
            </w:pPr>
            <w:r>
              <w:rPr>
                <w:rFonts w:ascii="Arial" w:cs="Arial" w:eastAsia="Arial" w:hAnsi="Arial"/>
                <w:sz w:val="17"/>
                <w:szCs w:val="17"/>
                <w:color w:val="auto"/>
                <w:w w:val="84"/>
              </w:rPr>
              <w:t>18</w:t>
            </w:r>
          </w:p>
        </w:tc>
        <w:tc>
          <w:tcPr>
            <w:tcW w:w="1220" w:type="dxa"/>
            <w:vAlign w:val="bottom"/>
          </w:tcPr>
          <w:p>
            <w:pPr>
              <w:jc w:val="right"/>
              <w:spacing w:after="0"/>
              <w:rPr>
                <w:sz w:val="20"/>
                <w:szCs w:val="20"/>
                <w:color w:val="auto"/>
              </w:rPr>
            </w:pPr>
            <w:r>
              <w:rPr>
                <w:rFonts w:ascii="Arial" w:cs="Arial" w:eastAsia="Arial" w:hAnsi="Arial"/>
                <w:sz w:val="17"/>
                <w:szCs w:val="17"/>
                <w:color w:val="auto"/>
              </w:rPr>
              <w:t>112,965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99,745</w:t>
            </w:r>
          </w:p>
        </w:tc>
        <w:tc>
          <w:tcPr>
            <w:tcW w:w="2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financial liabilities</w:t>
            </w:r>
          </w:p>
        </w:tc>
        <w:tc>
          <w:tcPr>
            <w:tcW w:w="25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163,548</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Provisions</w:t>
            </w:r>
          </w:p>
        </w:tc>
        <w:tc>
          <w:tcPr>
            <w:tcW w:w="2580" w:type="dxa"/>
            <w:vAlign w:val="bottom"/>
          </w:tcPr>
          <w:p>
            <w:pPr>
              <w:jc w:val="center"/>
              <w:ind w:left="1414"/>
              <w:spacing w:after="0"/>
              <w:rPr>
                <w:sz w:val="20"/>
                <w:szCs w:val="20"/>
                <w:color w:val="auto"/>
              </w:rPr>
            </w:pPr>
            <w:r>
              <w:rPr>
                <w:rFonts w:ascii="Arial" w:cs="Arial" w:eastAsia="Arial" w:hAnsi="Arial"/>
                <w:sz w:val="17"/>
                <w:szCs w:val="17"/>
                <w:color w:val="auto"/>
                <w:w w:val="84"/>
              </w:rPr>
              <w:t>21</w:t>
            </w:r>
          </w:p>
        </w:tc>
        <w:tc>
          <w:tcPr>
            <w:tcW w:w="1220" w:type="dxa"/>
            <w:vAlign w:val="bottom"/>
          </w:tcPr>
          <w:p>
            <w:pPr>
              <w:jc w:val="right"/>
              <w:spacing w:after="0"/>
              <w:rPr>
                <w:sz w:val="20"/>
                <w:szCs w:val="20"/>
                <w:color w:val="auto"/>
              </w:rPr>
            </w:pPr>
            <w:r>
              <w:rPr>
                <w:rFonts w:ascii="Arial" w:cs="Arial" w:eastAsia="Arial" w:hAnsi="Arial"/>
                <w:sz w:val="17"/>
                <w:szCs w:val="17"/>
                <w:color w:val="auto"/>
              </w:rPr>
              <w:t>492,002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440,765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378,168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480"/>
              <w:spacing w:after="0"/>
              <w:rPr>
                <w:sz w:val="20"/>
                <w:szCs w:val="20"/>
                <w:color w:val="auto"/>
              </w:rPr>
            </w:pPr>
            <w:r>
              <w:rPr>
                <w:rFonts w:ascii="Arial" w:cs="Arial" w:eastAsia="Arial" w:hAnsi="Arial"/>
                <w:sz w:val="17"/>
                <w:szCs w:val="17"/>
                <w:b w:val="1"/>
                <w:bCs w:val="1"/>
                <w:color w:val="auto"/>
              </w:rPr>
              <w:t>Total current liabilities</w:t>
            </w:r>
          </w:p>
        </w:tc>
        <w:tc>
          <w:tcPr>
            <w:tcW w:w="25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3,106,485</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4,758,019</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4,575,592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Non-current liabilities:</w:t>
            </w:r>
          </w:p>
        </w:tc>
        <w:tc>
          <w:tcPr>
            <w:tcW w:w="2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Lease liabilities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18</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82,545</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Provisions</w:t>
            </w:r>
          </w:p>
        </w:tc>
        <w:tc>
          <w:tcPr>
            <w:tcW w:w="2580" w:type="dxa"/>
            <w:vAlign w:val="bottom"/>
          </w:tcPr>
          <w:p>
            <w:pPr>
              <w:jc w:val="center"/>
              <w:ind w:left="1414"/>
              <w:spacing w:after="0"/>
              <w:rPr>
                <w:sz w:val="20"/>
                <w:szCs w:val="20"/>
                <w:color w:val="auto"/>
              </w:rPr>
            </w:pPr>
            <w:r>
              <w:rPr>
                <w:rFonts w:ascii="Arial" w:cs="Arial" w:eastAsia="Arial" w:hAnsi="Arial"/>
                <w:sz w:val="17"/>
                <w:szCs w:val="17"/>
                <w:color w:val="auto"/>
                <w:w w:val="84"/>
              </w:rPr>
              <w:t>22</w:t>
            </w:r>
          </w:p>
        </w:tc>
        <w:tc>
          <w:tcPr>
            <w:tcW w:w="1220" w:type="dxa"/>
            <w:vAlign w:val="bottom"/>
          </w:tcPr>
          <w:p>
            <w:pPr>
              <w:jc w:val="right"/>
              <w:spacing w:after="0"/>
              <w:rPr>
                <w:sz w:val="20"/>
                <w:szCs w:val="20"/>
                <w:color w:val="auto"/>
              </w:rPr>
            </w:pPr>
            <w:r>
              <w:rPr>
                <w:rFonts w:ascii="Arial" w:cs="Arial" w:eastAsia="Arial" w:hAnsi="Arial"/>
                <w:sz w:val="17"/>
                <w:szCs w:val="17"/>
                <w:color w:val="auto"/>
              </w:rPr>
              <w:t>16,915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27,643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480"/>
              <w:spacing w:after="0"/>
              <w:rPr>
                <w:sz w:val="20"/>
                <w:szCs w:val="20"/>
                <w:color w:val="auto"/>
              </w:rPr>
            </w:pPr>
            <w:r>
              <w:rPr>
                <w:rFonts w:ascii="Arial" w:cs="Arial" w:eastAsia="Arial" w:hAnsi="Arial"/>
                <w:sz w:val="17"/>
                <w:szCs w:val="17"/>
                <w:b w:val="1"/>
                <w:bCs w:val="1"/>
                <w:color w:val="auto"/>
              </w:rPr>
              <w:t>Total non-current liabilities</w:t>
            </w:r>
          </w:p>
        </w:tc>
        <w:tc>
          <w:tcPr>
            <w:tcW w:w="25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16,915</w:t>
            </w:r>
          </w:p>
        </w:tc>
        <w:tc>
          <w:tcPr>
            <w:tcW w:w="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110,188</w:t>
            </w:r>
          </w:p>
        </w:tc>
        <w:tc>
          <w:tcPr>
            <w:tcW w:w="2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Total liabilities</w:t>
            </w:r>
          </w:p>
        </w:tc>
        <w:tc>
          <w:tcPr>
            <w:tcW w:w="258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3,123,400</w:t>
            </w: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4,868,207</w:t>
            </w:r>
          </w:p>
        </w:tc>
        <w:tc>
          <w:tcPr>
            <w:tcW w:w="24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4,593,037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Net Assets</w:t>
            </w:r>
          </w:p>
        </w:tc>
        <w:tc>
          <w:tcPr>
            <w:tcW w:w="25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135,285,768</w:t>
            </w: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44,567,972</w:t>
            </w:r>
          </w:p>
        </w:tc>
        <w:tc>
          <w:tcPr>
            <w:tcW w:w="2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21,852,139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7"/>
                <w:szCs w:val="17"/>
                <w:b w:val="1"/>
                <w:bCs w:val="1"/>
                <w:color w:val="auto"/>
              </w:rPr>
              <w:t>Equity</w:t>
            </w:r>
          </w:p>
        </w:tc>
        <w:tc>
          <w:tcPr>
            <w:tcW w:w="2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0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Contributed equity</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23</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234,147,526</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113,852,364</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80,331,016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00" w:type="dxa"/>
            <w:vAlign w:val="bottom"/>
          </w:tcPr>
          <w:p>
            <w:pPr>
              <w:ind w:left="240"/>
              <w:spacing w:after="0"/>
              <w:rPr>
                <w:sz w:val="20"/>
                <w:szCs w:val="20"/>
                <w:color w:val="auto"/>
              </w:rPr>
            </w:pPr>
            <w:r>
              <w:rPr>
                <w:rFonts w:ascii="Arial" w:cs="Arial" w:eastAsia="Arial" w:hAnsi="Arial"/>
                <w:sz w:val="17"/>
                <w:szCs w:val="17"/>
                <w:color w:val="auto"/>
              </w:rPr>
              <w:t>Pre-funded warrants</w:t>
            </w:r>
          </w:p>
        </w:tc>
        <w:tc>
          <w:tcPr>
            <w:tcW w:w="2580" w:type="dxa"/>
            <w:vAlign w:val="bottom"/>
          </w:tcPr>
          <w:p>
            <w:pPr>
              <w:jc w:val="center"/>
              <w:ind w:left="1414"/>
              <w:spacing w:after="0"/>
              <w:rPr>
                <w:sz w:val="20"/>
                <w:szCs w:val="20"/>
                <w:color w:val="auto"/>
              </w:rPr>
            </w:pPr>
            <w:r>
              <w:rPr>
                <w:rFonts w:ascii="Arial" w:cs="Arial" w:eastAsia="Arial" w:hAnsi="Arial"/>
                <w:sz w:val="17"/>
                <w:szCs w:val="17"/>
                <w:color w:val="auto"/>
                <w:w w:val="84"/>
              </w:rPr>
              <w:t>23</w:t>
            </w: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4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Loss</w:t>
            </w:r>
          </w:p>
        </w:tc>
        <w:tc>
          <w:tcPr>
            <w:tcW w:w="2580" w:type="dxa"/>
            <w:vAlign w:val="bottom"/>
            <w:shd w:val="clear" w:color="auto" w:fill="CFF0FC"/>
          </w:tcPr>
          <w:p>
            <w:pPr>
              <w:jc w:val="center"/>
              <w:ind w:left="1414"/>
              <w:spacing w:after="0"/>
              <w:rPr>
                <w:sz w:val="20"/>
                <w:szCs w:val="20"/>
                <w:color w:val="auto"/>
              </w:rPr>
            </w:pPr>
            <w:r>
              <w:rPr>
                <w:rFonts w:ascii="Arial" w:cs="Arial" w:eastAsia="Arial" w:hAnsi="Arial"/>
                <w:sz w:val="17"/>
                <w:szCs w:val="17"/>
                <w:color w:val="auto"/>
                <w:w w:val="84"/>
              </w:rPr>
              <w:t>24</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(124,123,982)</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(78,779,486)</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(67,656,287)</w:t>
            </w:r>
          </w:p>
        </w:tc>
        <w:tc>
          <w:tcPr>
            <w:tcW w:w="0" w:type="dxa"/>
            <w:vAlign w:val="bottom"/>
          </w:tcPr>
          <w:p>
            <w:pPr>
              <w:spacing w:after="0"/>
              <w:rPr>
                <w:sz w:val="1"/>
                <w:szCs w:val="1"/>
                <w:color w:val="auto"/>
              </w:rPr>
            </w:pPr>
          </w:p>
        </w:tc>
      </w:tr>
      <w:tr>
        <w:trPr>
          <w:trHeight w:val="221"/>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Reserves</w:t>
            </w:r>
          </w:p>
        </w:tc>
        <w:tc>
          <w:tcPr>
            <w:tcW w:w="2580" w:type="dxa"/>
            <w:vAlign w:val="bottom"/>
            <w:tcBorders>
              <w:bottom w:val="single" w:sz="8" w:color="CFF0FC"/>
            </w:tcBorders>
          </w:tcPr>
          <w:p>
            <w:pPr>
              <w:jc w:val="center"/>
              <w:ind w:left="1414"/>
              <w:spacing w:after="0"/>
              <w:rPr>
                <w:sz w:val="20"/>
                <w:szCs w:val="20"/>
                <w:color w:val="auto"/>
              </w:rPr>
            </w:pPr>
            <w:r>
              <w:rPr>
                <w:rFonts w:ascii="Arial" w:cs="Arial" w:eastAsia="Arial" w:hAnsi="Arial"/>
                <w:sz w:val="17"/>
                <w:szCs w:val="17"/>
                <w:color w:val="auto"/>
                <w:w w:val="84"/>
              </w:rPr>
              <w:t>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25,262,224</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9,495,094</w:t>
            </w:r>
          </w:p>
        </w:tc>
        <w:tc>
          <w:tcPr>
            <w:tcW w:w="2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9,177,410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Total Equity</w:t>
            </w:r>
          </w:p>
        </w:tc>
        <w:tc>
          <w:tcPr>
            <w:tcW w:w="25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135,285,768</w:t>
            </w: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44,567,972</w:t>
            </w:r>
          </w:p>
        </w:tc>
        <w:tc>
          <w:tcPr>
            <w:tcW w:w="2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21,852,139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line="279" w:lineRule="auto"/>
        <w:rPr>
          <w:sz w:val="20"/>
          <w:szCs w:val="20"/>
          <w:color w:val="auto"/>
        </w:rPr>
      </w:pPr>
      <w:r>
        <w:rPr>
          <w:rFonts w:ascii="Arial" w:cs="Arial" w:eastAsia="Arial" w:hAnsi="Arial"/>
          <w:sz w:val="17"/>
          <w:szCs w:val="17"/>
          <w:color w:val="auto"/>
        </w:rPr>
        <w:t>The above consolidated statement of financial position should be read in conjunction with the accompanying notes. All amounts presented in respect of prior periods have been restated to reflect the change in presentation currency as set out in the accounting policies included in Note 3.</w:t>
      </w: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8" w:name="page169"/>
    <w:bookmarkEnd w:id="168"/>
    <w:p>
      <w:pPr>
        <w:jc w:val="center"/>
        <w:ind w:right="-119"/>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for the Years ended June 30, 2021, and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FX</w:t>
            </w: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Contributed</w:t>
            </w: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Pre-funded</w:t>
            </w: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Option</w:t>
            </w: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Share-based</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Fair value of</w:t>
            </w: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translation</w:t>
            </w:r>
          </w:p>
        </w:tc>
        <w:tc>
          <w:tcPr>
            <w:tcW w:w="9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0"/>
              </w:rPr>
              <w:t>Accumulated</w:t>
            </w:r>
          </w:p>
        </w:tc>
        <w:tc>
          <w:tcPr>
            <w:tcW w:w="8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89"/>
              </w:rPr>
              <w:t>payment</w:t>
            </w: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Investment</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740" w:type="dxa"/>
            <w:vAlign w:val="bottom"/>
            <w:vMerge w:val="restart"/>
          </w:tcPr>
          <w:p>
            <w:pPr>
              <w:jc w:val="center"/>
              <w:ind w:right="59"/>
              <w:spacing w:after="0"/>
              <w:rPr>
                <w:sz w:val="20"/>
                <w:szCs w:val="20"/>
                <w:color w:val="auto"/>
              </w:rPr>
            </w:pPr>
            <w:r>
              <w:rPr>
                <w:rFonts w:ascii="Arial" w:cs="Arial" w:eastAsia="Arial" w:hAnsi="Arial"/>
                <w:sz w:val="12"/>
                <w:szCs w:val="12"/>
                <w:b w:val="1"/>
                <w:bCs w:val="1"/>
                <w:color w:val="auto"/>
                <w:w w:val="89"/>
              </w:rPr>
              <w:t>Notes</w:t>
            </w: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equity</w:t>
            </w: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warrants</w:t>
            </w: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reserve</w:t>
            </w: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4"/>
              </w:rPr>
              <w:t>reserve</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reserve</w:t>
            </w: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Reserve</w:t>
            </w:r>
          </w:p>
        </w:tc>
        <w:tc>
          <w:tcPr>
            <w:tcW w:w="9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8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36"/>
        </w:trPr>
        <w:tc>
          <w:tcPr>
            <w:tcW w:w="2900" w:type="dxa"/>
            <w:vAlign w:val="bottom"/>
            <w:vMerge w:val="restart"/>
          </w:tcPr>
          <w:p>
            <w:pPr>
              <w:spacing w:after="0"/>
              <w:rPr>
                <w:sz w:val="20"/>
                <w:szCs w:val="20"/>
                <w:color w:val="auto"/>
              </w:rPr>
            </w:pPr>
            <w:r>
              <w:rPr>
                <w:rFonts w:ascii="Arial" w:cs="Arial" w:eastAsia="Arial" w:hAnsi="Arial"/>
                <w:sz w:val="12"/>
                <w:szCs w:val="12"/>
                <w:b w:val="1"/>
                <w:bCs w:val="1"/>
                <w:color w:val="auto"/>
              </w:rPr>
              <w:t>Balance at July 1,2018 (Restated)</w:t>
            </w:r>
          </w:p>
        </w:tc>
        <w:tc>
          <w:tcPr>
            <w:tcW w:w="740" w:type="dxa"/>
            <w:vAlign w:val="bottom"/>
            <w:vMerge w:val="continue"/>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85"/>
              </w:rPr>
              <w:t>US$</w:t>
            </w:r>
          </w:p>
        </w:tc>
        <w:tc>
          <w:tcPr>
            <w:tcW w:w="2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85"/>
              </w:rPr>
              <w:t>US$</w:t>
            </w:r>
          </w:p>
        </w:tc>
        <w:tc>
          <w:tcPr>
            <w:tcW w:w="2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4"/>
              </w:rPr>
              <w:t>US$</w:t>
            </w:r>
          </w:p>
        </w:tc>
        <w:tc>
          <w:tcPr>
            <w:tcW w:w="2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85"/>
              </w:rPr>
              <w:t>US$</w:t>
            </w:r>
          </w:p>
        </w:tc>
        <w:tc>
          <w:tcPr>
            <w:tcW w:w="20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4"/>
              </w:rPr>
              <w:t>US$</w:t>
            </w:r>
          </w:p>
        </w:tc>
        <w:tc>
          <w:tcPr>
            <w:tcW w:w="2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4"/>
              </w:rPr>
              <w:t>US$</w:t>
            </w:r>
          </w:p>
        </w:tc>
        <w:tc>
          <w:tcPr>
            <w:tcW w:w="2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4"/>
              </w:rPr>
              <w:t>US$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85"/>
              </w:rPr>
              <w:t>US$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69,788,130</w:t>
            </w:r>
          </w:p>
        </w:tc>
        <w:tc>
          <w:tcPr>
            <w:tcW w:w="22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1,473,302</w:t>
            </w: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1,816,817</w:t>
            </w: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353,604</w:t>
            </w:r>
          </w:p>
        </w:tc>
        <w:tc>
          <w:tcPr>
            <w:tcW w:w="22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7,530,571</w:t>
            </w:r>
          </w:p>
        </w:tc>
        <w:tc>
          <w:tcPr>
            <w:tcW w:w="20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(52,704,339)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28,258,085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Fair value gains on investments in financial assets</w:t>
            </w:r>
          </w:p>
        </w:tc>
        <w:tc>
          <w:tcPr>
            <w:tcW w:w="740" w:type="dxa"/>
            <w:vAlign w:val="bottom"/>
            <w:shd w:val="clear" w:color="auto" w:fill="CFF0FC"/>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181,687</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Net loss for the year</w:t>
            </w:r>
          </w:p>
        </w:tc>
        <w:tc>
          <w:tcPr>
            <w:tcW w:w="7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(14,951,948 )</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(14,951,948)</w:t>
            </w:r>
          </w:p>
        </w:tc>
        <w:tc>
          <w:tcPr>
            <w:tcW w:w="0" w:type="dxa"/>
            <w:vAlign w:val="bottom"/>
          </w:tcPr>
          <w:p>
            <w:pPr>
              <w:spacing w:after="0"/>
              <w:rPr>
                <w:sz w:val="1"/>
                <w:szCs w:val="1"/>
                <w:color w:val="auto"/>
              </w:rPr>
            </w:pPr>
          </w:p>
        </w:tc>
      </w:tr>
      <w:tr>
        <w:trPr>
          <w:trHeight w:val="136"/>
        </w:trPr>
        <w:tc>
          <w:tcPr>
            <w:tcW w:w="2900" w:type="dxa"/>
            <w:vAlign w:val="bottom"/>
            <w:tcBorders>
              <w:top w:val="single" w:sz="8" w:color="CFF0FC"/>
            </w:tcBorders>
            <w:shd w:val="clear" w:color="auto" w:fill="CFF0FC"/>
          </w:tcPr>
          <w:p>
            <w:pPr>
              <w:spacing w:after="0" w:line="136" w:lineRule="exact"/>
              <w:rPr>
                <w:sz w:val="20"/>
                <w:szCs w:val="20"/>
                <w:color w:val="auto"/>
              </w:rPr>
            </w:pPr>
            <w:r>
              <w:rPr>
                <w:rFonts w:ascii="Arial" w:cs="Arial" w:eastAsia="Arial" w:hAnsi="Arial"/>
                <w:sz w:val="12"/>
                <w:szCs w:val="12"/>
                <w:color w:val="auto"/>
                <w:w w:val="96"/>
              </w:rPr>
              <w:t>Total comprehensive income and expense for the period</w:t>
            </w:r>
          </w:p>
        </w:tc>
        <w:tc>
          <w:tcPr>
            <w:tcW w:w="7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CFF0FC"/>
            </w:tcBorders>
            <w:gridSpan w:val="2"/>
            <w:shd w:val="clear" w:color="auto" w:fill="CFF0FC"/>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181,687</w:t>
            </w: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(14,951,948)</w:t>
            </w: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(14,770,261</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Issuance of ordinary shares</w:t>
            </w:r>
          </w:p>
        </w:tc>
        <w:tc>
          <w:tcPr>
            <w:tcW w:w="740" w:type="dxa"/>
            <w:vAlign w:val="bottom"/>
          </w:tcPr>
          <w:p>
            <w:pPr>
              <w:jc w:val="center"/>
              <w:ind w:right="39"/>
              <w:spacing w:after="0"/>
              <w:rPr>
                <w:sz w:val="20"/>
                <w:szCs w:val="20"/>
                <w:color w:val="auto"/>
              </w:rPr>
            </w:pPr>
            <w:r>
              <w:rPr>
                <w:rFonts w:ascii="Arial" w:cs="Arial" w:eastAsia="Arial" w:hAnsi="Arial"/>
                <w:sz w:val="12"/>
                <w:szCs w:val="12"/>
                <w:color w:val="auto"/>
                <w:w w:val="89"/>
              </w:rPr>
              <w:t>23</w:t>
            </w:r>
          </w:p>
        </w:tc>
        <w:tc>
          <w:tcPr>
            <w:tcW w:w="760" w:type="dxa"/>
            <w:vAlign w:val="bottom"/>
          </w:tcPr>
          <w:p>
            <w:pPr>
              <w:jc w:val="right"/>
              <w:spacing w:after="0"/>
              <w:rPr>
                <w:sz w:val="20"/>
                <w:szCs w:val="20"/>
                <w:color w:val="auto"/>
              </w:rPr>
            </w:pPr>
            <w:r>
              <w:rPr>
                <w:rFonts w:ascii="Arial" w:cs="Arial" w:eastAsia="Arial" w:hAnsi="Arial"/>
                <w:sz w:val="12"/>
                <w:szCs w:val="12"/>
                <w:color w:val="auto"/>
              </w:rPr>
              <w:t>9,069,584</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9,069,584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Exercise of options granted under LTIP and NED plan</w:t>
            </w:r>
          </w:p>
        </w:tc>
        <w:tc>
          <w:tcPr>
            <w:tcW w:w="740" w:type="dxa"/>
            <w:vAlign w:val="bottom"/>
            <w:shd w:val="clear" w:color="auto" w:fill="CFF0FC"/>
          </w:tcPr>
          <w:p>
            <w:pPr>
              <w:jc w:val="center"/>
              <w:ind w:right="39"/>
              <w:spacing w:after="0"/>
              <w:rPr>
                <w:sz w:val="20"/>
                <w:szCs w:val="20"/>
                <w:color w:val="auto"/>
              </w:rPr>
            </w:pPr>
            <w:r>
              <w:rPr>
                <w:rFonts w:ascii="Arial" w:cs="Arial" w:eastAsia="Arial" w:hAnsi="Arial"/>
                <w:sz w:val="12"/>
                <w:szCs w:val="12"/>
                <w:color w:val="auto"/>
                <w:w w:val="89"/>
              </w:rPr>
              <w:t>23</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1,473,302</w:t>
            </w: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(1,473,302)</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Exchange on conversion</w:t>
            </w:r>
          </w:p>
        </w:tc>
        <w:tc>
          <w:tcPr>
            <w:tcW w:w="740" w:type="dxa"/>
            <w:vAlign w:val="bottom"/>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(100,457)</w:t>
            </w: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(17,591)</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(1,272,630)</w:t>
            </w: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(1,390,678)</w:t>
            </w: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Share-based compensation expense</w:t>
            </w:r>
          </w:p>
        </w:tc>
        <w:tc>
          <w:tcPr>
            <w:tcW w:w="740" w:type="dxa"/>
            <w:vAlign w:val="bottom"/>
            <w:shd w:val="clear" w:color="auto" w:fill="CFF0FC"/>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685,409</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685,409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2"/>
                <w:szCs w:val="12"/>
                <w:b w:val="1"/>
                <w:bCs w:val="1"/>
                <w:color w:val="auto"/>
              </w:rPr>
              <w:t>Balance at June 30, 2019 (Restated)</w:t>
            </w:r>
          </w:p>
        </w:tc>
        <w:tc>
          <w:tcPr>
            <w:tcW w:w="74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80,331,016</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2,401,769</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517,700</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6,257,941</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(67,656,287)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21,852,139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Fair value gains on investments in</w:t>
            </w:r>
          </w:p>
        </w:tc>
        <w:tc>
          <w:tcPr>
            <w:tcW w:w="740" w:type="dxa"/>
            <w:vAlign w:val="bottom"/>
            <w:shd w:val="clear" w:color="auto" w:fill="CFF0FC"/>
          </w:tcPr>
          <w:p>
            <w:pPr>
              <w:jc w:val="center"/>
              <w:ind w:right="39"/>
              <w:spacing w:after="0" w:line="129" w:lineRule="exact"/>
              <w:rPr>
                <w:sz w:val="20"/>
                <w:szCs w:val="20"/>
                <w:color w:val="auto"/>
              </w:rPr>
            </w:pPr>
            <w:r>
              <w:rPr>
                <w:rFonts w:ascii="Arial" w:cs="Arial" w:eastAsia="Arial" w:hAnsi="Arial"/>
                <w:sz w:val="12"/>
                <w:szCs w:val="12"/>
                <w:color w:val="auto"/>
                <w:w w:val="89"/>
              </w:rPr>
              <w:t>24</w:t>
            </w: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00" w:type="dxa"/>
            <w:vAlign w:val="bottom"/>
            <w:tcBorders>
              <w:bottom w:val="single" w:sz="8" w:color="CFF0FC"/>
            </w:tcBorders>
            <w:shd w:val="clear" w:color="auto" w:fill="CFF0FC"/>
          </w:tcPr>
          <w:p>
            <w:pPr>
              <w:ind w:left="100"/>
              <w:spacing w:after="0" w:line="124" w:lineRule="exact"/>
              <w:rPr>
                <w:sz w:val="20"/>
                <w:szCs w:val="20"/>
                <w:color w:val="auto"/>
              </w:rPr>
            </w:pPr>
            <w:r>
              <w:rPr>
                <w:rFonts w:ascii="Arial" w:cs="Arial" w:eastAsia="Arial" w:hAnsi="Arial"/>
                <w:sz w:val="12"/>
                <w:szCs w:val="12"/>
                <w:color w:val="auto"/>
              </w:rPr>
              <w:t>financial assets*</w:t>
            </w:r>
          </w:p>
        </w:tc>
        <w:tc>
          <w:tcPr>
            <w:tcW w:w="740" w:type="dxa"/>
            <w:vAlign w:val="bottom"/>
            <w:tcBorders>
              <w:bottom w:val="single" w:sz="8" w:color="CFF0FC"/>
            </w:tcBorders>
            <w:shd w:val="clear" w:color="auto" w:fill="CFF0FC"/>
          </w:tcPr>
          <w:p>
            <w:pPr>
              <w:spacing w:after="0"/>
              <w:rPr>
                <w:sz w:val="10"/>
                <w:szCs w:val="10"/>
                <w:color w:val="auto"/>
              </w:rPr>
            </w:pPr>
          </w:p>
        </w:tc>
        <w:tc>
          <w:tcPr>
            <w:tcW w:w="980" w:type="dxa"/>
            <w:vAlign w:val="bottom"/>
            <w:tcBorders>
              <w:bottom w:val="single" w:sz="8" w:color="CFF0FC"/>
            </w:tcBorders>
            <w:gridSpan w:val="2"/>
            <w:shd w:val="clear" w:color="auto" w:fill="CFF0FC"/>
          </w:tcPr>
          <w:p>
            <w:pPr>
              <w:jc w:val="right"/>
              <w:ind w:right="220"/>
              <w:spacing w:after="0" w:line="124"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CFF0FC"/>
            </w:tcBorders>
            <w:gridSpan w:val="2"/>
            <w:vMerge w:val="continue"/>
            <w:shd w:val="clear" w:color="auto" w:fill="CFF0FC"/>
          </w:tcPr>
          <w:p>
            <w:pPr>
              <w:spacing w:after="0"/>
              <w:rPr>
                <w:sz w:val="10"/>
                <w:szCs w:val="10"/>
                <w:color w:val="auto"/>
              </w:rPr>
            </w:pPr>
          </w:p>
        </w:tc>
        <w:tc>
          <w:tcPr>
            <w:tcW w:w="860" w:type="dxa"/>
            <w:vAlign w:val="bottom"/>
            <w:tcBorders>
              <w:bottom w:val="single" w:sz="8" w:color="CFF0FC"/>
            </w:tcBorders>
            <w:gridSpan w:val="2"/>
            <w:vMerge w:val="continue"/>
            <w:shd w:val="clear" w:color="auto" w:fill="CFF0FC"/>
          </w:tcPr>
          <w:p>
            <w:pPr>
              <w:spacing w:after="0"/>
              <w:rPr>
                <w:sz w:val="10"/>
                <w:szCs w:val="10"/>
                <w:color w:val="auto"/>
              </w:rPr>
            </w:pPr>
          </w:p>
        </w:tc>
        <w:tc>
          <w:tcPr>
            <w:tcW w:w="980" w:type="dxa"/>
            <w:vAlign w:val="bottom"/>
            <w:tcBorders>
              <w:bottom w:val="single" w:sz="8" w:color="CFF0FC"/>
            </w:tcBorders>
            <w:gridSpan w:val="2"/>
            <w:shd w:val="clear" w:color="auto" w:fill="CFF0FC"/>
          </w:tcPr>
          <w:p>
            <w:pPr>
              <w:jc w:val="right"/>
              <w:ind w:right="220"/>
              <w:spacing w:after="0" w:line="124"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CFF0FC"/>
            </w:tcBorders>
            <w:shd w:val="clear" w:color="auto" w:fill="CFF0FC"/>
          </w:tcPr>
          <w:p>
            <w:pPr>
              <w:jc w:val="right"/>
              <w:spacing w:after="0" w:line="124" w:lineRule="exact"/>
              <w:rPr>
                <w:sz w:val="20"/>
                <w:szCs w:val="20"/>
                <w:color w:val="auto"/>
              </w:rPr>
            </w:pPr>
            <w:r>
              <w:rPr>
                <w:rFonts w:ascii="Arial" w:cs="Arial" w:eastAsia="Arial" w:hAnsi="Arial"/>
                <w:sz w:val="12"/>
                <w:szCs w:val="12"/>
                <w:color w:val="auto"/>
              </w:rPr>
              <w:t>41,098</w:t>
            </w:r>
          </w:p>
        </w:tc>
        <w:tc>
          <w:tcPr>
            <w:tcW w:w="220" w:type="dxa"/>
            <w:vAlign w:val="bottom"/>
            <w:tcBorders>
              <w:bottom w:val="single" w:sz="8" w:color="CFF0FC"/>
            </w:tcBorders>
            <w:shd w:val="clear" w:color="auto" w:fill="CFF0FC"/>
          </w:tcPr>
          <w:p>
            <w:pPr>
              <w:spacing w:after="0"/>
              <w:rPr>
                <w:sz w:val="10"/>
                <w:szCs w:val="10"/>
                <w:color w:val="auto"/>
              </w:rPr>
            </w:pPr>
          </w:p>
        </w:tc>
        <w:tc>
          <w:tcPr>
            <w:tcW w:w="960" w:type="dxa"/>
            <w:vAlign w:val="bottom"/>
            <w:tcBorders>
              <w:bottom w:val="single" w:sz="8" w:color="CFF0FC"/>
            </w:tcBorders>
            <w:gridSpan w:val="2"/>
            <w:shd w:val="clear" w:color="auto" w:fill="CFF0FC"/>
          </w:tcPr>
          <w:p>
            <w:pPr>
              <w:jc w:val="right"/>
              <w:ind w:right="220"/>
              <w:spacing w:after="0" w:line="124"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CFF0FC"/>
            </w:tcBorders>
            <w:gridSpan w:val="3"/>
            <w:shd w:val="clear" w:color="auto" w:fill="CFF0FC"/>
          </w:tcPr>
          <w:p>
            <w:pPr>
              <w:jc w:val="right"/>
              <w:ind w:right="220"/>
              <w:spacing w:after="0" w:line="124"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CFF0FC"/>
            </w:tcBorders>
            <w:shd w:val="clear" w:color="auto" w:fill="CFF0FC"/>
          </w:tcPr>
          <w:p>
            <w:pPr>
              <w:jc w:val="right"/>
              <w:spacing w:after="0" w:line="124" w:lineRule="exact"/>
              <w:rPr>
                <w:sz w:val="20"/>
                <w:szCs w:val="20"/>
                <w:color w:val="auto"/>
              </w:rPr>
            </w:pPr>
            <w:r>
              <w:rPr>
                <w:rFonts w:ascii="Arial" w:cs="Arial" w:eastAsia="Arial" w:hAnsi="Arial"/>
                <w:sz w:val="12"/>
                <w:szCs w:val="12"/>
                <w:color w:val="auto"/>
              </w:rPr>
              <w:t>41,098</w:t>
            </w:r>
          </w:p>
        </w:tc>
        <w:tc>
          <w:tcPr>
            <w:tcW w:w="8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Net loss for the year</w:t>
            </w:r>
          </w:p>
        </w:tc>
        <w:tc>
          <w:tcPr>
            <w:tcW w:w="7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(11,123,199 )</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(11,123,199 )</w:t>
            </w:r>
          </w:p>
        </w:tc>
        <w:tc>
          <w:tcPr>
            <w:tcW w:w="0" w:type="dxa"/>
            <w:vAlign w:val="bottom"/>
          </w:tcPr>
          <w:p>
            <w:pPr>
              <w:spacing w:after="0"/>
              <w:rPr>
                <w:sz w:val="1"/>
                <w:szCs w:val="1"/>
                <w:color w:val="auto"/>
              </w:rPr>
            </w:pPr>
          </w:p>
        </w:tc>
      </w:tr>
      <w:tr>
        <w:trPr>
          <w:trHeight w:val="136"/>
        </w:trPr>
        <w:tc>
          <w:tcPr>
            <w:tcW w:w="2900" w:type="dxa"/>
            <w:vAlign w:val="bottom"/>
            <w:tcBorders>
              <w:top w:val="single" w:sz="8" w:color="CFF0FC"/>
            </w:tcBorders>
            <w:shd w:val="clear" w:color="auto" w:fill="CFF0FC"/>
          </w:tcPr>
          <w:p>
            <w:pPr>
              <w:spacing w:after="0" w:line="136" w:lineRule="exact"/>
              <w:rPr>
                <w:sz w:val="20"/>
                <w:szCs w:val="20"/>
                <w:color w:val="auto"/>
              </w:rPr>
            </w:pPr>
            <w:r>
              <w:rPr>
                <w:rFonts w:ascii="Arial" w:cs="Arial" w:eastAsia="Arial" w:hAnsi="Arial"/>
                <w:sz w:val="12"/>
                <w:szCs w:val="12"/>
                <w:color w:val="auto"/>
                <w:w w:val="95"/>
              </w:rPr>
              <w:t>Total Comprehensive income and expense for the period</w:t>
            </w:r>
          </w:p>
        </w:tc>
        <w:tc>
          <w:tcPr>
            <w:tcW w:w="7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41,098</w:t>
            </w: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(11,123,199)</w:t>
            </w: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(11,082,101)</w:t>
            </w: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Issuance of ordinary shares</w:t>
            </w:r>
          </w:p>
        </w:tc>
        <w:tc>
          <w:tcPr>
            <w:tcW w:w="740" w:type="dxa"/>
            <w:vAlign w:val="bottom"/>
          </w:tcPr>
          <w:p>
            <w:pPr>
              <w:jc w:val="center"/>
              <w:ind w:right="39"/>
              <w:spacing w:after="0"/>
              <w:rPr>
                <w:sz w:val="20"/>
                <w:szCs w:val="20"/>
                <w:color w:val="auto"/>
              </w:rPr>
            </w:pPr>
            <w:r>
              <w:rPr>
                <w:rFonts w:ascii="Arial" w:cs="Arial" w:eastAsia="Arial" w:hAnsi="Arial"/>
                <w:sz w:val="12"/>
                <w:szCs w:val="12"/>
                <w:color w:val="auto"/>
                <w:w w:val="89"/>
              </w:rPr>
              <w:t>23</w:t>
            </w:r>
          </w:p>
        </w:tc>
        <w:tc>
          <w:tcPr>
            <w:tcW w:w="760" w:type="dxa"/>
            <w:vAlign w:val="bottom"/>
          </w:tcPr>
          <w:p>
            <w:pPr>
              <w:jc w:val="right"/>
              <w:spacing w:after="0"/>
              <w:rPr>
                <w:sz w:val="20"/>
                <w:szCs w:val="20"/>
                <w:color w:val="auto"/>
              </w:rPr>
            </w:pPr>
            <w:r>
              <w:rPr>
                <w:rFonts w:ascii="Arial" w:cs="Arial" w:eastAsia="Arial" w:hAnsi="Arial"/>
                <w:sz w:val="12"/>
                <w:szCs w:val="12"/>
                <w:color w:val="auto"/>
              </w:rPr>
              <w:t>33,236,520</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33,236,520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Exercise of options granted under LTIP and NED plan</w:t>
            </w:r>
          </w:p>
        </w:tc>
        <w:tc>
          <w:tcPr>
            <w:tcW w:w="740" w:type="dxa"/>
            <w:vAlign w:val="bottom"/>
            <w:shd w:val="clear" w:color="auto" w:fill="CFF0FC"/>
          </w:tcPr>
          <w:p>
            <w:pPr>
              <w:jc w:val="center"/>
              <w:ind w:right="39"/>
              <w:spacing w:after="0"/>
              <w:rPr>
                <w:sz w:val="20"/>
                <w:szCs w:val="20"/>
                <w:color w:val="auto"/>
              </w:rPr>
            </w:pPr>
            <w:r>
              <w:rPr>
                <w:rFonts w:ascii="Arial" w:cs="Arial" w:eastAsia="Arial" w:hAnsi="Arial"/>
                <w:sz w:val="12"/>
                <w:szCs w:val="12"/>
                <w:color w:val="auto"/>
                <w:w w:val="89"/>
              </w:rPr>
              <w:t>23</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284,828</w:t>
            </w: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(284,828)</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Exchange on conversion</w:t>
            </w:r>
          </w:p>
        </w:tc>
        <w:tc>
          <w:tcPr>
            <w:tcW w:w="740" w:type="dxa"/>
            <w:vAlign w:val="bottom"/>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266,451</w:t>
            </w:r>
          </w:p>
        </w:tc>
        <w:tc>
          <w:tcPr>
            <w:tcW w:w="20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2"/>
                <w:szCs w:val="12"/>
                <w:color w:val="auto"/>
              </w:rPr>
              <w:t>(7,389)</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(430,336)</w:t>
            </w: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(171,274)</w:t>
            </w: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Recognition of share-based payment</w:t>
            </w:r>
          </w:p>
        </w:tc>
        <w:tc>
          <w:tcPr>
            <w:tcW w:w="740" w:type="dxa"/>
            <w:vAlign w:val="bottom"/>
            <w:shd w:val="clear" w:color="auto" w:fill="CFF0FC"/>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732,688</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732,688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00" w:type="dxa"/>
            <w:vAlign w:val="bottom"/>
          </w:tcPr>
          <w:p>
            <w:pPr>
              <w:spacing w:after="0" w:line="136" w:lineRule="exact"/>
              <w:rPr>
                <w:sz w:val="20"/>
                <w:szCs w:val="20"/>
                <w:color w:val="auto"/>
              </w:rPr>
            </w:pPr>
            <w:r>
              <w:rPr>
                <w:rFonts w:ascii="Arial" w:cs="Arial" w:eastAsia="Arial" w:hAnsi="Arial"/>
                <w:sz w:val="12"/>
                <w:szCs w:val="12"/>
                <w:b w:val="1"/>
                <w:bCs w:val="1"/>
                <w:color w:val="auto"/>
              </w:rPr>
              <w:t>Balance at June 30, 2020 (Restated)</w:t>
            </w:r>
          </w:p>
        </w:tc>
        <w:tc>
          <w:tcPr>
            <w:tcW w:w="74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113,852,364</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3,116,080</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551,409</w:t>
            </w:r>
          </w:p>
        </w:tc>
        <w:tc>
          <w:tcPr>
            <w:tcW w:w="22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5,827,605</w:t>
            </w:r>
          </w:p>
        </w:tc>
        <w:tc>
          <w:tcPr>
            <w:tcW w:w="200" w:type="dxa"/>
            <w:vAlign w:val="bottom"/>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(78,779,486)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44,567,972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Fair value gains on investments in</w:t>
            </w:r>
          </w:p>
        </w:tc>
        <w:tc>
          <w:tcPr>
            <w:tcW w:w="740" w:type="dxa"/>
            <w:vAlign w:val="bottom"/>
            <w:shd w:val="clear" w:color="auto" w:fill="CFF0FC"/>
          </w:tcPr>
          <w:p>
            <w:pPr>
              <w:jc w:val="center"/>
              <w:ind w:right="39"/>
              <w:spacing w:after="0" w:line="129" w:lineRule="exact"/>
              <w:rPr>
                <w:sz w:val="20"/>
                <w:szCs w:val="20"/>
                <w:color w:val="auto"/>
              </w:rPr>
            </w:pPr>
            <w:r>
              <w:rPr>
                <w:rFonts w:ascii="Arial" w:cs="Arial" w:eastAsia="Arial" w:hAnsi="Arial"/>
                <w:sz w:val="12"/>
                <w:szCs w:val="12"/>
                <w:color w:val="auto"/>
                <w:w w:val="89"/>
              </w:rPr>
              <w:t>24</w:t>
            </w: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FF0FC"/>
          </w:tcPr>
          <w:p>
            <w:pPr>
              <w:ind w:left="100"/>
              <w:spacing w:after="0"/>
              <w:rPr>
                <w:sz w:val="20"/>
                <w:szCs w:val="20"/>
                <w:color w:val="auto"/>
              </w:rPr>
            </w:pPr>
            <w:r>
              <w:rPr>
                <w:rFonts w:ascii="Arial" w:cs="Arial" w:eastAsia="Arial" w:hAnsi="Arial"/>
                <w:sz w:val="12"/>
                <w:szCs w:val="12"/>
                <w:color w:val="auto"/>
              </w:rPr>
              <w:t>financial assets*</w:t>
            </w:r>
          </w:p>
        </w:tc>
        <w:tc>
          <w:tcPr>
            <w:tcW w:w="7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469,767</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469,767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Net loss for the year</w:t>
            </w:r>
          </w:p>
        </w:tc>
        <w:tc>
          <w:tcPr>
            <w:tcW w:w="7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(45,344,496 )</w:t>
            </w: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(45,344,496 )</w:t>
            </w:r>
          </w:p>
        </w:tc>
        <w:tc>
          <w:tcPr>
            <w:tcW w:w="0" w:type="dxa"/>
            <w:vAlign w:val="bottom"/>
          </w:tcPr>
          <w:p>
            <w:pPr>
              <w:spacing w:after="0"/>
              <w:rPr>
                <w:sz w:val="1"/>
                <w:szCs w:val="1"/>
                <w:color w:val="auto"/>
              </w:rPr>
            </w:pPr>
          </w:p>
        </w:tc>
      </w:tr>
      <w:tr>
        <w:trPr>
          <w:trHeight w:val="136"/>
        </w:trPr>
        <w:tc>
          <w:tcPr>
            <w:tcW w:w="2900" w:type="dxa"/>
            <w:vAlign w:val="bottom"/>
            <w:tcBorders>
              <w:top w:val="single" w:sz="8" w:color="CFF0FC"/>
            </w:tcBorders>
            <w:shd w:val="clear" w:color="auto" w:fill="CFF0FC"/>
          </w:tcPr>
          <w:p>
            <w:pPr>
              <w:spacing w:after="0" w:line="136" w:lineRule="exact"/>
              <w:rPr>
                <w:sz w:val="20"/>
                <w:szCs w:val="20"/>
                <w:color w:val="auto"/>
              </w:rPr>
            </w:pPr>
            <w:r>
              <w:rPr>
                <w:rFonts w:ascii="Arial" w:cs="Arial" w:eastAsia="Arial" w:hAnsi="Arial"/>
                <w:sz w:val="12"/>
                <w:szCs w:val="12"/>
                <w:color w:val="auto"/>
                <w:w w:val="95"/>
              </w:rPr>
              <w:t>Total Comprehensive income and expense for the period</w:t>
            </w:r>
          </w:p>
        </w:tc>
        <w:tc>
          <w:tcPr>
            <w:tcW w:w="7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469,767</w:t>
            </w:r>
          </w:p>
        </w:tc>
        <w:tc>
          <w:tcPr>
            <w:tcW w:w="2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(45,344,496)</w:t>
            </w:r>
          </w:p>
        </w:tc>
        <w:tc>
          <w:tcPr>
            <w:tcW w:w="1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(44,874,729)</w:t>
            </w:r>
          </w:p>
        </w:tc>
        <w:tc>
          <w:tcPr>
            <w:tcW w:w="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line="129" w:lineRule="exact"/>
              <w:rPr>
                <w:sz w:val="20"/>
                <w:szCs w:val="20"/>
                <w:color w:val="auto"/>
              </w:rPr>
            </w:pPr>
            <w:r>
              <w:rPr>
                <w:rFonts w:ascii="Arial" w:cs="Arial" w:eastAsia="Arial" w:hAnsi="Arial"/>
                <w:sz w:val="12"/>
                <w:szCs w:val="12"/>
                <w:color w:val="auto"/>
                <w:w w:val="96"/>
              </w:rPr>
              <w:t>Issuance of ordinary shares and pre-funded warrants on</w:t>
            </w:r>
          </w:p>
        </w:tc>
        <w:tc>
          <w:tcPr>
            <w:tcW w:w="740" w:type="dxa"/>
            <w:vAlign w:val="bottom"/>
          </w:tcPr>
          <w:p>
            <w:pPr>
              <w:jc w:val="center"/>
              <w:ind w:right="39"/>
              <w:spacing w:after="0" w:line="129" w:lineRule="exact"/>
              <w:rPr>
                <w:sz w:val="20"/>
                <w:szCs w:val="20"/>
                <w:color w:val="auto"/>
              </w:rPr>
            </w:pPr>
            <w:r>
              <w:rPr>
                <w:rFonts w:ascii="Arial" w:cs="Arial" w:eastAsia="Arial" w:hAnsi="Arial"/>
                <w:sz w:val="12"/>
                <w:szCs w:val="12"/>
                <w:color w:val="auto"/>
                <w:w w:val="89"/>
              </w:rPr>
              <w:t>23</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NASDAQ listing net of issuance cost $10,126,959</w:t>
            </w:r>
          </w:p>
        </w:tc>
        <w:tc>
          <w:tcPr>
            <w:tcW w:w="7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105,477,591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11,546,029</w:t>
            </w:r>
          </w:p>
        </w:tc>
        <w:tc>
          <w:tcPr>
            <w:tcW w:w="20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117,023,620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Issuance of ordinary shares on exercise of pre-funded</w:t>
            </w:r>
          </w:p>
        </w:tc>
        <w:tc>
          <w:tcPr>
            <w:tcW w:w="740" w:type="dxa"/>
            <w:vAlign w:val="bottom"/>
            <w:shd w:val="clear" w:color="auto" w:fill="CFF0FC"/>
          </w:tcPr>
          <w:p>
            <w:pPr>
              <w:jc w:val="center"/>
              <w:ind w:right="39"/>
              <w:spacing w:after="0" w:line="129" w:lineRule="exact"/>
              <w:rPr>
                <w:sz w:val="20"/>
                <w:szCs w:val="20"/>
                <w:color w:val="auto"/>
              </w:rPr>
            </w:pPr>
            <w:r>
              <w:rPr>
                <w:rFonts w:ascii="Arial" w:cs="Arial" w:eastAsia="Arial" w:hAnsi="Arial"/>
                <w:sz w:val="12"/>
                <w:szCs w:val="12"/>
                <w:color w:val="auto"/>
                <w:w w:val="89"/>
              </w:rPr>
              <w:t>23</w:t>
            </w: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warrants net of issuance costs $1,099,412</w:t>
            </w:r>
          </w:p>
        </w:tc>
        <w:tc>
          <w:tcPr>
            <w:tcW w:w="7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11,546,029</w:t>
            </w:r>
          </w:p>
        </w:tc>
        <w:tc>
          <w:tcPr>
            <w:tcW w:w="2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(11,546,029)</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Exercise of options granted under LTIP and NED plan</w:t>
            </w:r>
          </w:p>
        </w:tc>
        <w:tc>
          <w:tcPr>
            <w:tcW w:w="740" w:type="dxa"/>
            <w:vAlign w:val="bottom"/>
          </w:tcPr>
          <w:p>
            <w:pPr>
              <w:jc w:val="center"/>
              <w:ind w:right="39"/>
              <w:spacing w:after="0"/>
              <w:rPr>
                <w:sz w:val="20"/>
                <w:szCs w:val="20"/>
                <w:color w:val="auto"/>
              </w:rPr>
            </w:pPr>
            <w:r>
              <w:rPr>
                <w:rFonts w:ascii="Arial" w:cs="Arial" w:eastAsia="Arial" w:hAnsi="Arial"/>
                <w:sz w:val="12"/>
                <w:szCs w:val="12"/>
                <w:color w:val="auto"/>
                <w:w w:val="89"/>
              </w:rPr>
              <w:t>23</w:t>
            </w:r>
          </w:p>
        </w:tc>
        <w:tc>
          <w:tcPr>
            <w:tcW w:w="760" w:type="dxa"/>
            <w:vAlign w:val="bottom"/>
          </w:tcPr>
          <w:p>
            <w:pPr>
              <w:jc w:val="right"/>
              <w:spacing w:after="0"/>
              <w:rPr>
                <w:sz w:val="20"/>
                <w:szCs w:val="20"/>
                <w:color w:val="auto"/>
              </w:rPr>
            </w:pPr>
            <w:r>
              <w:rPr>
                <w:rFonts w:ascii="Arial" w:cs="Arial" w:eastAsia="Arial" w:hAnsi="Arial"/>
                <w:sz w:val="12"/>
                <w:szCs w:val="12"/>
                <w:color w:val="auto"/>
              </w:rPr>
              <w:t>3,271,542</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(3,271,542)</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spacing w:after="0"/>
              <w:rPr>
                <w:sz w:val="20"/>
                <w:szCs w:val="20"/>
                <w:color w:val="auto"/>
              </w:rPr>
            </w:pPr>
            <w:r>
              <w:rPr>
                <w:rFonts w:ascii="Arial" w:cs="Arial" w:eastAsia="Arial" w:hAnsi="Arial"/>
                <w:sz w:val="12"/>
                <w:szCs w:val="12"/>
                <w:color w:val="auto"/>
              </w:rPr>
              <w:t>Recognition of share-based payment</w:t>
            </w:r>
          </w:p>
        </w:tc>
        <w:tc>
          <w:tcPr>
            <w:tcW w:w="740" w:type="dxa"/>
            <w:vAlign w:val="bottom"/>
            <w:shd w:val="clear" w:color="auto" w:fill="CFF0FC"/>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3,897,638</w:t>
            </w:r>
          </w:p>
        </w:tc>
        <w:tc>
          <w:tcPr>
            <w:tcW w:w="2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3,897,638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900" w:type="dxa"/>
            <w:vAlign w:val="bottom"/>
          </w:tcPr>
          <w:p>
            <w:pPr>
              <w:spacing w:after="0"/>
              <w:rPr>
                <w:sz w:val="20"/>
                <w:szCs w:val="20"/>
                <w:color w:val="auto"/>
              </w:rPr>
            </w:pPr>
            <w:r>
              <w:rPr>
                <w:rFonts w:ascii="Arial" w:cs="Arial" w:eastAsia="Arial" w:hAnsi="Arial"/>
                <w:sz w:val="12"/>
                <w:szCs w:val="12"/>
                <w:color w:val="auto"/>
              </w:rPr>
              <w:t>Exchange on conversion</w:t>
            </w:r>
          </w:p>
        </w:tc>
        <w:tc>
          <w:tcPr>
            <w:tcW w:w="740" w:type="dxa"/>
            <w:vAlign w:val="bottom"/>
          </w:tcPr>
          <w:p>
            <w:pPr>
              <w:jc w:val="center"/>
              <w:ind w:right="39"/>
              <w:spacing w:after="0"/>
              <w:rPr>
                <w:sz w:val="20"/>
                <w:szCs w:val="20"/>
                <w:color w:val="auto"/>
              </w:rPr>
            </w:pPr>
            <w:r>
              <w:rPr>
                <w:rFonts w:ascii="Arial" w:cs="Arial" w:eastAsia="Arial" w:hAnsi="Arial"/>
                <w:sz w:val="12"/>
                <w:szCs w:val="12"/>
                <w:color w:val="auto"/>
                <w:w w:val="89"/>
              </w:rPr>
              <w:t>24</w:t>
            </w: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345,474</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64,235</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14,261,558</w:t>
            </w:r>
          </w:p>
        </w:tc>
        <w:tc>
          <w:tcPr>
            <w:tcW w:w="20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14,671,267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00" w:type="dxa"/>
            <w:vAlign w:val="bottom"/>
            <w:tcBorders>
              <w:top w:val="single" w:sz="8" w:color="CFF0FC"/>
              <w:bottom w:val="single" w:sz="8" w:color="CFF0FC"/>
            </w:tcBorders>
            <w:shd w:val="clear" w:color="auto" w:fill="CFF0FC"/>
          </w:tcPr>
          <w:p>
            <w:pPr>
              <w:spacing w:after="0" w:line="136" w:lineRule="exact"/>
              <w:rPr>
                <w:sz w:val="20"/>
                <w:szCs w:val="20"/>
                <w:color w:val="auto"/>
              </w:rPr>
            </w:pPr>
            <w:r>
              <w:rPr>
                <w:rFonts w:ascii="Arial" w:cs="Arial" w:eastAsia="Arial" w:hAnsi="Arial"/>
                <w:sz w:val="12"/>
                <w:szCs w:val="12"/>
                <w:b w:val="1"/>
                <w:bCs w:val="1"/>
                <w:color w:val="auto"/>
              </w:rPr>
              <w:t>Balance at June 30, 2021</w:t>
            </w:r>
          </w:p>
        </w:tc>
        <w:tc>
          <w:tcPr>
            <w:tcW w:w="74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234,147,526</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4,087,650</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1,085,411</w:t>
            </w:r>
          </w:p>
        </w:tc>
        <w:tc>
          <w:tcPr>
            <w:tcW w:w="22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20,089,163</w:t>
            </w:r>
          </w:p>
        </w:tc>
        <w:tc>
          <w:tcPr>
            <w:tcW w:w="200" w:type="dxa"/>
            <w:vAlign w:val="bottom"/>
            <w:tcBorders>
              <w:top w:val="single" w:sz="8" w:color="CFF0FC"/>
              <w:bottom w:val="single" w:sz="8" w:color="CFF0FC"/>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(124,123,982</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b w:val="1"/>
                <w:bCs w:val="1"/>
                <w:color w:val="auto"/>
              </w:rPr>
              <w:t>135,285,768</w:t>
            </w: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left="440" w:right="100"/>
        <w:spacing w:after="0" w:line="318" w:lineRule="auto"/>
        <w:rPr>
          <w:sz w:val="20"/>
          <w:szCs w:val="20"/>
          <w:color w:val="auto"/>
        </w:rPr>
      </w:pPr>
      <w:r>
        <w:rPr>
          <w:rFonts w:ascii="Arial" w:cs="Arial" w:eastAsia="Arial" w:hAnsi="Arial"/>
          <w:sz w:val="16"/>
          <w:szCs w:val="16"/>
          <w:color w:val="auto"/>
        </w:rPr>
        <w:t>The above consolidated statement of change in equity should be read in conjunction with the accompanying notes. All amounts presented in respect of prior periods have been restated to reflect the change in presentation currency as set out in the accounting policies included in Note 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June 30, 2021, and 2020, and 2019</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7"/>
              </w:rPr>
              <w:t>Restated</w:t>
            </w:r>
          </w:p>
        </w:tc>
        <w:tc>
          <w:tcPr>
            <w:tcW w:w="134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6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US$</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Cashflow from operating activities</w:t>
            </w:r>
          </w:p>
        </w:tc>
        <w:tc>
          <w:tcPr>
            <w:tcW w:w="9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6000" w:type="dxa"/>
            <w:vAlign w:val="bottom"/>
          </w:tcPr>
          <w:p>
            <w:pPr>
              <w:spacing w:after="0"/>
              <w:rPr>
                <w:sz w:val="20"/>
                <w:szCs w:val="20"/>
                <w:color w:val="auto"/>
              </w:rPr>
            </w:pPr>
            <w:r>
              <w:rPr>
                <w:rFonts w:ascii="Arial" w:cs="Arial" w:eastAsia="Arial" w:hAnsi="Arial"/>
                <w:sz w:val="17"/>
                <w:szCs w:val="17"/>
                <w:color w:val="auto"/>
              </w:rPr>
              <w:t>Interest received</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390,128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496,159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590,548</w:t>
            </w:r>
          </w:p>
        </w:tc>
        <w:tc>
          <w:tcPr>
            <w:tcW w:w="100" w:type="dxa"/>
            <w:vAlign w:val="bottom"/>
          </w:tcPr>
          <w:p>
            <w:pPr>
              <w:spacing w:after="0"/>
              <w:rPr>
                <w:sz w:val="19"/>
                <w:szCs w:val="19"/>
                <w:color w:val="auto"/>
              </w:rPr>
            </w:pP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Royalty and license income received</w:t>
            </w:r>
          </w:p>
        </w:tc>
        <w:tc>
          <w:tcPr>
            <w:tcW w:w="9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103,031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96,189</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122,631</w:t>
            </w:r>
          </w:p>
        </w:tc>
        <w:tc>
          <w:tcPr>
            <w:tcW w:w="100" w:type="dxa"/>
            <w:vAlign w:val="bottom"/>
            <w:shd w:val="clear" w:color="auto" w:fill="CFF0FC"/>
          </w:tcPr>
          <w:p>
            <w:pPr>
              <w:spacing w:after="0"/>
              <w:rPr>
                <w:sz w:val="19"/>
                <w:szCs w:val="19"/>
                <w:color w:val="auto"/>
              </w:rPr>
            </w:pPr>
          </w:p>
        </w:tc>
      </w:tr>
      <w:tr>
        <w:trPr>
          <w:trHeight w:val="221"/>
        </w:trPr>
        <w:tc>
          <w:tcPr>
            <w:tcW w:w="6000" w:type="dxa"/>
            <w:vAlign w:val="bottom"/>
          </w:tcPr>
          <w:p>
            <w:pPr>
              <w:spacing w:after="0"/>
              <w:rPr>
                <w:sz w:val="20"/>
                <w:szCs w:val="20"/>
                <w:color w:val="auto"/>
              </w:rPr>
            </w:pPr>
            <w:r>
              <w:rPr>
                <w:rFonts w:ascii="Arial" w:cs="Arial" w:eastAsia="Arial" w:hAnsi="Arial"/>
                <w:sz w:val="17"/>
                <w:szCs w:val="17"/>
                <w:color w:val="auto"/>
              </w:rPr>
              <w:t>Grant Income</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26,949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41,629</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57,235</w:t>
            </w:r>
          </w:p>
        </w:tc>
        <w:tc>
          <w:tcPr>
            <w:tcW w:w="100" w:type="dxa"/>
            <w:vAlign w:val="bottom"/>
          </w:tcPr>
          <w:p>
            <w:pPr>
              <w:spacing w:after="0"/>
              <w:rPr>
                <w:sz w:val="19"/>
                <w:szCs w:val="19"/>
                <w:color w:val="auto"/>
              </w:rPr>
            </w:pP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Payment of lease interest</w:t>
            </w:r>
          </w:p>
        </w:tc>
        <w:tc>
          <w:tcPr>
            <w:tcW w:w="9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(5,782)</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(5,147)</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w w:val="95"/>
              </w:rPr>
              <w:t>Payments to suppliers, employees and for research &amp; development and intellectual</w:t>
            </w: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000" w:type="dxa"/>
            <w:vAlign w:val="bottom"/>
          </w:tcPr>
          <w:p>
            <w:pPr>
              <w:spacing w:after="0"/>
              <w:rPr>
                <w:sz w:val="20"/>
                <w:szCs w:val="20"/>
                <w:color w:val="auto"/>
              </w:rPr>
            </w:pPr>
            <w:r>
              <w:rPr>
                <w:rFonts w:ascii="Arial" w:cs="Arial" w:eastAsia="Arial" w:hAnsi="Arial"/>
                <w:sz w:val="17"/>
                <w:szCs w:val="17"/>
                <w:color w:val="auto"/>
              </w:rPr>
              <w:t>property costs (inclusive of GST)</w:t>
            </w:r>
          </w:p>
        </w:tc>
        <w:tc>
          <w:tcPr>
            <w:tcW w:w="9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(51,894,593)</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(16,437,147)</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(26,910,026)</w:t>
            </w: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tax incentive scheme credit received</w:t>
            </w:r>
          </w:p>
        </w:tc>
        <w:tc>
          <w:tcPr>
            <w:tcW w:w="9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5,834,100</w:t>
            </w: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10,118,697</w:t>
            </w: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9,097,525</w:t>
            </w:r>
          </w:p>
        </w:tc>
        <w:tc>
          <w:tcPr>
            <w:tcW w:w="100" w:type="dxa"/>
            <w:vAlign w:val="bottom"/>
            <w:shd w:val="clear" w:color="auto" w:fill="CFF0FC"/>
          </w:tcPr>
          <w:p>
            <w:pPr>
              <w:spacing w:after="0"/>
              <w:rPr>
                <w:sz w:val="19"/>
                <w:szCs w:val="19"/>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7"/>
                <w:szCs w:val="17"/>
                <w:color w:val="auto"/>
              </w:rPr>
              <w:t>Net cash flows used in operating activities</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29</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(45,546,167)</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(5,689,620)</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(17,042,087)</w:t>
            </w:r>
          </w:p>
        </w:tc>
      </w:tr>
      <w:tr>
        <w:trPr>
          <w:trHeight w:val="214"/>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 from investing activities:</w:t>
            </w:r>
          </w:p>
        </w:tc>
        <w:tc>
          <w:tcPr>
            <w:tcW w:w="9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6000" w:type="dxa"/>
            <w:vAlign w:val="bottom"/>
          </w:tcPr>
          <w:p>
            <w:pPr>
              <w:ind w:left="240"/>
              <w:spacing w:after="0"/>
              <w:rPr>
                <w:sz w:val="20"/>
                <w:szCs w:val="20"/>
                <w:color w:val="auto"/>
              </w:rPr>
            </w:pPr>
            <w:r>
              <w:rPr>
                <w:rFonts w:ascii="Arial" w:cs="Arial" w:eastAsia="Arial" w:hAnsi="Arial"/>
                <w:sz w:val="17"/>
                <w:szCs w:val="17"/>
                <w:color w:val="auto"/>
              </w:rPr>
              <w:t>Purchase of plant and equipment</w:t>
            </w:r>
          </w:p>
        </w:tc>
        <w:tc>
          <w:tcPr>
            <w:tcW w:w="9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(12,702)</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(2,531)</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(10,398)</w:t>
            </w:r>
          </w:p>
        </w:tc>
      </w:tr>
      <w:tr>
        <w:trPr>
          <w:trHeight w:val="221"/>
        </w:trPr>
        <w:tc>
          <w:tcPr>
            <w:tcW w:w="6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sale of financial assets</w:t>
            </w: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17</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669,184</w:t>
            </w: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335,746</w:t>
            </w: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250,241</w:t>
            </w:r>
          </w:p>
        </w:tc>
        <w:tc>
          <w:tcPr>
            <w:tcW w:w="100" w:type="dxa"/>
            <w:vAlign w:val="bottom"/>
            <w:shd w:val="clear" w:color="auto" w:fill="CFF0FC"/>
          </w:tcPr>
          <w:p>
            <w:pPr>
              <w:spacing w:after="0"/>
              <w:rPr>
                <w:sz w:val="19"/>
                <w:szCs w:val="19"/>
                <w:color w:val="auto"/>
              </w:rPr>
            </w:pPr>
          </w:p>
        </w:tc>
      </w:tr>
      <w:tr>
        <w:trPr>
          <w:trHeight w:val="214"/>
        </w:trPr>
        <w:tc>
          <w:tcPr>
            <w:tcW w:w="60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bottom w:val="single" w:sz="8" w:color="CFF0F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656,482</w:t>
            </w:r>
          </w:p>
        </w:tc>
        <w:tc>
          <w:tcPr>
            <w:tcW w:w="24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333,215</w:t>
            </w:r>
          </w:p>
        </w:tc>
        <w:tc>
          <w:tcPr>
            <w:tcW w:w="24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239,843</w:t>
            </w:r>
          </w:p>
        </w:tc>
        <w:tc>
          <w:tcPr>
            <w:tcW w:w="100" w:type="dxa"/>
            <w:vAlign w:val="bottom"/>
            <w:tcBorders>
              <w:bottom w:val="single" w:sz="8" w:color="CFF0FC"/>
            </w:tcBorders>
          </w:tcPr>
          <w:p>
            <w:pPr>
              <w:spacing w:after="0"/>
              <w:rPr>
                <w:sz w:val="18"/>
                <w:szCs w:val="18"/>
                <w:color w:val="auto"/>
              </w:rPr>
            </w:pPr>
          </w:p>
        </w:tc>
      </w:tr>
      <w:tr>
        <w:trPr>
          <w:trHeight w:val="214"/>
        </w:trPr>
        <w:tc>
          <w:tcPr>
            <w:tcW w:w="60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000" w:type="dxa"/>
            <w:vAlign w:val="bottom"/>
          </w:tcPr>
          <w:p>
            <w:pPr>
              <w:ind w:left="240"/>
              <w:spacing w:after="0"/>
              <w:rPr>
                <w:sz w:val="20"/>
                <w:szCs w:val="20"/>
                <w:color w:val="auto"/>
              </w:rPr>
            </w:pPr>
            <w:r>
              <w:rPr>
                <w:rFonts w:ascii="Arial" w:cs="Arial" w:eastAsia="Arial" w:hAnsi="Arial"/>
                <w:sz w:val="17"/>
                <w:szCs w:val="17"/>
                <w:color w:val="auto"/>
              </w:rPr>
              <w:t>Payment of lease liabilities</w:t>
            </w:r>
          </w:p>
        </w:tc>
        <w:tc>
          <w:tcPr>
            <w:tcW w:w="9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(87,373)</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(66,781)</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proceeds on issue of shares</w:t>
            </w:r>
          </w:p>
        </w:tc>
        <w:tc>
          <w:tcPr>
            <w:tcW w:w="9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105,477,591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32,951,692</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9,069,584</w:t>
            </w:r>
          </w:p>
        </w:tc>
        <w:tc>
          <w:tcPr>
            <w:tcW w:w="100" w:type="dxa"/>
            <w:vAlign w:val="bottom"/>
            <w:shd w:val="clear" w:color="auto" w:fill="CFF0FC"/>
          </w:tcPr>
          <w:p>
            <w:pPr>
              <w:spacing w:after="0"/>
              <w:rPr>
                <w:sz w:val="19"/>
                <w:szCs w:val="19"/>
                <w:color w:val="auto"/>
              </w:rPr>
            </w:pPr>
          </w:p>
        </w:tc>
      </w:tr>
      <w:tr>
        <w:trPr>
          <w:trHeight w:val="221"/>
        </w:trPr>
        <w:tc>
          <w:tcPr>
            <w:tcW w:w="6000" w:type="dxa"/>
            <w:vAlign w:val="bottom"/>
          </w:tcPr>
          <w:p>
            <w:pPr>
              <w:ind w:left="240"/>
              <w:spacing w:after="0"/>
              <w:rPr>
                <w:sz w:val="20"/>
                <w:szCs w:val="20"/>
                <w:color w:val="auto"/>
              </w:rPr>
            </w:pPr>
            <w:r>
              <w:rPr>
                <w:rFonts w:ascii="Arial" w:cs="Arial" w:eastAsia="Arial" w:hAnsi="Arial"/>
                <w:sz w:val="17"/>
                <w:szCs w:val="17"/>
                <w:color w:val="auto"/>
              </w:rPr>
              <w:t>Net proceeds on issuance of pre-funded warrants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11,546,029</w:t>
            </w:r>
          </w:p>
        </w:tc>
        <w:tc>
          <w:tcPr>
            <w:tcW w:w="2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0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received for ordinary shares issued on exercise of options</w:t>
            </w:r>
          </w:p>
        </w:tc>
        <w:tc>
          <w:tcPr>
            <w:tcW w:w="9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284,828</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00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Net cash provided by financing activities</w:t>
            </w:r>
          </w:p>
        </w:tc>
        <w:tc>
          <w:tcPr>
            <w:tcW w:w="960" w:type="dxa"/>
            <w:vAlign w:val="bottom"/>
            <w:tcBorders>
              <w:bottom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116,936,247</w:t>
            </w:r>
          </w:p>
        </w:tc>
        <w:tc>
          <w:tcPr>
            <w:tcW w:w="240" w:type="dxa"/>
            <w:vAlign w:val="bottom"/>
            <w:tcBorders>
              <w:bottom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33,169,739</w:t>
            </w:r>
          </w:p>
        </w:tc>
        <w:tc>
          <w:tcPr>
            <w:tcW w:w="240" w:type="dxa"/>
            <w:vAlign w:val="bottom"/>
            <w:tcBorders>
              <w:bottom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9,069,584</w:t>
            </w:r>
          </w:p>
        </w:tc>
        <w:tc>
          <w:tcPr>
            <w:tcW w:w="100" w:type="dxa"/>
            <w:vAlign w:val="bottom"/>
            <w:tcBorders>
              <w:bottom w:val="single" w:sz="8" w:color="CFF0FC"/>
            </w:tcBorders>
          </w:tcPr>
          <w:p>
            <w:pPr>
              <w:spacing w:after="0"/>
              <w:rPr>
                <w:sz w:val="18"/>
                <w:szCs w:val="18"/>
                <w:color w:val="auto"/>
              </w:rPr>
            </w:pPr>
          </w:p>
        </w:tc>
      </w:tr>
      <w:tr>
        <w:trPr>
          <w:trHeight w:val="214"/>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Increase in cash and cash equivalents</w:t>
            </w:r>
          </w:p>
        </w:tc>
        <w:tc>
          <w:tcPr>
            <w:tcW w:w="9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72,046,562</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27,813,334</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(7,732,660)</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Effects of exchange rate changes on the balance of cash held in foreign</w:t>
            </w: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000" w:type="dxa"/>
            <w:vAlign w:val="bottom"/>
          </w:tcPr>
          <w:p>
            <w:pPr>
              <w:ind w:left="140"/>
              <w:spacing w:after="0"/>
              <w:rPr>
                <w:sz w:val="20"/>
                <w:szCs w:val="20"/>
                <w:color w:val="auto"/>
              </w:rPr>
            </w:pPr>
            <w:r>
              <w:rPr>
                <w:rFonts w:ascii="Arial" w:cs="Arial" w:eastAsia="Arial" w:hAnsi="Arial"/>
                <w:sz w:val="17"/>
                <w:szCs w:val="17"/>
                <w:color w:val="auto"/>
              </w:rPr>
              <w:t>currencies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3,495,757</w:t>
            </w:r>
          </w:p>
        </w:tc>
        <w:tc>
          <w:tcPr>
            <w:tcW w:w="2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(284,296)</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(1,225,847)</w:t>
            </w:r>
          </w:p>
        </w:tc>
      </w:tr>
      <w:tr>
        <w:trPr>
          <w:trHeight w:val="221"/>
        </w:trPr>
        <w:tc>
          <w:tcPr>
            <w:tcW w:w="60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period</w:t>
            </w:r>
          </w:p>
        </w:tc>
        <w:tc>
          <w:tcPr>
            <w:tcW w:w="9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42,650,858</w:t>
            </w: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15,121,820</w:t>
            </w:r>
          </w:p>
        </w:tc>
        <w:tc>
          <w:tcPr>
            <w:tcW w:w="2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24,080,327</w:t>
            </w:r>
          </w:p>
        </w:tc>
        <w:tc>
          <w:tcPr>
            <w:tcW w:w="100" w:type="dxa"/>
            <w:vAlign w:val="bottom"/>
            <w:shd w:val="clear" w:color="auto" w:fill="CFF0FC"/>
          </w:tcPr>
          <w:p>
            <w:pPr>
              <w:spacing w:after="0"/>
              <w:rPr>
                <w:sz w:val="19"/>
                <w:szCs w:val="19"/>
                <w:color w:val="auto"/>
              </w:rPr>
            </w:pPr>
          </w:p>
        </w:tc>
      </w:tr>
      <w:tr>
        <w:trPr>
          <w:trHeight w:val="214"/>
        </w:trPr>
        <w:tc>
          <w:tcPr>
            <w:tcW w:w="600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118,193,177</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42,650,858</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15,121,820</w:t>
            </w:r>
          </w:p>
        </w:tc>
        <w:tc>
          <w:tcPr>
            <w:tcW w:w="10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line="285" w:lineRule="auto"/>
        <w:rPr>
          <w:sz w:val="20"/>
          <w:szCs w:val="20"/>
          <w:color w:val="auto"/>
        </w:rPr>
      </w:pPr>
      <w:r>
        <w:rPr>
          <w:rFonts w:ascii="Arial" w:cs="Arial" w:eastAsia="Arial" w:hAnsi="Arial"/>
          <w:sz w:val="17"/>
          <w:szCs w:val="17"/>
          <w:color w:val="auto"/>
        </w:rPr>
        <w:t>The above consolidated statement of cash flows should be read in conjunction with the accompanying notes. All amounts presented in respect of prior periods have been restated to reflect the change in presentation currency as set out in the accounting policies included in Note 3.</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Reporting Entity</w:t>
      </w:r>
    </w:p>
    <w:p>
      <w:pPr>
        <w:spacing w:after="0" w:line="22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Opthea Limited (the Company) is a listed public company incorporated in Australia. The address of its registered office and principal place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business is: Suite 0403, Level 4, 650 Chapel Street, South Yarra, VIC 3141, Australia. These consolidated financial statements comprise the Company and its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subsidiaries (together referred to as the Group). The Group’s principal activity is the development of new drugs for the treatment of eye diseases.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Basis of Accounting</w:t>
      </w:r>
    </w:p>
    <w:p>
      <w:pPr>
        <w:spacing w:after="0" w:line="226" w:lineRule="exact"/>
        <w:rPr>
          <w:sz w:val="20"/>
          <w:szCs w:val="20"/>
          <w:color w:val="auto"/>
        </w:rPr>
      </w:pPr>
    </w:p>
    <w:p>
      <w:pPr>
        <w:jc w:val="both"/>
        <w:ind w:firstLine="896"/>
        <w:spacing w:after="0" w:line="285" w:lineRule="auto"/>
        <w:rPr>
          <w:sz w:val="20"/>
          <w:szCs w:val="20"/>
          <w:color w:val="auto"/>
        </w:rPr>
      </w:pPr>
      <w:r>
        <w:rPr>
          <w:rFonts w:ascii="Arial" w:cs="Arial" w:eastAsia="Arial" w:hAnsi="Arial"/>
          <w:sz w:val="17"/>
          <w:szCs w:val="17"/>
          <w:color w:val="auto"/>
        </w:rPr>
        <w:t>These financial statements are general purpose financial statements which have been prepared in accordance with International Financial Reporting Standards (“or IFRS”) as issued by the International Accounting Standards Board (the “IASB”).</w:t>
      </w:r>
    </w:p>
    <w:p>
      <w:pPr>
        <w:spacing w:after="0" w:line="159" w:lineRule="exact"/>
        <w:rPr>
          <w:sz w:val="20"/>
          <w:szCs w:val="20"/>
          <w:color w:val="auto"/>
        </w:rPr>
      </w:pPr>
    </w:p>
    <w:p>
      <w:pPr>
        <w:jc w:val="both"/>
        <w:ind w:firstLine="896"/>
        <w:spacing w:after="0" w:line="214" w:lineRule="exact"/>
        <w:rPr>
          <w:sz w:val="20"/>
          <w:szCs w:val="20"/>
          <w:color w:val="auto"/>
        </w:rPr>
      </w:pPr>
      <w:r>
        <w:rPr>
          <w:rFonts w:ascii="Arial" w:cs="Arial" w:eastAsia="Arial" w:hAnsi="Arial"/>
          <w:sz w:val="17"/>
          <w:szCs w:val="17"/>
          <w:color w:val="auto"/>
        </w:rPr>
        <w:t>The financial statements comprise the consolidated financial statements of the Group. For the purposes of preparing the consolidated financial statements, the Company is a for</w:t>
      </w:r>
      <w:r>
        <w:rPr>
          <w:rFonts w:ascii="MS PGothic" w:cs="MS PGothic" w:eastAsia="MS PGothic" w:hAnsi="MS PGothic"/>
          <w:sz w:val="17"/>
          <w:szCs w:val="17"/>
          <w:color w:val="auto"/>
        </w:rPr>
        <w:t>‑</w:t>
      </w:r>
      <w:r>
        <w:rPr>
          <w:rFonts w:ascii="Arial" w:cs="Arial" w:eastAsia="Arial" w:hAnsi="Arial"/>
          <w:sz w:val="17"/>
          <w:szCs w:val="17"/>
          <w:color w:val="auto"/>
        </w:rPr>
        <w:t>profit entity.</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financial statements were authorized for issue by the directors on October 28, 2021.</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Summary of Accounting Policies</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consolidated financial statements have been prepared using the significant accounting policies and measurement bases summarized below.</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measurement</w:t>
      </w:r>
    </w:p>
    <w:p>
      <w:pPr>
        <w:spacing w:after="0" w:line="220" w:lineRule="exact"/>
        <w:rPr>
          <w:sz w:val="20"/>
          <w:szCs w:val="20"/>
          <w:color w:val="auto"/>
        </w:rPr>
      </w:pPr>
    </w:p>
    <w:p>
      <w:pPr>
        <w:jc w:val="both"/>
        <w:ind w:firstLine="882"/>
        <w:spacing w:after="0" w:line="285" w:lineRule="auto"/>
        <w:rPr>
          <w:sz w:val="20"/>
          <w:szCs w:val="20"/>
          <w:color w:val="auto"/>
        </w:rPr>
      </w:pPr>
      <w:r>
        <w:rPr>
          <w:rFonts w:ascii="Arial" w:cs="Arial" w:eastAsia="Arial" w:hAnsi="Arial"/>
          <w:sz w:val="17"/>
          <w:szCs w:val="17"/>
          <w:color w:val="auto"/>
        </w:rPr>
        <w:t>The consolidated financial statements have been prepared on a historical cost basis, except for the investments classified as financial assets, which have been measured at fair value. All amounts are presented in United States dollars unless otherwise stated.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presentation and functional currencies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Functional currency</w:t>
      </w:r>
    </w:p>
    <w:p>
      <w:pPr>
        <w:spacing w:after="0" w:line="220" w:lineRule="exact"/>
        <w:rPr>
          <w:sz w:val="20"/>
          <w:szCs w:val="20"/>
          <w:color w:val="auto"/>
        </w:rPr>
      </w:pPr>
    </w:p>
    <w:p>
      <w:pPr>
        <w:jc w:val="both"/>
        <w:ind w:firstLine="706"/>
        <w:spacing w:after="0" w:line="277" w:lineRule="auto"/>
        <w:rPr>
          <w:sz w:val="20"/>
          <w:szCs w:val="20"/>
          <w:color w:val="auto"/>
        </w:rPr>
      </w:pPr>
      <w:r>
        <w:rPr>
          <w:rFonts w:ascii="Arial" w:cs="Arial" w:eastAsia="Arial" w:hAnsi="Arial"/>
          <w:sz w:val="16"/>
          <w:szCs w:val="16"/>
          <w:color w:val="auto"/>
        </w:rPr>
        <w:t>An entity’s functional currency is the currency of the primary economic environment in which the entity operates. During the current year, the Group’s operations have continued to move further towards being US$ denominated and several other factors during the period have also contributed to the Group changing its functional currency during the year, such as the completion of U.S. initial public offering (IPO) and the Nasdaq listing in October 2020, opening a US subsidiary in May 2021 for a planned expansion into the US, and expanding the Board of Directors with the appointment of four US based Directors. A significant element in the Group’s assessment to change the functional currency resulted from the significant increase in expenses denominated in US dollars relating to advanced clinical trials since the commencement of Phase 3 trials in March 2021. These changes, as well as the fact that the Group’s principal source of financing is now the U.S. capital market and all of the Group’s budgeting and planning is conducted solely in dollars led to the Company determining that the U.S. dollar (US$) best represents the currency of the primary economic environment in which the entity now operates. Accordingly, the Group changed its functional currency from Australian dollar (A$) to U.S. dollar (US$) effective January 1, 2021.</w:t>
      </w:r>
    </w:p>
    <w:p>
      <w:pPr>
        <w:spacing w:after="0" w:line="168"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7"/>
          <w:szCs w:val="17"/>
          <w:color w:val="auto"/>
        </w:rPr>
        <w:t>The change in functional currency has been applied prospectively with effect from January 1, 2021 in accordance with the requirements of the Accounting Standards. To give effect in functional currency, the assets and liabilities of the Group were converted into U.S. dollars at a fixed exchange rate of US$1: A$1.2973.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Presentation Currency</w:t>
      </w:r>
    </w:p>
    <w:p>
      <w:pPr>
        <w:spacing w:after="0" w:line="220"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7"/>
          <w:szCs w:val="17"/>
          <w:color w:val="auto"/>
        </w:rPr>
        <w:t>Following the change in functional currency, the Group changed its presentation currency from Australian dollars (A$) to US$. The change in presentation currency was made to better reflect the Group’s business activities and to enhance access to U.S. capital markets. Prior to the change, the Group reported its financial statements in Australian dollars (A$).</w:t>
      </w:r>
    </w:p>
    <w:p>
      <w:pPr>
        <w:spacing w:after="0" w:line="172" w:lineRule="exact"/>
        <w:rPr>
          <w:sz w:val="20"/>
          <w:szCs w:val="20"/>
          <w:color w:val="auto"/>
        </w:rPr>
      </w:pPr>
    </w:p>
    <w:p>
      <w:pPr>
        <w:jc w:val="both"/>
        <w:ind w:firstLine="610"/>
        <w:spacing w:after="0" w:line="259" w:lineRule="auto"/>
        <w:rPr>
          <w:sz w:val="20"/>
          <w:szCs w:val="20"/>
          <w:color w:val="auto"/>
        </w:rPr>
      </w:pPr>
      <w:r>
        <w:rPr>
          <w:rFonts w:ascii="Arial" w:cs="Arial" w:eastAsia="Arial" w:hAnsi="Arial"/>
          <w:sz w:val="17"/>
          <w:szCs w:val="17"/>
          <w:color w:val="auto"/>
        </w:rPr>
        <w:t xml:space="preserve">A change in presentation currency is a change in accounting policy which is accounted for retrospectively, including the restatement of 2019 Balance Sheet. In making this change in presentation currency, the Group followed the requirements set out in IAS 21 </w:t>
      </w:r>
      <w:r>
        <w:rPr>
          <w:rFonts w:ascii="Arial" w:cs="Arial" w:eastAsia="Arial" w:hAnsi="Arial"/>
          <w:sz w:val="17"/>
          <w:szCs w:val="17"/>
          <w:i w:val="1"/>
          <w:iCs w:val="1"/>
          <w:color w:val="auto"/>
        </w:rPr>
        <w:t>The Effects of Changes in Foreign Exchange Rates</w:t>
      </w:r>
      <w:r>
        <w:rPr>
          <w:rFonts w:ascii="Arial" w:cs="Arial" w:eastAsia="Arial" w:hAnsi="Arial"/>
          <w:sz w:val="17"/>
          <w:szCs w:val="17"/>
          <w:color w:val="auto"/>
        </w:rPr>
        <w:t>. As required by IAS 21, the consolidated statement of profit or loss and other comprehensive income and the consolidated statement of cash flows for each period have been translated into the presentation currency using the average exchange rates prevailing during each reporting period. All assets and liabilities have been translated using the exchange rates prevailing at the consolidated statement of financial position dates. Shareholders’ equity transactions have been translated using the rates of exchange in effect as of the dates of various capital transactions. All resulting exchange differences arising from the translation are included as a separate component of other comprehensive income. All comparative financial information has been restated to reflect the Group’s results as if they had been historically reported in US$ and the effect on the consolidated financial statements resulted in an addition to the foreign currency translation reserve of US$14.3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consolidated financial statements incorporate the financial statements of the Company and its subsidiaries. Control is achieved when the Company:</w:t>
      </w:r>
    </w:p>
    <w:p>
      <w:pPr>
        <w:spacing w:after="0" w:line="243" w:lineRule="exact"/>
        <w:rPr>
          <w:sz w:val="20"/>
          <w:szCs w:val="20"/>
          <w:color w:val="auto"/>
        </w:rPr>
      </w:pPr>
    </w:p>
    <w:p>
      <w:pPr>
        <w:ind w:left="1040" w:hanging="438"/>
        <w:spacing w:after="0"/>
        <w:tabs>
          <w:tab w:leader="none" w:pos="1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Has power over the investee;</w:t>
      </w:r>
    </w:p>
    <w:p>
      <w:pPr>
        <w:spacing w:after="0" w:line="24" w:lineRule="exact"/>
        <w:rPr>
          <w:rFonts w:ascii="Arial" w:cs="Arial" w:eastAsia="Arial" w:hAnsi="Arial"/>
          <w:sz w:val="17"/>
          <w:szCs w:val="17"/>
          <w:color w:val="auto"/>
        </w:rPr>
      </w:pPr>
    </w:p>
    <w:p>
      <w:pPr>
        <w:ind w:left="1040" w:hanging="438"/>
        <w:spacing w:after="0"/>
        <w:tabs>
          <w:tab w:leader="none" w:pos="1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Is exposed, or has rights, to variable returns from its involvement with the investee; and</w:t>
      </w:r>
    </w:p>
    <w:p>
      <w:pPr>
        <w:spacing w:after="0" w:line="12" w:lineRule="exact"/>
        <w:rPr>
          <w:rFonts w:ascii="Arial" w:cs="Arial" w:eastAsia="Arial" w:hAnsi="Arial"/>
          <w:sz w:val="17"/>
          <w:szCs w:val="17"/>
          <w:color w:val="auto"/>
        </w:rPr>
      </w:pPr>
    </w:p>
    <w:p>
      <w:pPr>
        <w:ind w:left="1040" w:hanging="438"/>
        <w:spacing w:after="0"/>
        <w:tabs>
          <w:tab w:leader="none" w:pos="1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Has the ability to use its power to affect its returns.</w:t>
      </w:r>
    </w:p>
    <w:p>
      <w:pPr>
        <w:spacing w:after="0" w:line="208"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Consolidation of a subsidiary begins when the Company obtains control over the subsidiary and ceases when the Company loses control of the subsidiary.</w:t>
      </w:r>
    </w:p>
    <w:p>
      <w:pPr>
        <w:spacing w:after="0" w:line="159"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All intragroup assets and liabilities, equity, income, expenses and cash flows relating to transactions between members of the Group are eliminated in full on consolidation.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 Functional and presentation currency</w:t>
      </w:r>
    </w:p>
    <w:p>
      <w:pPr>
        <w:spacing w:after="0" w:line="220"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7"/>
          <w:szCs w:val="17"/>
          <w:color w:val="auto"/>
        </w:rPr>
        <w:t>As of January 1, 2021 the Group determined that its functional and presentation currency had changed from Australian Dollars to United States Dollars. Therefore, the functional and presentation currency of the Group is the United States dollars (US$). The prior year financial information has been restated to United States dollars.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ii. Transactions and balances</w:t>
      </w:r>
    </w:p>
    <w:p>
      <w:pPr>
        <w:spacing w:after="0" w:line="220" w:lineRule="exact"/>
        <w:rPr>
          <w:sz w:val="20"/>
          <w:szCs w:val="20"/>
          <w:color w:val="auto"/>
        </w:rPr>
      </w:pPr>
    </w:p>
    <w:p>
      <w:pPr>
        <w:jc w:val="both"/>
        <w:ind w:firstLine="610"/>
        <w:spacing w:after="0" w:line="318" w:lineRule="auto"/>
        <w:rPr>
          <w:sz w:val="20"/>
          <w:szCs w:val="20"/>
          <w:color w:val="auto"/>
        </w:rPr>
      </w:pPr>
      <w:r>
        <w:rPr>
          <w:rFonts w:ascii="Arial" w:cs="Arial" w:eastAsia="Arial" w:hAnsi="Arial"/>
          <w:sz w:val="16"/>
          <w:szCs w:val="16"/>
          <w:color w:val="auto"/>
        </w:rPr>
        <w:t>Transactions in foreign currencies are initially recorded in the functional currency by applying the exchange rates ruling in place at the date of the transaction. Monetary assets and liabilities denominated in foreign currencies are retranslated at the rate of exchange ruling in place at the reporting date.</w:t>
      </w:r>
    </w:p>
    <w:p>
      <w:pPr>
        <w:spacing w:after="0" w:line="136" w:lineRule="exact"/>
        <w:rPr>
          <w:sz w:val="20"/>
          <w:szCs w:val="20"/>
          <w:color w:val="auto"/>
        </w:rPr>
      </w:pPr>
    </w:p>
    <w:p>
      <w:pPr>
        <w:jc w:val="both"/>
        <w:ind w:firstLine="610"/>
        <w:spacing w:after="0" w:line="212"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monetary items that are measured in terms of historical cost in a foreign currency are translated using the exchange rate as of the date of the initial transaction. Non</w:t>
      </w:r>
      <w:r>
        <w:rPr>
          <w:rFonts w:ascii="MS PGothic" w:cs="MS PGothic" w:eastAsia="MS PGothic" w:hAnsi="MS PGothic"/>
          <w:sz w:val="17"/>
          <w:szCs w:val="17"/>
          <w:color w:val="auto"/>
        </w:rPr>
        <w:t>‑</w:t>
      </w:r>
      <w:r>
        <w:rPr>
          <w:rFonts w:ascii="Arial" w:cs="Arial" w:eastAsia="Arial" w:hAnsi="Arial"/>
          <w:sz w:val="17"/>
          <w:szCs w:val="17"/>
          <w:color w:val="auto"/>
        </w:rPr>
        <w:t>monetary items measured at fair value in a foreign currency are translated using the exchange rates at the date when the fair value was determined.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 and liabilities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Recognition and derecognition of financial assets</w:t>
      </w:r>
    </w:p>
    <w:p>
      <w:pPr>
        <w:spacing w:after="0" w:line="22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Purchases and sales of financial assets that require delivery of assets within the time frame generally established by regulation or convention in the marketplace are recognized on the trade date, i.e., the date that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Group commits to purchase the asset. Financial assets are derecognized when the right to receive cash flows from the financial assets has expired or when the entity transfers substantially all the risks and rewards of the financial assets. If the entity neither retains nor transfers substantially all of the risks and rewards, it derecognizes the asset if it has transferred control of the assets.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When financial assets are recognized initially, they are measured at fair value, plus directly attributable transaction costs.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and cash equivalents</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6"/>
          <w:szCs w:val="16"/>
          <w:color w:val="auto"/>
        </w:rPr>
        <w:t>Cash and cash equivalents in the statement of financial position comprise cash at bank and in hand and short</w:t>
      </w:r>
      <w:r>
        <w:rPr>
          <w:rFonts w:ascii="MS PGothic" w:cs="MS PGothic" w:eastAsia="MS PGothic" w:hAnsi="MS PGothic"/>
          <w:sz w:val="16"/>
          <w:szCs w:val="16"/>
          <w:color w:val="auto"/>
        </w:rPr>
        <w:t>‑</w:t>
      </w:r>
      <w:r>
        <w:rPr>
          <w:rFonts w:ascii="Arial" w:cs="Arial" w:eastAsia="Arial" w:hAnsi="Arial"/>
          <w:sz w:val="16"/>
          <w:szCs w:val="16"/>
          <w:color w:val="auto"/>
        </w:rPr>
        <w:t>term deposits with an original maturity of three months or less that are readily convertible to known amounts of cash and which are subject to an insignificant risk of changes in value.</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purposes of the statement of cash flows, cash and cash equivalents consist of cash and cash equivalents as defined above.</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receivables</w:t>
      </w:r>
    </w:p>
    <w:p>
      <w:pPr>
        <w:spacing w:after="0" w:line="220"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7"/>
          <w:szCs w:val="17"/>
          <w:color w:val="auto"/>
        </w:rPr>
        <w:t>Other receivables generally comprise bank interest receivable, other receivables from external parties and Goods and Services Tax (GST) credits receivable and are recognized and carried at original invoice amount less an allowance for any uncollectible amounts. The amounts are usually received within 30 to 60 days of recognition.</w:t>
      </w:r>
    </w:p>
    <w:p>
      <w:pPr>
        <w:spacing w:after="0" w:line="172" w:lineRule="exact"/>
        <w:rPr>
          <w:sz w:val="20"/>
          <w:szCs w:val="20"/>
          <w:color w:val="auto"/>
        </w:rPr>
      </w:pPr>
    </w:p>
    <w:p>
      <w:pPr>
        <w:jc w:val="both"/>
        <w:ind w:firstLine="610"/>
        <w:spacing w:after="0" w:line="265" w:lineRule="auto"/>
        <w:rPr>
          <w:sz w:val="20"/>
          <w:szCs w:val="20"/>
          <w:color w:val="auto"/>
        </w:rPr>
      </w:pPr>
      <w:r>
        <w:rPr>
          <w:rFonts w:ascii="Arial" w:cs="Arial" w:eastAsia="Arial" w:hAnsi="Arial"/>
          <w:sz w:val="17"/>
          <w:szCs w:val="17"/>
          <w:color w:val="auto"/>
        </w:rPr>
        <w:t>The Group measures the loss allowance for receivables at an amount equal to lifetime expected credit losses (ECL). The ECL on receivables are estimated under the simplified approach as permitted under IFRS 9 “Financial Instruments.” This uses a provision matrix by reference to past experience of the debtor and an analysis of the debtor’s current financial position, adjusted for factors that are specific to the debtors and general economic conditions of the industry in which the debtors operate.</w:t>
      </w:r>
    </w:p>
    <w:p>
      <w:pPr>
        <w:spacing w:after="0" w:line="176"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Group writes off a receivable when there is information indicating that the debtor is in severe financial difficulty and there is no realistic prospect of recovery.</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Investments</w:t>
      </w:r>
    </w:p>
    <w:p>
      <w:pPr>
        <w:spacing w:after="0" w:line="220" w:lineRule="exact"/>
        <w:rPr>
          <w:sz w:val="20"/>
          <w:szCs w:val="20"/>
          <w:color w:val="auto"/>
        </w:rPr>
      </w:pPr>
    </w:p>
    <w:p>
      <w:pPr>
        <w:ind w:left="620"/>
        <w:spacing w:after="0" w:line="196" w:lineRule="exact"/>
        <w:rPr>
          <w:sz w:val="20"/>
          <w:szCs w:val="20"/>
          <w:color w:val="auto"/>
        </w:rPr>
      </w:pPr>
      <w:r>
        <w:rPr>
          <w:rFonts w:ascii="Arial" w:cs="Arial" w:eastAsia="Arial" w:hAnsi="Arial"/>
          <w:sz w:val="17"/>
          <w:szCs w:val="17"/>
          <w:color w:val="auto"/>
        </w:rPr>
        <w:t>Investments in financial assets comprise of the Group’s non</w:t>
      </w:r>
      <w:r>
        <w:rPr>
          <w:rFonts w:ascii="MS PGothic" w:cs="MS PGothic" w:eastAsia="MS PGothic" w:hAnsi="MS PGothic"/>
          <w:sz w:val="17"/>
          <w:szCs w:val="17"/>
          <w:color w:val="auto"/>
        </w:rPr>
        <w:t>‑</w:t>
      </w:r>
      <w:r>
        <w:rPr>
          <w:rFonts w:ascii="Arial" w:cs="Arial" w:eastAsia="Arial" w:hAnsi="Arial"/>
          <w:sz w:val="17"/>
          <w:szCs w:val="17"/>
          <w:color w:val="auto"/>
        </w:rPr>
        <w:t>current investments in listed companies.</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6"/>
          <w:szCs w:val="16"/>
          <w:color w:val="auto"/>
        </w:rPr>
        <w:t>On initial recognition, the Group may make an irrevocable election (on an instrument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instrument basis) to designate investments in equity instruments as fair value through other comprehensive income (FVTOCI). Designation at FVTOCI is not permitted if the equity instrument is held for trading.</w:t>
      </w:r>
    </w:p>
    <w:p>
      <w:pPr>
        <w:spacing w:after="0" w:line="196" w:lineRule="exact"/>
        <w:rPr>
          <w:sz w:val="20"/>
          <w:szCs w:val="20"/>
          <w:color w:val="auto"/>
        </w:rPr>
      </w:pPr>
    </w:p>
    <w:p>
      <w:pPr>
        <w:jc w:val="both"/>
        <w:ind w:firstLine="610"/>
        <w:spacing w:after="0" w:line="287" w:lineRule="auto"/>
        <w:rPr>
          <w:sz w:val="20"/>
          <w:szCs w:val="20"/>
          <w:color w:val="auto"/>
        </w:rPr>
      </w:pPr>
      <w:r>
        <w:rPr>
          <w:rFonts w:ascii="Arial" w:cs="Arial" w:eastAsia="Arial" w:hAnsi="Arial"/>
          <w:sz w:val="16"/>
          <w:szCs w:val="16"/>
          <w:color w:val="auto"/>
        </w:rPr>
        <w:t>Investments in equity instruments at FVTOCI are initially measured at fair value plus transaction costs. Subsequently, they are measured at fair value with gains or losses arising from changes in the fair value recognized in other comprehensive income and accumulated in the fair value of investments reserve. The fair values of investments in financial assets that are actively traded in organized financial markets is determined by reference to quoted market bid prices at the close of business on the reporting date. The cumulative gain or loss is not reclassified to profit or loss on disposal of the equity instruments.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Dividends on these investments in equity instruments are recognized in profit or loss in accordance with International Financial Reporting Standards.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Finance income</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Almost all of the Group’s finance income is earned on short</w:t>
      </w:r>
      <w:r>
        <w:rPr>
          <w:rFonts w:ascii="MS PGothic" w:cs="MS PGothic" w:eastAsia="MS PGothic" w:hAnsi="MS PGothic"/>
          <w:sz w:val="17"/>
          <w:szCs w:val="17"/>
          <w:color w:val="auto"/>
        </w:rPr>
        <w:t>‑</w:t>
      </w:r>
      <w:r>
        <w:rPr>
          <w:rFonts w:ascii="Arial" w:cs="Arial" w:eastAsia="Arial" w:hAnsi="Arial"/>
          <w:sz w:val="17"/>
          <w:szCs w:val="17"/>
          <w:color w:val="auto"/>
        </w:rPr>
        <w:t>term bank deposits, and as such, finance income is recognized when the Group’s right to receive the payment is established.</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Payables</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Payables are carried at amortized cost and due to their short</w:t>
      </w:r>
      <w:r>
        <w:rPr>
          <w:rFonts w:ascii="MS PGothic" w:cs="MS PGothic" w:eastAsia="MS PGothic" w:hAnsi="MS PGothic"/>
          <w:sz w:val="17"/>
          <w:szCs w:val="17"/>
          <w:color w:val="auto"/>
        </w:rPr>
        <w:t>‑</w:t>
      </w:r>
      <w:r>
        <w:rPr>
          <w:rFonts w:ascii="Arial" w:cs="Arial" w:eastAsia="Arial" w:hAnsi="Arial"/>
          <w:sz w:val="17"/>
          <w:szCs w:val="17"/>
          <w:color w:val="auto"/>
        </w:rPr>
        <w:t>term nature, they are not discounted. They represent liabilities for goods and services provided to the Group prior to the end of the financial year that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unpaid and arise when the Group becomes obliged to make future payments in respect of the purchase of these goods and services.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amounts are unsecured and are usually paid within 30 days of recognition.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financial liabilities</w:t>
      </w:r>
    </w:p>
    <w:p>
      <w:pPr>
        <w:spacing w:after="0" w:line="220" w:lineRule="exact"/>
        <w:rPr>
          <w:sz w:val="20"/>
          <w:szCs w:val="20"/>
          <w:color w:val="auto"/>
        </w:rPr>
      </w:pPr>
    </w:p>
    <w:p>
      <w:pPr>
        <w:jc w:val="both"/>
        <w:ind w:firstLine="610"/>
        <w:spacing w:after="0" w:line="212" w:lineRule="exact"/>
        <w:rPr>
          <w:sz w:val="20"/>
          <w:szCs w:val="20"/>
          <w:color w:val="auto"/>
        </w:rPr>
      </w:pPr>
      <w:r>
        <w:rPr>
          <w:rFonts w:ascii="Arial" w:cs="Arial" w:eastAsia="Arial" w:hAnsi="Arial"/>
          <w:sz w:val="17"/>
          <w:szCs w:val="17"/>
          <w:color w:val="auto"/>
        </w:rPr>
        <w:t>Other financial liabilities in the consolidated statement of financial position represent the year end marked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value of forward rate foreign exchange contracts to purchase US dollars (Contracts) which were entered into prior to the change in functional currency which took place on January 1, 2021. These Contracts were used to settle US dollar denominated payables and expired within one year.</w:t>
      </w:r>
    </w:p>
    <w:p>
      <w:pPr>
        <w:spacing w:after="0" w:line="196"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foreign exchange loss on recognition of the Contracts was included in ‘net foreign exchange gain/(loss)’ in the consolidated statement of profit or loss and other comprehensive income.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Plant and equipment</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Plant and equipment are stated at historical cost less accumulated depreciation and any accumulated impairment losses. Depreciation is calculated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useful economic lives as follows:</w:t>
      </w:r>
    </w:p>
    <w:p>
      <w:pPr>
        <w:spacing w:after="0" w:line="1" w:lineRule="exact"/>
        <w:rPr>
          <w:sz w:val="20"/>
          <w:szCs w:val="20"/>
          <w:color w:val="auto"/>
        </w:rPr>
      </w:pPr>
    </w:p>
    <w:p>
      <w:pPr>
        <w:ind w:left="1040" w:hanging="438"/>
        <w:spacing w:after="0"/>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Equipment and furniture – 3 to 10 years; and</w:t>
      </w:r>
    </w:p>
    <w:p>
      <w:pPr>
        <w:spacing w:after="0" w:line="12" w:lineRule="exact"/>
        <w:rPr>
          <w:rFonts w:ascii="Arial" w:cs="Arial" w:eastAsia="Arial" w:hAnsi="Arial"/>
          <w:sz w:val="17"/>
          <w:szCs w:val="17"/>
          <w:color w:val="auto"/>
        </w:rPr>
      </w:pPr>
    </w:p>
    <w:p>
      <w:pPr>
        <w:ind w:left="1040" w:hanging="438"/>
        <w:spacing w:after="0"/>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Leasehold improvements – 8 years or the term of the lease if shorter.</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assets’ residual values, useful lives and amortization methods are reviewed, and adjusted if appropriate, at each financial year end.</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 item of plant and equipment is derecognized upon disposal or when no further economic benefits are expected from its use or disposal.</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2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59"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The Group applies a single recognition and measurement approach for all leases, except for short</w:t>
      </w:r>
      <w:r>
        <w:rPr>
          <w:rFonts w:ascii="MS PGothic" w:cs="MS PGothic" w:eastAsia="MS PGothic" w:hAnsi="MS PGothic"/>
          <w:sz w:val="17"/>
          <w:szCs w:val="17"/>
          <w:color w:val="auto"/>
        </w:rPr>
        <w:t>‑</w:t>
      </w:r>
      <w:r>
        <w:rPr>
          <w:rFonts w:ascii="Arial" w:cs="Arial" w:eastAsia="Arial" w:hAnsi="Arial"/>
          <w:sz w:val="17"/>
          <w:szCs w:val="17"/>
          <w:color w:val="auto"/>
        </w:rPr>
        <w:t>term leases and leases of low</w:t>
      </w:r>
      <w:r>
        <w:rPr>
          <w:rFonts w:ascii="MS PGothic" w:cs="MS PGothic" w:eastAsia="MS PGothic" w:hAnsi="MS PGothic"/>
          <w:sz w:val="17"/>
          <w:szCs w:val="17"/>
          <w:color w:val="auto"/>
        </w:rPr>
        <w:t>‑</w:t>
      </w:r>
      <w:r>
        <w:rPr>
          <w:rFonts w:ascii="Arial" w:cs="Arial" w:eastAsia="Arial" w:hAnsi="Arial"/>
          <w:sz w:val="17"/>
          <w:szCs w:val="17"/>
          <w:color w:val="auto"/>
        </w:rPr>
        <w:t>value assets. The Group recognizes lease liabilities to make lease payments and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assets representing the right to use the underlying assets.</w:t>
      </w:r>
    </w:p>
    <w:p>
      <w:pPr>
        <w:spacing w:after="0" w:line="197" w:lineRule="exact"/>
        <w:rPr>
          <w:sz w:val="20"/>
          <w:szCs w:val="20"/>
          <w:color w:val="auto"/>
        </w:rPr>
      </w:pPr>
    </w:p>
    <w:p>
      <w:pPr>
        <w:ind w:left="620"/>
        <w:spacing w:after="0" w:line="196" w:lineRule="exact"/>
        <w:rPr>
          <w:sz w:val="20"/>
          <w:szCs w:val="20"/>
          <w:color w:val="auto"/>
        </w:rPr>
      </w:pPr>
      <w:r>
        <w:rPr>
          <w:rFonts w:ascii="Arial" w:cs="Arial" w:eastAsia="Arial" w:hAnsi="Arial"/>
          <w:sz w:val="17"/>
          <w:szCs w:val="17"/>
          <w:i w:val="1"/>
          <w:iCs w:val="1"/>
          <w:color w:val="auto"/>
        </w:rPr>
        <w:t>Right</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of</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use assets</w:t>
      </w:r>
    </w:p>
    <w:p>
      <w:pPr>
        <w:spacing w:after="0" w:line="220" w:lineRule="exact"/>
        <w:rPr>
          <w:sz w:val="20"/>
          <w:szCs w:val="20"/>
          <w:color w:val="auto"/>
        </w:rPr>
      </w:pPr>
    </w:p>
    <w:p>
      <w:pPr>
        <w:jc w:val="both"/>
        <w:ind w:firstLine="610"/>
        <w:spacing w:after="0" w:line="211" w:lineRule="exact"/>
        <w:rPr>
          <w:sz w:val="20"/>
          <w:szCs w:val="20"/>
          <w:color w:val="auto"/>
        </w:rPr>
      </w:pPr>
      <w:r>
        <w:rPr>
          <w:rFonts w:ascii="Arial" w:cs="Arial" w:eastAsia="Arial" w:hAnsi="Arial"/>
          <w:sz w:val="17"/>
          <w:szCs w:val="17"/>
          <w:color w:val="auto"/>
        </w:rPr>
        <w:t>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assets are recognized at the commencement date of the lease (that is the date the underlying asset is available for use).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assets are measured at cost, less any accumulated depreciation and any impairment losses, and adjusted for any remeasurement of lease liabilities. The cost of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assets include the amount of lease liabilities recognized, initial direct costs incurred, and lease payments made at or before the commencement date less any lease incentives received. 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assets are depreciated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shorter of the lease terms and the estimated useful lives of the assets.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Lease liabilities</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Lease liabilities are recognized at the commencement date of the lease at the present value of lease payments to be made over the lease term. The lease payments include fixed payments (including in</w:t>
      </w:r>
      <w:r>
        <w:rPr>
          <w:rFonts w:ascii="MS PGothic" w:cs="MS PGothic" w:eastAsia="MS PGothic" w:hAnsi="MS PGothic"/>
          <w:sz w:val="17"/>
          <w:szCs w:val="17"/>
          <w:color w:val="auto"/>
        </w:rPr>
        <w:t>‑</w:t>
      </w:r>
      <w:r>
        <w:rPr>
          <w:rFonts w:ascii="Arial" w:cs="Arial" w:eastAsia="Arial" w:hAnsi="Arial"/>
          <w:sz w:val="17"/>
          <w:szCs w:val="17"/>
          <w:color w:val="auto"/>
        </w:rPr>
        <w:t>substance fixed payments) less any lease incentives receivable.</w:t>
      </w:r>
    </w:p>
    <w:p>
      <w:pPr>
        <w:spacing w:after="0" w:line="197" w:lineRule="exact"/>
        <w:rPr>
          <w:sz w:val="20"/>
          <w:szCs w:val="20"/>
          <w:color w:val="auto"/>
        </w:rPr>
      </w:pPr>
    </w:p>
    <w:p>
      <w:pPr>
        <w:jc w:val="both"/>
        <w:ind w:firstLine="610"/>
        <w:spacing w:after="0" w:line="265" w:lineRule="auto"/>
        <w:rPr>
          <w:sz w:val="20"/>
          <w:szCs w:val="20"/>
          <w:color w:val="auto"/>
        </w:rPr>
      </w:pPr>
      <w:r>
        <w:rPr>
          <w:rFonts w:ascii="Arial" w:cs="Arial" w:eastAsia="Arial" w:hAnsi="Arial"/>
          <w:sz w:val="17"/>
          <w:szCs w:val="17"/>
          <w:color w:val="auto"/>
        </w:rPr>
        <w:t>In calculating the present value of lease payments, the Group uses its incremental borrowing rate at the lease commencement date because the interest rate implicit in the lease is not readily determinable. The incremental borrowing rate is determined using market yields on bonds with similar terms to maturity. After the commencement date, the amount of lease liabilities is increased to reflect the accretion of interest and reduced for the lease payments made. In addition, the carrying amount of lease liabilities is remeasured if there is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modification, a change in the lease term, a change in lease payments (e.g., a change to future lease payments resulting from a change in an index or rate).</w:t>
      </w:r>
    </w:p>
    <w:p>
      <w:pPr>
        <w:spacing w:after="0" w:line="232" w:lineRule="exact"/>
        <w:rPr>
          <w:sz w:val="20"/>
          <w:szCs w:val="20"/>
          <w:color w:val="auto"/>
        </w:rPr>
      </w:pPr>
    </w:p>
    <w:p>
      <w:pPr>
        <w:ind w:left="620"/>
        <w:spacing w:after="0" w:line="196" w:lineRule="exact"/>
        <w:rPr>
          <w:sz w:val="20"/>
          <w:szCs w:val="20"/>
          <w:color w:val="auto"/>
        </w:rPr>
      </w:pPr>
      <w:r>
        <w:rPr>
          <w:rFonts w:ascii="Arial" w:cs="Arial" w:eastAsia="Arial" w:hAnsi="Arial"/>
          <w:sz w:val="17"/>
          <w:szCs w:val="17"/>
          <w:i w:val="1"/>
          <w:iCs w:val="1"/>
          <w:color w:val="auto"/>
        </w:rPr>
        <w:t>Leases of low</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value assets</w:t>
      </w:r>
    </w:p>
    <w:p>
      <w:pPr>
        <w:spacing w:after="0" w:line="220" w:lineRule="exact"/>
        <w:rPr>
          <w:sz w:val="20"/>
          <w:szCs w:val="20"/>
          <w:color w:val="auto"/>
        </w:rPr>
      </w:pPr>
    </w:p>
    <w:p>
      <w:pPr>
        <w:jc w:val="both"/>
        <w:ind w:firstLine="610"/>
        <w:spacing w:after="0" w:line="212" w:lineRule="exact"/>
        <w:rPr>
          <w:sz w:val="20"/>
          <w:szCs w:val="20"/>
          <w:color w:val="auto"/>
        </w:rPr>
      </w:pPr>
      <w:r>
        <w:rPr>
          <w:rFonts w:ascii="Arial" w:cs="Arial" w:eastAsia="Arial" w:hAnsi="Arial"/>
          <w:sz w:val="17"/>
          <w:szCs w:val="17"/>
          <w:color w:val="auto"/>
        </w:rPr>
        <w:t>For short</w:t>
      </w:r>
      <w:r>
        <w:rPr>
          <w:rFonts w:ascii="MS PGothic" w:cs="MS PGothic" w:eastAsia="MS PGothic" w:hAnsi="MS PGothic"/>
          <w:sz w:val="17"/>
          <w:szCs w:val="17"/>
          <w:color w:val="auto"/>
        </w:rPr>
        <w:t>‑</w:t>
      </w:r>
      <w:r>
        <w:rPr>
          <w:rFonts w:ascii="Arial" w:cs="Arial" w:eastAsia="Arial" w:hAnsi="Arial"/>
          <w:sz w:val="17"/>
          <w:szCs w:val="17"/>
          <w:color w:val="auto"/>
        </w:rPr>
        <w:t>term leases (lease term of 12 months or less) and leases of low</w:t>
      </w:r>
      <w:r>
        <w:rPr>
          <w:rFonts w:ascii="MS PGothic" w:cs="MS PGothic" w:eastAsia="MS PGothic" w:hAnsi="MS PGothic"/>
          <w:sz w:val="17"/>
          <w:szCs w:val="17"/>
          <w:color w:val="auto"/>
        </w:rPr>
        <w:t>‑</w:t>
      </w:r>
      <w:r>
        <w:rPr>
          <w:rFonts w:ascii="Arial" w:cs="Arial" w:eastAsia="Arial" w:hAnsi="Arial"/>
          <w:sz w:val="17"/>
          <w:szCs w:val="17"/>
          <w:color w:val="auto"/>
        </w:rPr>
        <w:t>value assets (such as photo copiers and telephones), the Group has opted to recognize a lease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as permitted by IFRS 16. This expense is presented within “administrative expenses” in the consolidated statement of profit or loss and other comprehensive income.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220" w:lineRule="exact"/>
        <w:rPr>
          <w:sz w:val="20"/>
          <w:szCs w:val="20"/>
          <w:color w:val="auto"/>
        </w:rPr>
      </w:pPr>
    </w:p>
    <w:p>
      <w:pPr>
        <w:jc w:val="both"/>
        <w:ind w:firstLine="610"/>
        <w:spacing w:after="0" w:line="265" w:lineRule="auto"/>
        <w:rPr>
          <w:sz w:val="20"/>
          <w:szCs w:val="20"/>
          <w:color w:val="auto"/>
        </w:rPr>
      </w:pPr>
      <w:r>
        <w:rPr>
          <w:rFonts w:ascii="Arial" w:cs="Arial" w:eastAsia="Arial" w:hAnsi="Arial"/>
          <w:sz w:val="17"/>
          <w:szCs w:val="17"/>
          <w:color w:val="auto"/>
        </w:rPr>
        <w:t>Research costs are expensed as incurred. An intangible asset arising from the development expenditure on an internal project will only be recognized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development and the ability to measure reliably the expenditure attributable to the intangible asset during its development.</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2021, 2020 and 2019, the Group is in the research phase and has not capitalized any development costs to date.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and employee benefits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 Wages, salaries, annual leave and sick leave</w:t>
      </w:r>
    </w:p>
    <w:p>
      <w:pPr>
        <w:spacing w:after="0" w:line="220" w:lineRule="exact"/>
        <w:rPr>
          <w:sz w:val="20"/>
          <w:szCs w:val="20"/>
          <w:color w:val="auto"/>
        </w:rPr>
      </w:pPr>
    </w:p>
    <w:p>
      <w:pPr>
        <w:jc w:val="both"/>
        <w:ind w:firstLine="610"/>
        <w:spacing w:after="0" w:line="212" w:lineRule="exact"/>
        <w:rPr>
          <w:sz w:val="20"/>
          <w:szCs w:val="20"/>
          <w:color w:val="auto"/>
        </w:rPr>
      </w:pPr>
      <w:r>
        <w:rPr>
          <w:rFonts w:ascii="Arial" w:cs="Arial" w:eastAsia="Arial" w:hAnsi="Arial"/>
          <w:sz w:val="16"/>
          <w:szCs w:val="16"/>
          <w:color w:val="auto"/>
        </w:rPr>
        <w:t>Liabilities for wages and salaries, including non</w:t>
      </w:r>
      <w:r>
        <w:rPr>
          <w:rFonts w:ascii="MS PGothic" w:cs="MS PGothic" w:eastAsia="MS PGothic" w:hAnsi="MS PGothic"/>
          <w:sz w:val="16"/>
          <w:szCs w:val="16"/>
          <w:color w:val="auto"/>
        </w:rPr>
        <w:t>‑</w:t>
      </w:r>
      <w:r>
        <w:rPr>
          <w:rFonts w:ascii="Arial" w:cs="Arial" w:eastAsia="Arial" w:hAnsi="Arial"/>
          <w:sz w:val="16"/>
          <w:szCs w:val="16"/>
          <w:color w:val="auto"/>
        </w:rPr>
        <w:t>monetary benefits and annual leave expected to be settled within 12 months of the reporting date are recognized in current provisions in respect of employees’ services up to the reporting date. They are measured at the amounts expected to be paid when the liabilities are settled. Expenses for non</w:t>
      </w:r>
      <w:r>
        <w:rPr>
          <w:rFonts w:ascii="MS PGothic" w:cs="MS PGothic" w:eastAsia="MS PGothic" w:hAnsi="MS PGothic"/>
          <w:sz w:val="16"/>
          <w:szCs w:val="16"/>
          <w:color w:val="auto"/>
        </w:rPr>
        <w:t>‑</w:t>
      </w:r>
      <w:r>
        <w:rPr>
          <w:rFonts w:ascii="Arial" w:cs="Arial" w:eastAsia="Arial" w:hAnsi="Arial"/>
          <w:sz w:val="16"/>
          <w:szCs w:val="16"/>
          <w:color w:val="auto"/>
        </w:rPr>
        <w:t>accumulating sick leave are recognized when the leave is taken and are measured at the rate paid or payable.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ii. Long service leave</w:t>
      </w:r>
    </w:p>
    <w:p>
      <w:pPr>
        <w:spacing w:after="0" w:line="220" w:lineRule="exact"/>
        <w:rPr>
          <w:sz w:val="20"/>
          <w:szCs w:val="20"/>
          <w:color w:val="auto"/>
        </w:rPr>
      </w:pPr>
    </w:p>
    <w:p>
      <w:pPr>
        <w:jc w:val="both"/>
        <w:ind w:firstLine="610"/>
        <w:spacing w:after="0" w:line="265" w:lineRule="auto"/>
        <w:rPr>
          <w:sz w:val="20"/>
          <w:szCs w:val="20"/>
          <w:color w:val="auto"/>
        </w:rPr>
      </w:pPr>
      <w:r>
        <w:rPr>
          <w:rFonts w:ascii="Arial" w:cs="Arial" w:eastAsia="Arial" w:hAnsi="Arial"/>
          <w:sz w:val="17"/>
          <w:szCs w:val="17"/>
          <w:color w:val="auto"/>
        </w:rPr>
        <w:t>The liability for long service leave is recognized in the provision for employee benefits and measured as the present value of expected future payments to be made in respect of services provided by employees up to the reporting date. Consideration is given to expected future wage and salary levels, experience of employee departures, and periods of service. Expected future payments are discounted using market yields at the reporting date on bonds with terms to maturity that match, as closely as possible, the estimated future cash outflows.</w:t>
      </w:r>
    </w:p>
    <w:p>
      <w:pPr>
        <w:spacing w:after="0" w:line="176"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Share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based payment transactions</w:t>
      </w:r>
    </w:p>
    <w:p>
      <w:pPr>
        <w:spacing w:after="0" w:line="220"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The Group provides benefits to directors and employees (including key management personnel) of the Group in the form of share</w:t>
      </w:r>
      <w:r>
        <w:rPr>
          <w:rFonts w:ascii="MS PGothic" w:cs="MS PGothic" w:eastAsia="MS PGothic" w:hAnsi="MS PGothic"/>
          <w:sz w:val="17"/>
          <w:szCs w:val="17"/>
          <w:color w:val="auto"/>
        </w:rPr>
        <w:t>‑</w:t>
      </w:r>
      <w:r>
        <w:rPr>
          <w:rFonts w:ascii="Arial" w:cs="Arial" w:eastAsia="Arial" w:hAnsi="Arial"/>
          <w:sz w:val="17"/>
          <w:szCs w:val="17"/>
          <w:color w:val="auto"/>
        </w:rPr>
        <w:t>based payments, whereby employees render services in exchange for shares or rights over shares (equity</w:t>
      </w:r>
      <w:r>
        <w:rPr>
          <w:rFonts w:ascii="MS PGothic" w:cs="MS PGothic" w:eastAsia="MS PGothic" w:hAnsi="MS PGothic"/>
          <w:sz w:val="17"/>
          <w:szCs w:val="17"/>
          <w:color w:val="auto"/>
        </w:rPr>
        <w:t>‑</w:t>
      </w:r>
      <w:r>
        <w:rPr>
          <w:rFonts w:ascii="Arial" w:cs="Arial" w:eastAsia="Arial" w:hAnsi="Arial"/>
          <w:sz w:val="17"/>
          <w:szCs w:val="17"/>
          <w:color w:val="auto"/>
        </w:rPr>
        <w:t>settled transactions).</w:t>
      </w:r>
    </w:p>
    <w:p>
      <w:pPr>
        <w:spacing w:after="0" w:line="197"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7"/>
          <w:szCs w:val="17"/>
          <w:color w:val="auto"/>
        </w:rPr>
        <w:t>The cost of these equity</w:t>
      </w:r>
      <w:r>
        <w:rPr>
          <w:rFonts w:ascii="MS PGothic" w:cs="MS PGothic" w:eastAsia="MS PGothic" w:hAnsi="MS PGothic"/>
          <w:sz w:val="17"/>
          <w:szCs w:val="17"/>
          <w:color w:val="auto"/>
        </w:rPr>
        <w:t>‑</w:t>
      </w:r>
      <w:r>
        <w:rPr>
          <w:rFonts w:ascii="Arial" w:cs="Arial" w:eastAsia="Arial" w:hAnsi="Arial"/>
          <w:sz w:val="17"/>
          <w:szCs w:val="17"/>
          <w:color w:val="auto"/>
        </w:rPr>
        <w:t>settled transactions with employees is measured by reference to the fair value at the date at which they are granted. Binomial models are used to value the options issued.</w:t>
      </w:r>
    </w:p>
    <w:p>
      <w:pPr>
        <w:spacing w:after="0" w:line="197" w:lineRule="exact"/>
        <w:rPr>
          <w:sz w:val="20"/>
          <w:szCs w:val="20"/>
          <w:color w:val="auto"/>
        </w:rPr>
      </w:pPr>
    </w:p>
    <w:p>
      <w:pPr>
        <w:jc w:val="both"/>
        <w:ind w:firstLine="610"/>
        <w:spacing w:after="0" w:line="214" w:lineRule="exact"/>
        <w:rPr>
          <w:sz w:val="20"/>
          <w:szCs w:val="20"/>
          <w:color w:val="auto"/>
        </w:rPr>
      </w:pPr>
      <w:r>
        <w:rPr>
          <w:rFonts w:ascii="Arial" w:cs="Arial" w:eastAsia="Arial" w:hAnsi="Arial"/>
          <w:sz w:val="16"/>
          <w:szCs w:val="16"/>
          <w:color w:val="auto"/>
        </w:rPr>
        <w:t>The cost of the equity</w:t>
      </w:r>
      <w:r>
        <w:rPr>
          <w:rFonts w:ascii="MS PGothic" w:cs="MS PGothic" w:eastAsia="MS PGothic" w:hAnsi="MS PGothic"/>
          <w:sz w:val="16"/>
          <w:szCs w:val="16"/>
          <w:color w:val="auto"/>
        </w:rPr>
        <w:t>‑</w:t>
      </w:r>
      <w:r>
        <w:rPr>
          <w:rFonts w:ascii="Arial" w:cs="Arial" w:eastAsia="Arial" w:hAnsi="Arial"/>
          <w:sz w:val="16"/>
          <w:szCs w:val="16"/>
          <w:color w:val="auto"/>
        </w:rPr>
        <w:t>settled transactions is recognized, together with a corresponding increase in equity, over the period in which the performance conditions are fulfilled (the vesting period), ending on the date on which the relevant employees become fully entitled to the award (the vesting date).</w:t>
      </w:r>
    </w:p>
    <w:p>
      <w:pPr>
        <w:spacing w:after="0" w:line="196"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charge to profit or loss for the period is the cumulative amount less the amounts already charged in previous periods. There is a corresponding credit to equity.</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Until an award has vested, any amounts recorded are contingent and will be adjusted if more or fewer awards vest than were originally anticipated to do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so.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Contributed equity</w:t>
      </w:r>
    </w:p>
    <w:p>
      <w:pPr>
        <w:spacing w:after="0" w:line="22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Ordinary shares are classified as equity. Incremental costs directly attributable to the issue of new shares or options are shown in equity as a deduction, net of tax, from the proceeds.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0" w:lineRule="exact"/>
        <w:rPr>
          <w:sz w:val="20"/>
          <w:szCs w:val="20"/>
          <w:color w:val="auto"/>
        </w:rPr>
      </w:pPr>
    </w:p>
    <w:p>
      <w:pPr>
        <w:jc w:val="both"/>
        <w:ind w:firstLine="610"/>
        <w:spacing w:after="0" w:line="210" w:lineRule="exact"/>
        <w:rPr>
          <w:sz w:val="20"/>
          <w:szCs w:val="20"/>
          <w:color w:val="auto"/>
        </w:rPr>
      </w:pPr>
      <w:r>
        <w:rPr>
          <w:rFonts w:ascii="Arial" w:cs="Arial" w:eastAsia="Arial" w:hAnsi="Arial"/>
          <w:sz w:val="17"/>
          <w:szCs w:val="17"/>
          <w:color w:val="auto"/>
        </w:rPr>
        <w:t>License revenue in connection with licensing of the Group’s intellectual property (including patents) to customers is recognized as a right to use the Group’s intellectual property as it exists at the point in time in which the license is granted. This is because the contracts for the license of intellectual property are distinct and do not require, nor does the customer reasonably expect, that the Group will undertake further activities that significantly affect the intellectual property to which the customer has the rights. Although the Group is entitled to sales</w:t>
      </w:r>
      <w:r>
        <w:rPr>
          <w:rFonts w:ascii="MS PGothic" w:cs="MS PGothic" w:eastAsia="MS PGothic" w:hAnsi="MS PGothic"/>
          <w:sz w:val="17"/>
          <w:szCs w:val="17"/>
          <w:color w:val="auto"/>
        </w:rPr>
        <w:t>‑</w:t>
      </w:r>
      <w:r>
        <w:rPr>
          <w:rFonts w:ascii="Arial" w:cs="Arial" w:eastAsia="Arial" w:hAnsi="Arial"/>
          <w:sz w:val="17"/>
          <w:szCs w:val="17"/>
          <w:color w:val="auto"/>
        </w:rPr>
        <w:t>based royalties from the eventual sales of goods and services to third parties using the intellectual property licensed, these royalty arrangements do not in themselves indicate that the customer would reasonably expect the Group to undertake such activities, and no such activities are undertaken or contracted in practice. Accordingly, the promise to provide rights to the Group’s intellectual property is accounted for as a performance obligation satisfied at a point in time.</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consideration is received in exchange for licenses of intellectual property:</w:t>
      </w:r>
    </w:p>
    <w:p>
      <w:pPr>
        <w:spacing w:after="0" w:line="220" w:lineRule="exact"/>
        <w:rPr>
          <w:sz w:val="20"/>
          <w:szCs w:val="20"/>
          <w:color w:val="auto"/>
        </w:rPr>
      </w:pPr>
    </w:p>
    <w:p>
      <w:pPr>
        <w:ind w:left="1040" w:hanging="438"/>
        <w:spacing w:after="0" w:line="214" w:lineRule="exact"/>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Up</w:t>
      </w:r>
      <w:r>
        <w:rPr>
          <w:rFonts w:ascii="MS PGothic" w:cs="MS PGothic" w:eastAsia="MS PGothic" w:hAnsi="MS PGothic"/>
          <w:sz w:val="17"/>
          <w:szCs w:val="17"/>
          <w:color w:val="auto"/>
        </w:rPr>
        <w:t>‑</w:t>
      </w:r>
      <w:r>
        <w:rPr>
          <w:rFonts w:ascii="Arial" w:cs="Arial" w:eastAsia="Arial" w:hAnsi="Arial"/>
          <w:sz w:val="17"/>
          <w:szCs w:val="17"/>
          <w:color w:val="auto"/>
        </w:rPr>
        <w:t>front license fees – these are fixed amounts and are recognized at the point in time when the Group transfers the intellectual property to the customer.</w:t>
      </w:r>
    </w:p>
    <w:p>
      <w:pPr>
        <w:spacing w:after="0" w:line="1" w:lineRule="exact"/>
        <w:rPr>
          <w:rFonts w:ascii="Arial" w:cs="Arial" w:eastAsia="Arial" w:hAnsi="Arial"/>
          <w:sz w:val="17"/>
          <w:szCs w:val="17"/>
          <w:color w:val="auto"/>
        </w:rPr>
      </w:pPr>
    </w:p>
    <w:p>
      <w:pPr>
        <w:ind w:left="1040" w:hanging="438"/>
        <w:spacing w:after="0" w:line="208" w:lineRule="exact"/>
        <w:tabs>
          <w:tab w:leader="none" w:pos="10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Sales</w:t>
      </w:r>
      <w:r>
        <w:rPr>
          <w:rFonts w:ascii="MS PGothic" w:cs="MS PGothic" w:eastAsia="MS PGothic" w:hAnsi="MS PGothic"/>
          <w:sz w:val="15"/>
          <w:szCs w:val="15"/>
          <w:color w:val="auto"/>
        </w:rPr>
        <w:t>‑</w:t>
      </w:r>
      <w:r>
        <w:rPr>
          <w:rFonts w:ascii="Arial" w:cs="Arial" w:eastAsia="Arial" w:hAnsi="Arial"/>
          <w:sz w:val="15"/>
          <w:szCs w:val="15"/>
          <w:color w:val="auto"/>
        </w:rPr>
        <w:t>based royalties – these are variable consideration amounts promised in exchange for the license of intellectual property and are recognized when the sales to third parties occur given the performance obligation to transfer the intellectual property to the customer is already satisfied.</w:t>
      </w:r>
    </w:p>
    <w:p>
      <w:pPr>
        <w:spacing w:after="0" w:line="196" w:lineRule="exact"/>
        <w:rPr>
          <w:sz w:val="20"/>
          <w:szCs w:val="20"/>
          <w:color w:val="auto"/>
        </w:rPr>
      </w:pPr>
    </w:p>
    <w:p>
      <w:pPr>
        <w:ind w:left="620"/>
        <w:spacing w:after="0" w:line="196" w:lineRule="exact"/>
        <w:rPr>
          <w:sz w:val="20"/>
          <w:szCs w:val="20"/>
          <w:color w:val="auto"/>
        </w:rPr>
      </w:pPr>
      <w:r>
        <w:rPr>
          <w:rFonts w:ascii="Arial" w:cs="Arial" w:eastAsia="Arial" w:hAnsi="Arial"/>
          <w:sz w:val="17"/>
          <w:szCs w:val="17"/>
          <w:color w:val="auto"/>
        </w:rPr>
        <w:t>During the years ended June 30, 2021, 2020 and 2019, the Group’s only revenue related to sales</w:t>
      </w:r>
      <w:r>
        <w:rPr>
          <w:rFonts w:ascii="MS PGothic" w:cs="MS PGothic" w:eastAsia="MS PGothic" w:hAnsi="MS PGothic"/>
          <w:sz w:val="17"/>
          <w:szCs w:val="17"/>
          <w:color w:val="auto"/>
        </w:rPr>
        <w:t>‑</w:t>
      </w:r>
      <w:r>
        <w:rPr>
          <w:rFonts w:ascii="Arial" w:cs="Arial" w:eastAsia="Arial" w:hAnsi="Arial"/>
          <w:sz w:val="17"/>
          <w:szCs w:val="17"/>
          <w:color w:val="auto"/>
        </w:rPr>
        <w:t>based royalties.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Current tax</w:t>
      </w:r>
    </w:p>
    <w:p>
      <w:pPr>
        <w:spacing w:after="0" w:line="22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Current tax assets and liabilities for the current and prior periods are measured at the amount expected to be recovered from or paid to the taxation authorities based on the current period’s taxable income.</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tax rates and tax laws used to compute the amount are those that are enacted or substantively enacted by the reporting date.</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Research and development tax incentive</w:t>
      </w:r>
    </w:p>
    <w:p>
      <w:pPr>
        <w:spacing w:after="0" w:line="220" w:lineRule="exact"/>
        <w:rPr>
          <w:sz w:val="20"/>
          <w:szCs w:val="20"/>
          <w:color w:val="auto"/>
        </w:rPr>
      </w:pPr>
    </w:p>
    <w:p>
      <w:pPr>
        <w:jc w:val="both"/>
        <w:ind w:firstLine="610"/>
        <w:spacing w:after="0" w:line="210" w:lineRule="exact"/>
        <w:rPr>
          <w:sz w:val="20"/>
          <w:szCs w:val="20"/>
          <w:color w:val="auto"/>
        </w:rPr>
      </w:pPr>
      <w:r>
        <w:rPr>
          <w:rFonts w:ascii="Arial" w:cs="Arial" w:eastAsia="Arial" w:hAnsi="Arial"/>
          <w:sz w:val="17"/>
          <w:szCs w:val="17"/>
          <w:color w:val="auto"/>
        </w:rPr>
        <w:t>The Research and Development (R&amp;D) Tax Incentive Scheme is an Australian Federal Government program under which eligible companies with annual aggregated revenue of less than A$20 million can receive cash amounts equal to 43.5% of eligible research and development expenditures from the Australian Taxation Office (ATO). The R&amp;D Tax Incentive Scheme incentive relates to eligible expenditure incurred in Australia and, under certain circumstances, overseas on the development of the Group’s lead candidate, OPT</w:t>
      </w:r>
      <w:r>
        <w:rPr>
          <w:rFonts w:ascii="MS PGothic" w:cs="MS PGothic" w:eastAsia="MS PGothic" w:hAnsi="MS PGothic"/>
          <w:sz w:val="17"/>
          <w:szCs w:val="17"/>
          <w:color w:val="auto"/>
        </w:rPr>
        <w:t>‑</w:t>
      </w:r>
      <w:r>
        <w:rPr>
          <w:rFonts w:ascii="Arial" w:cs="Arial" w:eastAsia="Arial" w:hAnsi="Arial"/>
          <w:sz w:val="17"/>
          <w:szCs w:val="17"/>
          <w:color w:val="auto"/>
        </w:rPr>
        <w:t>302. The R&amp;D tax incentive is applied annually to eligible expenditure incurred during the Group’s financial year following annual application to AusIndustry, an Australian governmental agency, and subsequent filing of its Income Tax Return with the ATO after the financial year end.</w:t>
      </w:r>
    </w:p>
    <w:p>
      <w:pPr>
        <w:spacing w:after="0" w:line="199"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Group estimates the amount of R&amp;D tax incentive after the completion of the financial year based on eligible Australia and overseas expenditures incurred during that year.</w:t>
      </w:r>
    </w:p>
    <w:p>
      <w:pPr>
        <w:spacing w:after="0" w:line="159"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Group has presented incentives in respect of the R&amp;D Tax Incentive Scheme within income tax benefit in the Statement of Profit or Loss and Other Comprehensive Income by analogizing with IAS 12 “Income Taxes”.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Deferred tax</w:t>
      </w:r>
    </w:p>
    <w:p>
      <w:pPr>
        <w:spacing w:after="0" w:line="22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Deferred income tax is provided on all temporary differences at the reporting date between the tax bases of assets and liabilities and their carrying amounts for financial reporting purposes.</w:t>
      </w:r>
    </w:p>
    <w:p>
      <w:pPr>
        <w:spacing w:after="0" w:line="159" w:lineRule="exact"/>
        <w:rPr>
          <w:sz w:val="20"/>
          <w:szCs w:val="20"/>
          <w:color w:val="auto"/>
        </w:rPr>
      </w:pPr>
    </w:p>
    <w:p>
      <w:pPr>
        <w:jc w:val="both"/>
        <w:ind w:firstLine="610"/>
        <w:spacing w:after="0" w:line="270" w:lineRule="auto"/>
        <w:rPr>
          <w:sz w:val="20"/>
          <w:szCs w:val="20"/>
          <w:color w:val="auto"/>
        </w:rPr>
      </w:pPr>
      <w:r>
        <w:rPr>
          <w:rFonts w:ascii="Arial" w:cs="Arial" w:eastAsia="Arial" w:hAnsi="Arial"/>
          <w:sz w:val="17"/>
          <w:szCs w:val="17"/>
          <w:color w:val="auto"/>
        </w:rPr>
        <w:t>Deferred income tax liabilities are recognized for all taxable temporary differences except when the deferred income tax liability arises from the initial recognition of goodwill or of an asset or liability in a transaction that is not a business combination and that, at the time of the transaction, affects neither the accounting profit nor taxable profit or loss.</w:t>
      </w:r>
    </w:p>
    <w:p>
      <w:pPr>
        <w:spacing w:after="0" w:line="172" w:lineRule="exact"/>
        <w:rPr>
          <w:sz w:val="20"/>
          <w:szCs w:val="20"/>
          <w:color w:val="auto"/>
        </w:rPr>
      </w:pPr>
    </w:p>
    <w:p>
      <w:pPr>
        <w:jc w:val="both"/>
        <w:ind w:firstLine="610"/>
        <w:spacing w:after="0" w:line="262" w:lineRule="auto"/>
        <w:rPr>
          <w:sz w:val="20"/>
          <w:szCs w:val="20"/>
          <w:color w:val="auto"/>
        </w:rPr>
      </w:pPr>
      <w:r>
        <w:rPr>
          <w:rFonts w:ascii="Arial" w:cs="Arial" w:eastAsia="Arial" w:hAnsi="Arial"/>
          <w:sz w:val="17"/>
          <w:szCs w:val="17"/>
          <w:color w:val="auto"/>
        </w:rPr>
        <w:t>Deferred income tax assets are recognized for all deductible temporary differences, carry forward of unused tax assets (or credits) and unused tax losses, to the extent that it is probable that taxable profit will be available against which the deductible temporary differences, and the carry forward of unused tax credits and unused tax losses can be utilized, except when the deferred income tax asset relating to the deductible temporary differences arises from the initial recognition of an asset or liability in a transaction that is not a business combination and, at the time of the transaction, affects neither the accounting profit or taxable profit or loss.</w:t>
      </w:r>
    </w:p>
    <w:p>
      <w:pPr>
        <w:spacing w:after="0" w:line="180"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159"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Unrecognized deferred income tax assets are reassessed at each reporting date and are recognized to the extent that it has become probable that future taxable profit will allow the deferred tax asset to be recovered.</w:t>
      </w:r>
    </w:p>
    <w:p>
      <w:pPr>
        <w:spacing w:after="0" w:line="159" w:lineRule="exact"/>
        <w:rPr>
          <w:sz w:val="20"/>
          <w:szCs w:val="20"/>
          <w:color w:val="auto"/>
        </w:rPr>
      </w:pPr>
    </w:p>
    <w:p>
      <w:pPr>
        <w:jc w:val="both"/>
        <w:ind w:firstLine="610"/>
        <w:spacing w:after="0" w:line="285" w:lineRule="auto"/>
        <w:rPr>
          <w:sz w:val="20"/>
          <w:szCs w:val="20"/>
          <w:color w:val="auto"/>
        </w:rPr>
      </w:pPr>
      <w:r>
        <w:rPr>
          <w:rFonts w:ascii="Arial" w:cs="Arial" w:eastAsia="Arial" w:hAnsi="Arial"/>
          <w:sz w:val="17"/>
          <w:szCs w:val="17"/>
          <w:color w:val="auto"/>
        </w:rPr>
        <w:t>Deferred income tax assets and liabilities are measured at the tax rates that are expected to apply to the year when the asset is realized or the liability is settled, based on tax rates (and tax laws) that have been enacted or substantively enacted at balance date.</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Income taxes relating to items recognized directly in equity are recognized directly in equity and not in profit or loss.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consolidation legislation</w:t>
      </w:r>
    </w:p>
    <w:p>
      <w:pPr>
        <w:spacing w:after="0" w:line="220" w:lineRule="exact"/>
        <w:rPr>
          <w:sz w:val="20"/>
          <w:szCs w:val="20"/>
          <w:color w:val="auto"/>
        </w:rPr>
      </w:pPr>
    </w:p>
    <w:p>
      <w:pPr>
        <w:jc w:val="both"/>
        <w:ind w:firstLine="610"/>
        <w:spacing w:after="0" w:line="261" w:lineRule="auto"/>
        <w:rPr>
          <w:sz w:val="20"/>
          <w:szCs w:val="20"/>
          <w:color w:val="auto"/>
        </w:rPr>
      </w:pPr>
      <w:r>
        <w:rPr>
          <w:rFonts w:ascii="Arial" w:cs="Arial" w:eastAsia="Arial" w:hAnsi="Arial"/>
          <w:sz w:val="17"/>
          <w:szCs w:val="17"/>
          <w:color w:val="auto"/>
        </w:rPr>
        <w:t>Tax consolidation is a system adopted by the ATO that treats a group of entities as a single entity for tax purposes. Opthea Limited and its 100% owned Australian domiciled subsidiary formed a tax consolidated group effective July 1, 2003. The head entity, Opthea Limited, and its controlled entity, Vegenics Pty Ltd, are current members of the tax consolidated group and account for their own current and deferred tax amounts. Members of the tax consolidated group have adopted the “separate taxpayer within group” method to allocate the current and deferred tax amounts to each entity within the Group. This method requires adjustments for transactions and events occurring within the tax consolidated group that do not give rise to a tax consequence for the Group or that have a different tax consequence at the level of the Group.</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taxes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Revenues, expenses, assets and liabilities are recognized net of the amount of GST except:</w:t>
      </w:r>
    </w:p>
    <w:p>
      <w:pPr>
        <w:spacing w:after="0" w:line="220" w:lineRule="exact"/>
        <w:rPr>
          <w:sz w:val="20"/>
          <w:szCs w:val="20"/>
          <w:color w:val="auto"/>
        </w:rPr>
      </w:pPr>
    </w:p>
    <w:p>
      <w:pPr>
        <w:ind w:left="1040" w:hanging="438"/>
        <w:spacing w:after="0" w:line="285" w:lineRule="auto"/>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159" w:lineRule="exact"/>
        <w:rPr>
          <w:rFonts w:ascii="Arial" w:cs="Arial" w:eastAsia="Arial" w:hAnsi="Arial"/>
          <w:sz w:val="17"/>
          <w:szCs w:val="17"/>
          <w:color w:val="auto"/>
        </w:rPr>
      </w:pPr>
    </w:p>
    <w:p>
      <w:pPr>
        <w:ind w:left="1040" w:hanging="438"/>
        <w:spacing w:after="0"/>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Receivables and payables are stated with the amount of GST included.</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net amount of GST recoverable from, or payable to the taxation authority is included as part of receivables or payables in the statement of financial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position.</w:t>
      </w:r>
    </w:p>
    <w:p>
      <w:pPr>
        <w:spacing w:after="0" w:line="208" w:lineRule="exact"/>
        <w:rPr>
          <w:sz w:val="20"/>
          <w:szCs w:val="20"/>
          <w:color w:val="auto"/>
        </w:rPr>
      </w:pPr>
    </w:p>
    <w:p>
      <w:pPr>
        <w:ind w:firstLine="610"/>
        <w:spacing w:after="0" w:line="285" w:lineRule="auto"/>
        <w:rPr>
          <w:sz w:val="20"/>
          <w:szCs w:val="20"/>
          <w:color w:val="auto"/>
        </w:rPr>
      </w:pPr>
      <w:r>
        <w:rPr>
          <w:rFonts w:ascii="Arial" w:cs="Arial" w:eastAsia="Arial" w:hAnsi="Arial"/>
          <w:sz w:val="17"/>
          <w:szCs w:val="17"/>
          <w:color w:val="auto"/>
        </w:rPr>
        <w:t>Cash flows are included in the statement of cash flows on a gross basis and the GST component of cash flows arising from investing and financing activities, which is recoverable from, or payable to, the taxation authority is classified as part of operating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Commitments and contingencies are disclosed net of the amount of GST recoverable from, or payable to, the taxation authority.</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Critical Accounting Judgements and Key Sources of Estimation Uncertainty</w:t>
      </w:r>
    </w:p>
    <w:p>
      <w:pPr>
        <w:spacing w:after="0" w:line="330" w:lineRule="exact"/>
        <w:rPr>
          <w:sz w:val="20"/>
          <w:szCs w:val="20"/>
          <w:color w:val="auto"/>
        </w:rPr>
      </w:pPr>
    </w:p>
    <w:p>
      <w:pPr>
        <w:jc w:val="both"/>
        <w:ind w:firstLine="896"/>
        <w:spacing w:after="0" w:line="322" w:lineRule="auto"/>
        <w:rPr>
          <w:sz w:val="20"/>
          <w:szCs w:val="20"/>
          <w:color w:val="auto"/>
        </w:rPr>
      </w:pPr>
      <w:r>
        <w:rPr>
          <w:rFonts w:ascii="Arial" w:cs="Arial" w:eastAsia="Arial" w:hAnsi="Arial"/>
          <w:sz w:val="15"/>
          <w:szCs w:val="15"/>
          <w:color w:val="auto"/>
        </w:rPr>
        <w:t>In applying the Group’s accounting policies, management continually evaluates judgments, estimates and assumptions based on experience and other factors, including expectations of future events that may have an impact on the Group. All judgments, estimates and assumptions made are believed to be reasonable based on the most current set of circumstances available to management. Actual results may differ from the judgments, estimates and assumptions.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Significant judgments, estimates and assumptions made by management in the preparation of these financial statements are outlined below:</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4.1 Critical judgments in applying accounting policies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6" w:lineRule="exact"/>
        <w:rPr>
          <w:sz w:val="20"/>
          <w:szCs w:val="20"/>
          <w:color w:val="auto"/>
        </w:rPr>
      </w:pPr>
    </w:p>
    <w:p>
      <w:pPr>
        <w:jc w:val="both"/>
        <w:ind w:firstLine="896"/>
        <w:spacing w:after="0" w:line="212" w:lineRule="exact"/>
        <w:rPr>
          <w:sz w:val="20"/>
          <w:szCs w:val="20"/>
          <w:color w:val="auto"/>
        </w:rPr>
      </w:pPr>
      <w:r>
        <w:rPr>
          <w:rFonts w:ascii="Arial" w:cs="Arial" w:eastAsia="Arial" w:hAnsi="Arial"/>
          <w:sz w:val="16"/>
          <w:szCs w:val="16"/>
          <w:color w:val="auto"/>
        </w:rPr>
        <w:t>The majority of Opthea’s expenditure is incurred as a result of clinical trials for OPT</w:t>
      </w:r>
      <w:r>
        <w:rPr>
          <w:rFonts w:ascii="MS PGothic" w:cs="MS PGothic" w:eastAsia="MS PGothic" w:hAnsi="MS PGothic"/>
          <w:sz w:val="16"/>
          <w:szCs w:val="16"/>
          <w:color w:val="auto"/>
        </w:rPr>
        <w:t>‑</w:t>
      </w:r>
      <w:r>
        <w:rPr>
          <w:rFonts w:ascii="Arial" w:cs="Arial" w:eastAsia="Arial" w:hAnsi="Arial"/>
          <w:sz w:val="16"/>
          <w:szCs w:val="16"/>
          <w:color w:val="auto"/>
        </w:rPr>
        <w:t>302. During the years ended June 30, 2019 2020 and 2021, Opthea progressed Phase 2b wet age</w:t>
      </w:r>
      <w:r>
        <w:rPr>
          <w:rFonts w:ascii="MS PGothic" w:cs="MS PGothic" w:eastAsia="MS PGothic" w:hAnsi="MS PGothic"/>
          <w:sz w:val="16"/>
          <w:szCs w:val="16"/>
          <w:color w:val="auto"/>
        </w:rPr>
        <w:t>‑</w:t>
      </w:r>
      <w:r>
        <w:rPr>
          <w:rFonts w:ascii="Arial" w:cs="Arial" w:eastAsia="Arial" w:hAnsi="Arial"/>
          <w:sz w:val="16"/>
          <w:szCs w:val="16"/>
          <w:color w:val="auto"/>
        </w:rPr>
        <w:t>related macular degeneration (wet AMD) and Phase 1b/2a diabetic macular edema (DME) trials. Phase 3 clinical trials for OPT-302 was initiated during 2021. A key measure of Opthea’s performance is the level of expenditure incurred on the research of OPT</w:t>
      </w:r>
      <w:r>
        <w:rPr>
          <w:rFonts w:ascii="MS PGothic" w:cs="MS PGothic" w:eastAsia="MS PGothic" w:hAnsi="MS PGothic"/>
          <w:sz w:val="16"/>
          <w:szCs w:val="16"/>
          <w:color w:val="auto"/>
        </w:rPr>
        <w:t>‑</w:t>
      </w:r>
      <w:r>
        <w:rPr>
          <w:rFonts w:ascii="Arial" w:cs="Arial" w:eastAsia="Arial" w:hAnsi="Arial"/>
          <w:sz w:val="16"/>
          <w:szCs w:val="16"/>
          <w:color w:val="auto"/>
        </w:rPr>
        <w:t>302</w:t>
      </w:r>
      <w:r>
        <w:rPr>
          <w:rFonts w:ascii="Arial" w:cs="Arial" w:eastAsia="Arial" w:hAnsi="Arial"/>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Judgment is required in relation to:</w:t>
      </w:r>
    </w:p>
    <w:p>
      <w:pPr>
        <w:spacing w:after="0" w:line="324" w:lineRule="exact"/>
        <w:rPr>
          <w:sz w:val="20"/>
          <w:szCs w:val="20"/>
          <w:color w:val="auto"/>
        </w:rPr>
      </w:pPr>
    </w:p>
    <w:p>
      <w:pPr>
        <w:ind w:left="1400" w:hanging="525"/>
        <w:spacing w:after="0"/>
        <w:tabs>
          <w:tab w:leader="none" w:pos="14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classification of expenses in the income statement between research and development costs and operating expenses; and</w:t>
      </w:r>
    </w:p>
    <w:p>
      <w:pPr>
        <w:spacing w:after="0" w:line="24" w:lineRule="exact"/>
        <w:rPr>
          <w:rFonts w:ascii="Arial" w:cs="Arial" w:eastAsia="Arial" w:hAnsi="Arial"/>
          <w:sz w:val="17"/>
          <w:szCs w:val="17"/>
          <w:color w:val="auto"/>
        </w:rPr>
      </w:pPr>
    </w:p>
    <w:p>
      <w:pPr>
        <w:ind w:left="1400" w:hanging="525"/>
        <w:spacing w:after="0"/>
        <w:tabs>
          <w:tab w:leader="none" w:pos="14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Whether costs relate to R&amp;D, and consequently if they meet the capitalization criteria under AASB 138 “Intangible Assets.”</w:t>
      </w:r>
    </w:p>
    <w:p>
      <w:pPr>
        <w:spacing w:after="0" w:line="312" w:lineRule="exact"/>
        <w:rPr>
          <w:sz w:val="20"/>
          <w:szCs w:val="20"/>
          <w:color w:val="auto"/>
        </w:rPr>
      </w:pPr>
    </w:p>
    <w:p>
      <w:pPr>
        <w:ind w:firstLine="882"/>
        <w:spacing w:after="0" w:line="285" w:lineRule="auto"/>
        <w:rPr>
          <w:sz w:val="20"/>
          <w:szCs w:val="20"/>
          <w:color w:val="auto"/>
        </w:rPr>
      </w:pPr>
      <w:r>
        <w:rPr>
          <w:rFonts w:ascii="Arial" w:cs="Arial" w:eastAsia="Arial" w:hAnsi="Arial"/>
          <w:sz w:val="17"/>
          <w:szCs w:val="17"/>
          <w:color w:val="auto"/>
        </w:rPr>
        <w:t>The directors have determined that the Group is still in a research phase and accordingly, no development costs have been capitalized as of June 30, 2021, 2020 and 2019.</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w:t>
      </w:r>
    </w:p>
    <w:p>
      <w:pPr>
        <w:spacing w:after="0" w:line="324"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Research and development tax incentive</w:t>
      </w:r>
    </w:p>
    <w:p>
      <w:pPr>
        <w:spacing w:after="0" w:line="324" w:lineRule="exact"/>
        <w:rPr>
          <w:sz w:val="20"/>
          <w:szCs w:val="20"/>
          <w:color w:val="auto"/>
        </w:rPr>
      </w:pPr>
    </w:p>
    <w:p>
      <w:pPr>
        <w:ind w:firstLine="882"/>
        <w:spacing w:after="0" w:line="318" w:lineRule="auto"/>
        <w:rPr>
          <w:sz w:val="20"/>
          <w:szCs w:val="20"/>
          <w:color w:val="auto"/>
        </w:rPr>
      </w:pPr>
      <w:r>
        <w:rPr>
          <w:rFonts w:ascii="Arial" w:cs="Arial" w:eastAsia="Arial" w:hAnsi="Arial"/>
          <w:sz w:val="16"/>
          <w:szCs w:val="16"/>
          <w:color w:val="auto"/>
        </w:rPr>
        <w:t>The Research and Development (R&amp;D) Tax Incentive Scheme is an Australian Federal Government program under which eligible companies can receive cash refunds of 43.5% of eligible R&amp;D expenditure. Judgments are required as to the R&amp;D tax incentive refundable offset eligibility in respect of:</w:t>
      </w:r>
    </w:p>
    <w:p>
      <w:pPr>
        <w:spacing w:after="0" w:line="240" w:lineRule="exact"/>
        <w:rPr>
          <w:sz w:val="20"/>
          <w:szCs w:val="20"/>
          <w:color w:val="auto"/>
        </w:rPr>
      </w:pPr>
    </w:p>
    <w:p>
      <w:pPr>
        <w:ind w:left="1320" w:hanging="432"/>
        <w:spacing w:after="0"/>
        <w:tabs>
          <w:tab w:leader="none" w:pos="1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Group’s ability to make claims and its continued compliance under the scheme;</w:t>
      </w:r>
    </w:p>
    <w:p>
      <w:pPr>
        <w:spacing w:after="0" w:line="24" w:lineRule="exact"/>
        <w:rPr>
          <w:rFonts w:ascii="Arial" w:cs="Arial" w:eastAsia="Arial" w:hAnsi="Arial"/>
          <w:sz w:val="17"/>
          <w:szCs w:val="17"/>
          <w:color w:val="auto"/>
        </w:rPr>
      </w:pPr>
    </w:p>
    <w:p>
      <w:pPr>
        <w:ind w:left="1320" w:hanging="432"/>
        <w:spacing w:after="0"/>
        <w:tabs>
          <w:tab w:leader="none" w:pos="1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R&amp;D and other supporting costs previously approved by Australian tax authorities;</w:t>
      </w:r>
    </w:p>
    <w:p>
      <w:pPr>
        <w:spacing w:after="0" w:line="12" w:lineRule="exact"/>
        <w:rPr>
          <w:rFonts w:ascii="Arial" w:cs="Arial" w:eastAsia="Arial" w:hAnsi="Arial"/>
          <w:sz w:val="17"/>
          <w:szCs w:val="17"/>
          <w:color w:val="auto"/>
        </w:rPr>
      </w:pPr>
    </w:p>
    <w:p>
      <w:pPr>
        <w:ind w:left="1320" w:hanging="432"/>
        <w:spacing w:after="0" w:line="255" w:lineRule="auto"/>
        <w:tabs>
          <w:tab w:leader="none" w:pos="1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Estimated amounts, timing and geographical location of future costs related to the projects for which applications have been approved to date; and</w:t>
      </w:r>
    </w:p>
    <w:p>
      <w:pPr>
        <w:ind w:left="1320" w:hanging="432"/>
        <w:spacing w:after="0" w:line="270" w:lineRule="auto"/>
        <w:tabs>
          <w:tab w:leader="none" w:pos="13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Assessment of whether expenditure on projects for which approval has been given by Australian tax authorities relate to Australian or overseas expenditure.</w:t>
      </w:r>
    </w:p>
    <w:p>
      <w:pPr>
        <w:spacing w:after="0" w:line="275" w:lineRule="exact"/>
        <w:rPr>
          <w:sz w:val="20"/>
          <w:szCs w:val="20"/>
          <w:color w:val="auto"/>
        </w:rPr>
      </w:pPr>
    </w:p>
    <w:p>
      <w:pPr>
        <w:jc w:val="both"/>
        <w:ind w:firstLine="882"/>
        <w:spacing w:after="0" w:line="270" w:lineRule="auto"/>
        <w:rPr>
          <w:sz w:val="20"/>
          <w:szCs w:val="20"/>
          <w:color w:val="auto"/>
        </w:rPr>
      </w:pPr>
      <w:r>
        <w:rPr>
          <w:rFonts w:ascii="Arial" w:cs="Arial" w:eastAsia="Arial" w:hAnsi="Arial"/>
          <w:sz w:val="17"/>
          <w:szCs w:val="17"/>
          <w:color w:val="auto"/>
        </w:rPr>
        <w:t>For the years ended June 30, 2021, 2020 and 2019, the Group has recognized an R&amp;D tax incentive receivable of US$5.0 million and US$5.9 million respectively within the consolidated statement of financial position, with a corresponding amount recognized within income tax benefit within the consolidated statement of profit or loss and other comprehensive income.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jc w:val="both"/>
        <w:ind w:firstLine="882"/>
        <w:spacing w:after="0" w:line="270" w:lineRule="auto"/>
        <w:rPr>
          <w:sz w:val="20"/>
          <w:szCs w:val="20"/>
          <w:color w:val="auto"/>
        </w:rPr>
      </w:pPr>
      <w:r>
        <w:rPr>
          <w:rFonts w:ascii="Arial" w:cs="Arial" w:eastAsia="Arial" w:hAnsi="Arial"/>
          <w:sz w:val="17"/>
          <w:szCs w:val="17"/>
          <w:color w:val="auto"/>
        </w:rPr>
        <w:t>The R&amp;D tax incentive receivable as of June 30, 2021 and 2020 is based on the legislation as currently enacted as of June 30, 2021 and 2020, respectively. Any proposed changes to the legislation, such as rate changes to the eligibility requirements, may have a retrospective impact if the legislation is passed, currently no such legislative changes have occurred.</w:t>
      </w:r>
    </w:p>
    <w:p>
      <w:pPr>
        <w:spacing w:after="0" w:line="276" w:lineRule="exact"/>
        <w:rPr>
          <w:sz w:val="20"/>
          <w:szCs w:val="20"/>
          <w:color w:val="auto"/>
        </w:rPr>
      </w:pPr>
    </w:p>
    <w:p>
      <w:pPr>
        <w:jc w:val="both"/>
        <w:ind w:firstLine="882"/>
        <w:spacing w:after="0" w:line="295" w:lineRule="auto"/>
        <w:rPr>
          <w:sz w:val="20"/>
          <w:szCs w:val="20"/>
          <w:color w:val="auto"/>
        </w:rPr>
      </w:pPr>
      <w:r>
        <w:rPr>
          <w:rFonts w:ascii="Arial" w:cs="Arial" w:eastAsia="Arial" w:hAnsi="Arial"/>
          <w:sz w:val="15"/>
          <w:szCs w:val="15"/>
          <w:color w:val="auto"/>
        </w:rPr>
        <w:t>Investment tax credits such as the R&amp;D tax incentive are outside of the scope of IAS 12 “</w:t>
      </w:r>
      <w:r>
        <w:rPr>
          <w:rFonts w:ascii="Arial" w:cs="Arial" w:eastAsia="Arial" w:hAnsi="Arial"/>
          <w:sz w:val="15"/>
          <w:szCs w:val="15"/>
          <w:i w:val="1"/>
          <w:iCs w:val="1"/>
          <w:color w:val="auto"/>
        </w:rPr>
        <w:t>Income Taxes</w:t>
      </w:r>
      <w:r>
        <w:rPr>
          <w:rFonts w:ascii="Arial" w:cs="Arial" w:eastAsia="Arial" w:hAnsi="Arial"/>
          <w:sz w:val="15"/>
          <w:szCs w:val="15"/>
          <w:color w:val="auto"/>
        </w:rPr>
        <w:t>” and IAS 20 “</w:t>
      </w:r>
      <w:r>
        <w:rPr>
          <w:rFonts w:ascii="Arial" w:cs="Arial" w:eastAsia="Arial" w:hAnsi="Arial"/>
          <w:sz w:val="15"/>
          <w:szCs w:val="15"/>
          <w:i w:val="1"/>
          <w:iCs w:val="1"/>
          <w:color w:val="auto"/>
        </w:rPr>
        <w:t>Accounting for Government</w:t>
      </w:r>
      <w:r>
        <w:rPr>
          <w:rFonts w:ascii="Arial" w:cs="Arial" w:eastAsia="Arial" w:hAnsi="Arial"/>
          <w:sz w:val="15"/>
          <w:szCs w:val="15"/>
          <w:color w:val="auto"/>
        </w:rPr>
        <w:t xml:space="preserve"> </w:t>
      </w:r>
      <w:r>
        <w:rPr>
          <w:rFonts w:ascii="Arial" w:cs="Arial" w:eastAsia="Arial" w:hAnsi="Arial"/>
          <w:sz w:val="15"/>
          <w:szCs w:val="15"/>
          <w:i w:val="1"/>
          <w:iCs w:val="1"/>
          <w:color w:val="auto"/>
        </w:rPr>
        <w:t>Grants and Disclosure of Government Assistance</w:t>
      </w:r>
      <w:r>
        <w:rPr>
          <w:rFonts w:ascii="Arial" w:cs="Arial" w:eastAsia="Arial" w:hAnsi="Arial"/>
          <w:sz w:val="15"/>
          <w:szCs w:val="15"/>
          <w:color w:val="auto"/>
        </w:rPr>
        <w:t>.” Based on the guidance in IAS 8 “Accounting Policies, Changes in Accounting Estimates and Errors,”</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need to make an accounting policy choice on how to present these incentives, which in practice is done by either analogizing with IAS 12 or with IAS</w:t>
      </w:r>
    </w:p>
    <w:p>
      <w:pPr>
        <w:ind w:firstLine="4"/>
        <w:spacing w:after="0" w:line="270" w:lineRule="auto"/>
        <w:tabs>
          <w:tab w:leader="none" w:pos="273"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the Group’s opinion, the R&amp;D tax incentive should be presented by analogizing to IAS 12 because the nature of the incentive is considered to be more closely aligned to income taxes, based on the following considerations:</w:t>
      </w:r>
    </w:p>
    <w:p>
      <w:pPr>
        <w:spacing w:after="0" w:line="275" w:lineRule="exact"/>
        <w:rPr>
          <w:rFonts w:ascii="Arial" w:cs="Arial" w:eastAsia="Arial" w:hAnsi="Arial"/>
          <w:sz w:val="17"/>
          <w:szCs w:val="17"/>
          <w:color w:val="auto"/>
        </w:rPr>
      </w:pPr>
    </w:p>
    <w:p>
      <w:pPr>
        <w:jc w:val="both"/>
        <w:ind w:left="1320" w:hanging="432"/>
        <w:spacing w:after="0" w:line="211" w:lineRule="exact"/>
        <w:tabs>
          <w:tab w:leader="none" w:pos="13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R&amp;D tax incentive is considered an income tax offset which will be offset against the Group’s tax obligation if and when the Group returns to a net tax payable position. In addition, whilst the Group is currently eligible to receive cash payments under the scheme since its consolidated revenue is currently below A$20 million, if and when the Group generates revenue in excess of A$20 million the R&amp;D tax incentive will become non</w:t>
      </w:r>
      <w:r>
        <w:rPr>
          <w:rFonts w:ascii="MS PGothic" w:cs="MS PGothic" w:eastAsia="MS PGothic" w:hAnsi="MS PGothic"/>
          <w:sz w:val="16"/>
          <w:szCs w:val="16"/>
          <w:color w:val="auto"/>
        </w:rPr>
        <w:t>‑</w:t>
      </w:r>
      <w:r>
        <w:rPr>
          <w:rFonts w:ascii="Arial" w:cs="Arial" w:eastAsia="Arial" w:hAnsi="Arial"/>
          <w:sz w:val="16"/>
          <w:szCs w:val="16"/>
          <w:color w:val="auto"/>
        </w:rPr>
        <w:t>refundable and can only be offset against any future income tax payable by the Group.</w:t>
      </w:r>
    </w:p>
    <w:p>
      <w:pPr>
        <w:ind w:left="1320" w:hanging="432"/>
        <w:spacing w:after="0" w:line="255" w:lineRule="auto"/>
        <w:tabs>
          <w:tab w:leader="none" w:pos="13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ATO, which is the tax authority in Australia, manages the annual claims process as the R&amp;D tax incentive is included in the Group’s annual income tax return.</w:t>
      </w:r>
    </w:p>
    <w:p>
      <w:pPr>
        <w:ind w:left="1320" w:hanging="432"/>
        <w:spacing w:after="0" w:line="208" w:lineRule="exact"/>
        <w:tabs>
          <w:tab w:leader="none" w:pos="13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ATO is also responsible for making the R&amp;D tax incentive cash payment if a company is eligible for a cash refund under the program, oversees compliance with the requirements of the R&amp;D tax incentive scheme and performs pre</w:t>
      </w:r>
      <w:r>
        <w:rPr>
          <w:rFonts w:ascii="MS PGothic" w:cs="MS PGothic" w:eastAsia="MS PGothic" w:hAnsi="MS PGothic"/>
          <w:sz w:val="17"/>
          <w:szCs w:val="17"/>
          <w:color w:val="auto"/>
        </w:rPr>
        <w:t>‑</w:t>
      </w:r>
      <w:r>
        <w:rPr>
          <w:rFonts w:ascii="Arial" w:cs="Arial" w:eastAsia="Arial" w:hAnsi="Arial"/>
          <w:sz w:val="17"/>
          <w:szCs w:val="17"/>
          <w:color w:val="auto"/>
        </w:rPr>
        <w:t>issuance reviews.</w:t>
      </w:r>
    </w:p>
    <w:p>
      <w:pPr>
        <w:spacing w:after="0" w:line="300"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Income tax</w:t>
      </w:r>
    </w:p>
    <w:p>
      <w:pPr>
        <w:spacing w:after="0" w:line="324" w:lineRule="exact"/>
        <w:rPr>
          <w:sz w:val="20"/>
          <w:szCs w:val="20"/>
          <w:color w:val="auto"/>
        </w:rPr>
      </w:pPr>
    </w:p>
    <w:p>
      <w:pPr>
        <w:jc w:val="both"/>
        <w:ind w:firstLine="882"/>
        <w:spacing w:after="0" w:line="294" w:lineRule="auto"/>
        <w:rPr>
          <w:sz w:val="20"/>
          <w:szCs w:val="20"/>
          <w:color w:val="auto"/>
        </w:rPr>
      </w:pPr>
      <w:r>
        <w:rPr>
          <w:rFonts w:ascii="Arial" w:cs="Arial" w:eastAsia="Arial" w:hAnsi="Arial"/>
          <w:sz w:val="16"/>
          <w:szCs w:val="16"/>
          <w:color w:val="auto"/>
        </w:rPr>
        <w:t>The Group’s accounting policy for taxation requires judgments as to the differences between tax and accounting treatments of income and costs recognized in the consolidated statement of profit or loss and other comprehensive income. Judgment is also required in assessing whether deferred tax assets and liabilities are recognized in the statement of financial position and if accumulated income tax losses can be used to offset potential future tax profits.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Functional currency</w:t>
      </w:r>
    </w:p>
    <w:p>
      <w:pPr>
        <w:spacing w:after="0" w:line="3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Effective January 1, 2021 the Group’s functional and presentation currency changed from Australian dollars to U.S. dollars as disclosed in Note 3.</w:t>
      </w:r>
    </w:p>
    <w:p>
      <w:pPr>
        <w:spacing w:after="0" w:line="336" w:lineRule="exact"/>
        <w:rPr>
          <w:sz w:val="20"/>
          <w:szCs w:val="20"/>
          <w:color w:val="auto"/>
        </w:rPr>
      </w:pPr>
    </w:p>
    <w:p>
      <w:pPr>
        <w:jc w:val="both"/>
        <w:ind w:firstLine="882"/>
        <w:spacing w:after="0" w:line="285" w:lineRule="auto"/>
        <w:rPr>
          <w:sz w:val="20"/>
          <w:szCs w:val="20"/>
          <w:color w:val="auto"/>
        </w:rPr>
      </w:pPr>
      <w:r>
        <w:rPr>
          <w:rFonts w:ascii="Arial" w:cs="Arial" w:eastAsia="Arial" w:hAnsi="Arial"/>
          <w:sz w:val="17"/>
          <w:szCs w:val="17"/>
          <w:color w:val="auto"/>
        </w:rPr>
        <w:t>The Group’s assets, liabilities and equity which were previously denominated in Australian dollars were translated into U.S. dollars on the date the functional currency changed.</w:t>
      </w:r>
    </w:p>
    <w:p>
      <w:pPr>
        <w:spacing w:after="0" w:line="263" w:lineRule="exact"/>
        <w:rPr>
          <w:sz w:val="20"/>
          <w:szCs w:val="20"/>
          <w:color w:val="auto"/>
        </w:rPr>
      </w:pPr>
    </w:p>
    <w:p>
      <w:pPr>
        <w:jc w:val="both"/>
        <w:ind w:firstLine="882"/>
        <w:spacing w:after="0" w:line="318" w:lineRule="auto"/>
        <w:rPr>
          <w:sz w:val="20"/>
          <w:szCs w:val="20"/>
          <w:color w:val="auto"/>
        </w:rPr>
      </w:pPr>
      <w:r>
        <w:rPr>
          <w:rFonts w:ascii="Arial" w:cs="Arial" w:eastAsia="Arial" w:hAnsi="Arial"/>
          <w:sz w:val="16"/>
          <w:szCs w:val="16"/>
          <w:color w:val="auto"/>
        </w:rPr>
        <w:t>Significant judgment is required in determining the currency of the primary economic environment in which the Group operates, which requires an evaluation of various indicators related to the Group’s underlying transactions, events and conditions as they relate to generating and expending cash.</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4.2 Key sources of estimation uncertainty</w:t>
      </w:r>
    </w:p>
    <w:p>
      <w:pPr>
        <w:spacing w:after="0" w:line="330" w:lineRule="exact"/>
        <w:rPr>
          <w:sz w:val="20"/>
          <w:szCs w:val="20"/>
          <w:color w:val="auto"/>
        </w:rPr>
      </w:pPr>
    </w:p>
    <w:p>
      <w:pPr>
        <w:spacing w:after="0" w:line="196" w:lineRule="exact"/>
        <w:rPr>
          <w:sz w:val="20"/>
          <w:szCs w:val="20"/>
          <w:color w:val="auto"/>
        </w:rPr>
      </w:pP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 transactions</w:t>
      </w:r>
    </w:p>
    <w:p>
      <w:pPr>
        <w:spacing w:after="0" w:line="116" w:lineRule="exact"/>
        <w:rPr>
          <w:sz w:val="20"/>
          <w:szCs w:val="20"/>
          <w:color w:val="auto"/>
        </w:rPr>
      </w:pPr>
    </w:p>
    <w:p>
      <w:pPr>
        <w:jc w:val="both"/>
        <w:ind w:firstLine="896"/>
        <w:spacing w:after="0" w:line="211" w:lineRule="exact"/>
        <w:rPr>
          <w:sz w:val="20"/>
          <w:szCs w:val="20"/>
          <w:color w:val="auto"/>
        </w:rPr>
      </w:pPr>
      <w:r>
        <w:rPr>
          <w:rFonts w:ascii="Arial" w:cs="Arial" w:eastAsia="Arial" w:hAnsi="Arial"/>
          <w:sz w:val="17"/>
          <w:szCs w:val="17"/>
          <w:color w:val="auto"/>
        </w:rPr>
        <w:t>The Group measures the cost of equity</w:t>
      </w:r>
      <w:r>
        <w:rPr>
          <w:rFonts w:ascii="MS PGothic" w:cs="MS PGothic" w:eastAsia="MS PGothic" w:hAnsi="MS PGothic"/>
          <w:sz w:val="17"/>
          <w:szCs w:val="17"/>
          <w:color w:val="auto"/>
        </w:rPr>
        <w:t>‑</w:t>
      </w:r>
      <w:r>
        <w:rPr>
          <w:rFonts w:ascii="Arial" w:cs="Arial" w:eastAsia="Arial" w:hAnsi="Arial"/>
          <w:sz w:val="17"/>
          <w:szCs w:val="17"/>
          <w:color w:val="auto"/>
        </w:rPr>
        <w:t>settled transactions with employees by reference to the fair value of the equity instruments at the date at which they are granted. Fair values are determined internally using Binomial models. The related assumptions are detailed in note 31. The accounting estimates and assumptions relating to equity</w:t>
      </w:r>
      <w:r>
        <w:rPr>
          <w:rFonts w:ascii="MS PGothic" w:cs="MS PGothic" w:eastAsia="MS PGothic" w:hAnsi="MS PGothic"/>
          <w:sz w:val="17"/>
          <w:szCs w:val="17"/>
          <w:color w:val="auto"/>
        </w:rPr>
        <w:t>‑</w:t>
      </w:r>
      <w:r>
        <w:rPr>
          <w:rFonts w:ascii="Arial" w:cs="Arial" w:eastAsia="Arial" w:hAnsi="Arial"/>
          <w:sz w:val="17"/>
          <w:szCs w:val="17"/>
          <w:color w:val="auto"/>
        </w:rPr>
        <w:t>settled share</w:t>
      </w:r>
      <w:r>
        <w:rPr>
          <w:rFonts w:ascii="MS PGothic" w:cs="MS PGothic" w:eastAsia="MS PGothic" w:hAnsi="MS PGothic"/>
          <w:sz w:val="17"/>
          <w:szCs w:val="17"/>
          <w:color w:val="auto"/>
        </w:rPr>
        <w:t>‑</w:t>
      </w:r>
      <w:r>
        <w:rPr>
          <w:rFonts w:ascii="Arial" w:cs="Arial" w:eastAsia="Arial" w:hAnsi="Arial"/>
          <w:sz w:val="17"/>
          <w:szCs w:val="17"/>
          <w:color w:val="auto"/>
        </w:rPr>
        <w:t>based payments have no impact on the carrying amounts of assets and liabilities in future reporting periods but may impact expenses and equity. Should one or more of the assumptions and estimates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center"/>
        <w:ind w:right="100"/>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12" w:lineRule="exact"/>
        <w:rPr>
          <w:sz w:val="20"/>
          <w:szCs w:val="20"/>
          <w:color w:val="auto"/>
        </w:rPr>
      </w:pPr>
    </w:p>
    <w:p>
      <w:pPr>
        <w:ind w:right="100"/>
        <w:spacing w:after="0" w:line="214" w:lineRule="exact"/>
        <w:rPr>
          <w:sz w:val="20"/>
          <w:szCs w:val="20"/>
          <w:color w:val="auto"/>
        </w:rPr>
      </w:pPr>
      <w:r>
        <w:rPr>
          <w:rFonts w:ascii="Arial" w:cs="Arial" w:eastAsia="Arial" w:hAnsi="Arial"/>
          <w:sz w:val="17"/>
          <w:szCs w:val="17"/>
          <w:color w:val="auto"/>
        </w:rPr>
        <w:t>used in estimating the fair value of share</w:t>
      </w:r>
      <w:r>
        <w:rPr>
          <w:rFonts w:ascii="MS PGothic" w:cs="MS PGothic" w:eastAsia="MS PGothic" w:hAnsi="MS PGothic"/>
          <w:sz w:val="17"/>
          <w:szCs w:val="17"/>
          <w:color w:val="auto"/>
        </w:rPr>
        <w:t>‑</w:t>
      </w:r>
      <w:r>
        <w:rPr>
          <w:rFonts w:ascii="Arial" w:cs="Arial" w:eastAsia="Arial" w:hAnsi="Arial"/>
          <w:sz w:val="17"/>
          <w:szCs w:val="17"/>
          <w:color w:val="auto"/>
        </w:rPr>
        <w:t>based payments change, this could have a material impact on the amounts recognized in equity and employee</w:t>
      </w:r>
      <w:r>
        <w:rPr>
          <w:rFonts w:ascii="MS PGothic" w:cs="MS PGothic" w:eastAsia="MS PGothic" w:hAnsi="MS PGothic"/>
          <w:sz w:val="17"/>
          <w:szCs w:val="17"/>
          <w:color w:val="auto"/>
        </w:rPr>
        <w:t>‑</w:t>
      </w:r>
      <w:r>
        <w:rPr>
          <w:rFonts w:ascii="Arial" w:cs="Arial" w:eastAsia="Arial" w:hAnsi="Arial"/>
          <w:sz w:val="17"/>
          <w:szCs w:val="17"/>
          <w:color w:val="auto"/>
        </w:rPr>
        <w:t>related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Application of New and Revised Accounting Standards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and amended Accounting Standards that are effective for the current year</w:t>
      </w:r>
    </w:p>
    <w:p>
      <w:pPr>
        <w:spacing w:after="0" w:line="116" w:lineRule="exact"/>
        <w:rPr>
          <w:sz w:val="20"/>
          <w:szCs w:val="20"/>
          <w:color w:val="auto"/>
        </w:rPr>
      </w:pPr>
    </w:p>
    <w:p>
      <w:pPr>
        <w:ind w:right="100" w:firstLine="610"/>
        <w:spacing w:after="0" w:line="285" w:lineRule="auto"/>
        <w:rPr>
          <w:sz w:val="20"/>
          <w:szCs w:val="20"/>
          <w:color w:val="auto"/>
        </w:rPr>
      </w:pPr>
      <w:r>
        <w:rPr>
          <w:rFonts w:ascii="Arial" w:cs="Arial" w:eastAsia="Arial" w:hAnsi="Arial"/>
          <w:sz w:val="17"/>
          <w:szCs w:val="17"/>
          <w:color w:val="auto"/>
        </w:rPr>
        <w:t>The Group has adopted all of the new and revised Standards and Interpretations issued by the International Accounting Standards Board (the IASB) that are relevant to its operations and effective for the current year.</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New and revised Standards and amendments thereof and Interpretations effective for the current year that are relevant to the Group include:</w:t>
      </w:r>
    </w:p>
    <w:p>
      <w:pPr>
        <w:spacing w:after="0" w:line="116" w:lineRule="exact"/>
        <w:rPr>
          <w:sz w:val="20"/>
          <w:szCs w:val="20"/>
          <w:color w:val="auto"/>
        </w:rPr>
      </w:pPr>
    </w:p>
    <w:p>
      <w:pPr>
        <w:ind w:left="1320" w:hanging="432"/>
        <w:spacing w:after="0" w:line="196" w:lineRule="exact"/>
        <w:tabs>
          <w:tab w:leader="none" w:pos="13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International Financial Reporting Standard Definition of Material (Amendments to IAS 1 and IAS </w:t>
      </w:r>
      <w:r>
        <w:rPr>
          <w:rFonts w:ascii="MS PGothic" w:cs="MS PGothic" w:eastAsia="MS PGothic" w:hAnsi="MS PGothic"/>
          <w:sz w:val="17"/>
          <w:szCs w:val="17"/>
          <w:color w:val="auto"/>
        </w:rPr>
        <w:t>‑</w:t>
      </w:r>
      <w:r>
        <w:rPr>
          <w:rFonts w:ascii="Arial" w:cs="Arial" w:eastAsia="Arial" w:hAnsi="Arial"/>
          <w:sz w:val="17"/>
          <w:szCs w:val="17"/>
          <w:color w:val="auto"/>
        </w:rPr>
        <w:t>8)</w:t>
      </w:r>
    </w:p>
    <w:p>
      <w:pPr>
        <w:spacing w:after="0" w:line="24" w:lineRule="exact"/>
        <w:rPr>
          <w:rFonts w:ascii="Arial" w:cs="Arial" w:eastAsia="Arial" w:hAnsi="Arial"/>
          <w:sz w:val="17"/>
          <w:szCs w:val="17"/>
          <w:color w:val="auto"/>
        </w:rPr>
      </w:pPr>
    </w:p>
    <w:p>
      <w:pPr>
        <w:ind w:left="1320" w:hanging="432"/>
        <w:spacing w:after="0"/>
        <w:tabs>
          <w:tab w:leader="none" w:pos="13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International Financial Reporting Standard Amendments to Conceptual Framework (IAS 1 and IAS 8)</w:t>
      </w:r>
    </w:p>
    <w:p>
      <w:pPr>
        <w:spacing w:after="0" w:line="104" w:lineRule="exact"/>
        <w:rPr>
          <w:sz w:val="20"/>
          <w:szCs w:val="20"/>
          <w:color w:val="auto"/>
        </w:rPr>
      </w:pPr>
    </w:p>
    <w:p>
      <w:pPr>
        <w:jc w:val="both"/>
        <w:ind w:right="100" w:firstLine="896"/>
        <w:spacing w:after="0" w:line="270" w:lineRule="auto"/>
        <w:rPr>
          <w:sz w:val="20"/>
          <w:szCs w:val="20"/>
          <w:color w:val="auto"/>
        </w:rPr>
      </w:pPr>
      <w:r>
        <w:rPr>
          <w:rFonts w:ascii="Arial" w:cs="Arial" w:eastAsia="Arial" w:hAnsi="Arial"/>
          <w:sz w:val="17"/>
          <w:szCs w:val="17"/>
          <w:color w:val="auto"/>
        </w:rPr>
        <w:t>In the current year, the Group has applied a number of amendments to International Financial Reporting Standards and Interpretations issued by the International Accounting Standards Board (IASB) that are effective for an annual period that begins on or after July 1, 2020. Their adoption has not had any material impact on the disclosures or on the amounts reported in these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and revised International Accounting Standards and Interpretations on issue but not yet effective</w:t>
      </w:r>
    </w:p>
    <w:p>
      <w:pPr>
        <w:spacing w:after="0" w:line="116" w:lineRule="exact"/>
        <w:rPr>
          <w:sz w:val="20"/>
          <w:szCs w:val="20"/>
          <w:color w:val="auto"/>
        </w:rPr>
      </w:pPr>
    </w:p>
    <w:p>
      <w:pPr>
        <w:jc w:val="both"/>
        <w:ind w:right="100" w:firstLine="896"/>
        <w:spacing w:after="0" w:line="285" w:lineRule="auto"/>
        <w:rPr>
          <w:sz w:val="20"/>
          <w:szCs w:val="20"/>
          <w:color w:val="auto"/>
        </w:rPr>
      </w:pPr>
      <w:r>
        <w:rPr>
          <w:rFonts w:ascii="Arial" w:cs="Arial" w:eastAsia="Arial" w:hAnsi="Arial"/>
          <w:sz w:val="17"/>
          <w:szCs w:val="17"/>
          <w:color w:val="auto"/>
        </w:rPr>
        <w:t>At the date of authorization of the financial statements, the Group has not applied the following new and revised International Accounting Standards, Interpretations and amendments that have been issued but are not yet effective:</w:t>
      </w:r>
    </w:p>
    <w:p>
      <w:pPr>
        <w:sectPr>
          <w:pgSz w:w="11900" w:h="16838" w:orient="portrait"/>
          <w:cols w:equalWidth="0" w:num="1">
            <w:col w:w="11340"/>
          </w:cols>
          <w:pgMar w:left="320" w:top="121" w:right="239" w:bottom="566"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Standard/amendments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IFRS 1, IAS 12</w:t>
      </w:r>
      <w:r>
        <w:rPr>
          <w:rFonts w:ascii="Arial" w:cs="Arial" w:eastAsia="Arial" w:hAnsi="Arial"/>
          <w:sz w:val="17"/>
          <w:szCs w:val="17"/>
          <w:i w:val="1"/>
          <w:i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Tax related to</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arising from a Single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IAS 8</w:t>
      </w:r>
      <w:r>
        <w:rPr>
          <w:rFonts w:ascii="Arial" w:cs="Arial" w:eastAsia="Arial" w:hAnsi="Arial"/>
          <w:sz w:val="17"/>
          <w:szCs w:val="17"/>
          <w:i w:val="1"/>
          <w:iCs w:val="1"/>
          <w:color w:val="auto"/>
        </w:rPr>
        <w:t>– Disclosure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Policies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and Definition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Estimates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IFRS 10 and IAS 28 </w:t>
      </w:r>
      <w:r>
        <w:rPr>
          <w:rFonts w:ascii="Arial" w:cs="Arial" w:eastAsia="Arial" w:hAnsi="Arial"/>
          <w:sz w:val="17"/>
          <w:szCs w:val="17"/>
          <w:i w:val="1"/>
          <w:iCs w:val="1"/>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 Date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Amendments to </w:t>
      </w:r>
      <w:r>
        <w:rPr>
          <w:rFonts w:ascii="Arial" w:cs="Arial" w:eastAsia="Arial" w:hAnsi="Arial"/>
          <w:sz w:val="17"/>
          <w:szCs w:val="17"/>
          <w:color w:val="auto"/>
        </w:rPr>
        <w:t>IFRS 10</w:t>
      </w:r>
    </w:p>
    <w:p>
      <w:pPr>
        <w:spacing w:after="0" w:line="12" w:lineRule="exact"/>
        <w:rPr>
          <w:sz w:val="20"/>
          <w:szCs w:val="20"/>
          <w:color w:val="auto"/>
        </w:rPr>
      </w:pPr>
    </w:p>
    <w:p>
      <w:pPr>
        <w:ind w:right="1420"/>
        <w:spacing w:after="0" w:line="192" w:lineRule="auto"/>
        <w:rPr>
          <w:sz w:val="20"/>
          <w:szCs w:val="20"/>
          <w:color w:val="auto"/>
        </w:rPr>
      </w:pPr>
      <w:r>
        <w:rPr>
          <w:rFonts w:ascii="Arial" w:cs="Arial" w:eastAsia="Arial" w:hAnsi="Arial"/>
          <w:sz w:val="16"/>
          <w:szCs w:val="16"/>
          <w:i w:val="1"/>
          <w:iCs w:val="1"/>
          <w:color w:val="auto"/>
        </w:rPr>
        <w:t xml:space="preserve">and </w:t>
      </w:r>
      <w:r>
        <w:rPr>
          <w:rFonts w:ascii="Arial" w:cs="Arial" w:eastAsia="Arial" w:hAnsi="Arial"/>
          <w:sz w:val="16"/>
          <w:szCs w:val="16"/>
          <w:color w:val="auto"/>
        </w:rPr>
        <w:t>IAS 28</w:t>
      </w:r>
      <w:r>
        <w:rPr>
          <w:rFonts w:ascii="Arial" w:cs="Arial" w:eastAsia="Arial" w:hAnsi="Arial"/>
          <w:sz w:val="16"/>
          <w:szCs w:val="16"/>
          <w:i w:val="1"/>
          <w:iCs w:val="1"/>
          <w:color w:val="auto"/>
        </w:rPr>
        <w:t xml:space="preserve">– Effective </w:t>
      </w:r>
      <w:r>
        <w:rPr>
          <w:rFonts w:ascii="Arial" w:cs="Arial" w:eastAsia="Arial" w:hAnsi="Arial"/>
          <w:sz w:val="29"/>
          <w:szCs w:val="29"/>
          <w:color w:val="auto"/>
          <w:vertAlign w:val="subscript"/>
        </w:rPr>
        <w:t>1,2023</w:t>
      </w:r>
      <w:r>
        <w:rPr>
          <w:rFonts w:ascii="Arial" w:cs="Arial" w:eastAsia="Arial" w:hAnsi="Arial"/>
          <w:sz w:val="16"/>
          <w:szCs w:val="16"/>
          <w:i w:val="1"/>
          <w:iCs w:val="1"/>
          <w:color w:val="auto"/>
        </w:rPr>
        <w:t xml:space="preserve"> Date of Amendments to</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IFRS 10 </w:t>
      </w:r>
      <w:r>
        <w:rPr>
          <w:rFonts w:ascii="Arial" w:cs="Arial" w:eastAsia="Arial" w:hAnsi="Arial"/>
          <w:sz w:val="17"/>
          <w:szCs w:val="17"/>
          <w:i w:val="1"/>
          <w:iCs w:val="1"/>
          <w:color w:val="auto"/>
        </w:rPr>
        <w:t>and</w:t>
      </w:r>
      <w:r>
        <w:rPr>
          <w:rFonts w:ascii="Arial" w:cs="Arial" w:eastAsia="Arial" w:hAnsi="Arial"/>
          <w:sz w:val="17"/>
          <w:szCs w:val="17"/>
          <w:color w:val="auto"/>
        </w:rPr>
        <w:t xml:space="preserve"> IAS 28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and Editorial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Corrections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IAS 1 </w:t>
      </w:r>
      <w:r>
        <w:rPr>
          <w:rFonts w:ascii="Arial" w:cs="Arial" w:eastAsia="Arial" w:hAnsi="Arial"/>
          <w:sz w:val="17"/>
          <w:szCs w:val="17"/>
          <w:i w:val="1"/>
          <w:iCs w:val="1"/>
          <w:color w:val="auto"/>
        </w:rPr>
        <w:t>– Classification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 Liabilities as Current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 Non-Current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IAS 1</w:t>
      </w:r>
      <w:r>
        <w:rPr>
          <w:rFonts w:ascii="Arial" w:cs="Arial" w:eastAsia="Arial" w:hAnsi="Arial"/>
          <w:sz w:val="17"/>
          <w:szCs w:val="17"/>
          <w:i w:val="1"/>
          <w:iCs w:val="1"/>
          <w:color w:val="auto"/>
        </w:rPr>
        <w:t>– Classification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Liabilities as Current or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Non-Current – Deferral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 Effective Date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IFRS 16, IFRS 9, IFRS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 and IAS 41 </w:t>
      </w:r>
      <w:r>
        <w:rPr>
          <w:rFonts w:ascii="Arial" w:cs="Arial" w:eastAsia="Arial" w:hAnsi="Arial"/>
          <w:sz w:val="17"/>
          <w:szCs w:val="17"/>
          <w:i w:val="1"/>
          <w:iCs w:val="1"/>
          <w:color w:val="auto"/>
        </w:rPr>
        <w:t>– Annual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Improvements 2018-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 and Other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Amendments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IFRS 16 </w:t>
      </w:r>
      <w:r>
        <w:rPr>
          <w:rFonts w:ascii="Arial" w:cs="Arial" w:eastAsia="Arial" w:hAnsi="Arial"/>
          <w:sz w:val="17"/>
          <w:szCs w:val="17"/>
          <w:i w:val="1"/>
          <w:iCs w:val="1"/>
          <w:color w:val="auto"/>
        </w:rPr>
        <w:t>Related Rent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Concessions beyond 30</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June 2021 Amendment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 IFRS16</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Effective for annual reporting periods beginning on or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-120015</wp:posOffset>
            </wp:positionV>
            <wp:extent cx="7198360" cy="140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98360" cy="1403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280035</wp:posOffset>
            </wp:positionV>
            <wp:extent cx="7198360" cy="536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98360" cy="53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(Editorial</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correction apply from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337820</wp:posOffset>
            </wp:positionV>
            <wp:extent cx="7198360" cy="404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98360" cy="40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1,2023</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213995</wp:posOffset>
            </wp:positionV>
            <wp:extent cx="7198360" cy="668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983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January 1,2023</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June 1, 2021</w:t>
      </w:r>
    </w:p>
    <w:p>
      <w:pPr>
        <w:spacing w:after="0" w:line="428" w:lineRule="exact"/>
        <w:rPr>
          <w:sz w:val="20"/>
          <w:szCs w:val="20"/>
          <w:color w:val="auto"/>
        </w:rPr>
      </w:pPr>
    </w:p>
    <w:p>
      <w:pPr>
        <w:sectPr>
          <w:pgSz w:w="11900" w:h="16838" w:orient="portrait"/>
          <w:cols w:equalWidth="0" w:num="2">
            <w:col w:w="3600" w:space="720"/>
            <w:col w:w="7020"/>
          </w:cols>
          <w:pgMar w:left="320" w:top="121" w:right="239" w:bottom="566" w:gutter="0" w:footer="0" w:header="0"/>
          <w:type w:val="continuous"/>
        </w:sectPr>
      </w:pPr>
    </w:p>
    <w:p>
      <w:pPr>
        <w:ind w:right="100" w:firstLine="896"/>
        <w:spacing w:after="0" w:line="285" w:lineRule="auto"/>
        <w:rPr>
          <w:sz w:val="20"/>
          <w:szCs w:val="20"/>
          <w:color w:val="auto"/>
        </w:rPr>
      </w:pPr>
      <w:r>
        <w:rPr>
          <w:rFonts w:ascii="Arial" w:cs="Arial" w:eastAsia="Arial" w:hAnsi="Arial"/>
          <w:sz w:val="17"/>
          <w:szCs w:val="17"/>
          <w:color w:val="auto"/>
        </w:rPr>
        <w:t>The new and revised Accounting Standards, Interpretations and amendments listed above are not expected to have a material impact on the amounts recognized or disclosures included in the Group’s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Segment Information</w:t>
      </w:r>
    </w:p>
    <w:p>
      <w:pPr>
        <w:spacing w:after="0" w:line="330" w:lineRule="exact"/>
        <w:rPr>
          <w:sz w:val="20"/>
          <w:szCs w:val="20"/>
          <w:color w:val="auto"/>
        </w:rPr>
      </w:pPr>
    </w:p>
    <w:p>
      <w:pPr>
        <w:ind w:right="100" w:firstLine="610"/>
        <w:spacing w:after="0" w:line="285" w:lineRule="auto"/>
        <w:rPr>
          <w:sz w:val="20"/>
          <w:szCs w:val="20"/>
          <w:color w:val="auto"/>
        </w:rPr>
      </w:pPr>
      <w:r>
        <w:rPr>
          <w:rFonts w:ascii="Arial" w:cs="Arial" w:eastAsia="Arial" w:hAnsi="Arial"/>
          <w:sz w:val="17"/>
          <w:szCs w:val="17"/>
          <w:color w:val="auto"/>
        </w:rPr>
        <w:t>The Group operates in one industry and one geographical area, those being the biotechnology and healthcare industry and Australia (as the U.S subsidiary was only incorporated in May 2021 and currently has no transactions or contracts with customers), respectively.</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Group is focused primarily on developing a novel therapy for the treatment of highly prevalent and progressive retinal diseases.</w:t>
      </w:r>
    </w:p>
    <w:p>
      <w:pPr>
        <w:spacing w:after="0" w:line="116" w:lineRule="exact"/>
        <w:rPr>
          <w:sz w:val="20"/>
          <w:szCs w:val="20"/>
          <w:color w:val="auto"/>
        </w:rPr>
      </w:pPr>
    </w:p>
    <w:p>
      <w:pPr>
        <w:ind w:right="100" w:firstLine="610"/>
        <w:spacing w:after="0" w:line="285" w:lineRule="auto"/>
        <w:rPr>
          <w:sz w:val="20"/>
          <w:szCs w:val="20"/>
          <w:color w:val="auto"/>
        </w:rPr>
      </w:pPr>
      <w:r>
        <w:rPr>
          <w:rFonts w:ascii="Arial" w:cs="Arial" w:eastAsia="Arial" w:hAnsi="Arial"/>
          <w:sz w:val="17"/>
          <w:szCs w:val="17"/>
          <w:color w:val="auto"/>
        </w:rPr>
        <w:t>The chief executive officer regularly reviews entity wide information that is compliant with International Financial Reporting Standards. There is only one segment for segment reporting purposes, and the information</w:t>
      </w:r>
    </w:p>
    <w:p>
      <w:pPr>
        <w:spacing w:after="0" w:line="15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566"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1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reviewed by the chief executive officer for the purpose of resources allocation and performance assessment is the same as the information presented in the consolidated financial statements.</w:t>
      </w:r>
    </w:p>
    <w:p>
      <w:pPr>
        <w:spacing w:after="0" w:line="159" w:lineRule="exact"/>
        <w:rPr>
          <w:sz w:val="20"/>
          <w:szCs w:val="20"/>
          <w:color w:val="auto"/>
        </w:rPr>
      </w:pPr>
    </w:p>
    <w:p>
      <w:pPr>
        <w:jc w:val="both"/>
        <w:ind w:firstLine="610"/>
        <w:spacing w:after="0" w:line="211" w:lineRule="exact"/>
        <w:rPr>
          <w:sz w:val="20"/>
          <w:szCs w:val="20"/>
          <w:color w:val="auto"/>
        </w:rPr>
      </w:pPr>
      <w:r>
        <w:rPr>
          <w:rFonts w:ascii="Arial" w:cs="Arial" w:eastAsia="Arial" w:hAnsi="Arial"/>
          <w:sz w:val="15"/>
          <w:szCs w:val="15"/>
          <w:color w:val="auto"/>
        </w:rPr>
        <w:t>The Group’s only revenue stream in the current and previous financial year is royalty income generated from licenses granted in respect of the Group’s intellectual property that are unrelated to the Group’s core business and the development of OPT</w:t>
      </w:r>
      <w:r>
        <w:rPr>
          <w:rFonts w:ascii="MS PGothic" w:cs="MS PGothic" w:eastAsia="MS PGothic" w:hAnsi="MS PGothic"/>
          <w:sz w:val="15"/>
          <w:szCs w:val="15"/>
          <w:color w:val="auto"/>
        </w:rPr>
        <w:t>‑</w:t>
      </w:r>
      <w:r>
        <w:rPr>
          <w:rFonts w:ascii="Arial" w:cs="Arial" w:eastAsia="Arial" w:hAnsi="Arial"/>
          <w:sz w:val="15"/>
          <w:szCs w:val="15"/>
          <w:color w:val="auto"/>
        </w:rPr>
        <w:t>302 and that are not under development. These licenses are primarily used by third</w:t>
      </w:r>
      <w:r>
        <w:rPr>
          <w:rFonts w:ascii="MS PGothic" w:cs="MS PGothic" w:eastAsia="MS PGothic" w:hAnsi="MS PGothic"/>
          <w:sz w:val="15"/>
          <w:szCs w:val="15"/>
          <w:color w:val="auto"/>
        </w:rPr>
        <w:t>‑</w:t>
      </w:r>
      <w:r>
        <w:rPr>
          <w:rFonts w:ascii="Arial" w:cs="Arial" w:eastAsia="Arial" w:hAnsi="Arial"/>
          <w:sz w:val="15"/>
          <w:szCs w:val="15"/>
          <w:color w:val="auto"/>
        </w:rPr>
        <w:t>party licensees for research purposes. All of the royalty income of US$68,613 (2020: US$59,061 2019:US$112,497) was generated from customers based outside of Australia. The Group does not have any major customers. All property, plant and equipment are located in Australia.</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Revenue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tcPr>
          <w:p>
            <w:pPr>
              <w:jc w:val="center"/>
              <w:ind w:right="30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65"/>
        </w:trPr>
        <w:tc>
          <w:tcPr>
            <w:tcW w:w="6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gridSpan w:val="3"/>
          </w:tcPr>
          <w:p>
            <w:pPr>
              <w:ind w:left="48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4"/>
                <w:szCs w:val="14"/>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14"/>
        </w:trPr>
        <w:tc>
          <w:tcPr>
            <w:tcW w:w="6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Revenue</w:t>
            </w: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68,613</w:t>
            </w: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59,061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112,497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Total Revenue</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68,613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59,061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112,497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Note 8. Other Income</w:t>
            </w: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6660" w:type="dxa"/>
            <w:vAlign w:val="bottom"/>
          </w:tcPr>
          <w:p>
            <w:pPr>
              <w:spacing w:after="0"/>
              <w:rPr>
                <w:sz w:val="24"/>
                <w:szCs w:val="24"/>
                <w:color w:val="auto"/>
              </w:rPr>
            </w:pPr>
          </w:p>
        </w:tc>
        <w:tc>
          <w:tcPr>
            <w:tcW w:w="1300" w:type="dxa"/>
            <w:vAlign w:val="bottom"/>
            <w:gridSpan w:val="2"/>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3"/>
          </w:tcPr>
          <w:p>
            <w:pPr>
              <w:jc w:val="center"/>
              <w:ind w:right="140"/>
              <w:spacing w:after="0" w:line="156" w:lineRule="exact"/>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5"/>
        </w:trPr>
        <w:tc>
          <w:tcPr>
            <w:tcW w:w="66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Finance Income</w:t>
            </w: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372,002</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480,453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541,034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Grant Income</w:t>
            </w:r>
          </w:p>
        </w:tc>
        <w:tc>
          <w:tcPr>
            <w:tcW w:w="1340" w:type="dxa"/>
            <w:vAlign w:val="bottom"/>
            <w:gridSpan w:val="3"/>
          </w:tcPr>
          <w:p>
            <w:pPr>
              <w:jc w:val="right"/>
              <w:spacing w:after="0"/>
              <w:rPr>
                <w:sz w:val="20"/>
                <w:szCs w:val="20"/>
                <w:color w:val="auto"/>
              </w:rPr>
            </w:pPr>
            <w:r>
              <w:rPr>
                <w:rFonts w:ascii="Arial" w:cs="Arial" w:eastAsia="Arial" w:hAnsi="Arial"/>
                <w:sz w:val="17"/>
                <w:szCs w:val="17"/>
                <w:color w:val="auto"/>
              </w:rPr>
              <w:t>26,949</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41,629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Total other income</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398,951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522,082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598,269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color w:val="auto"/>
              </w:rPr>
              <w:t>Note 9. Research and Development Expenses</w:t>
            </w: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6660" w:type="dxa"/>
            <w:vAlign w:val="bottom"/>
          </w:tcPr>
          <w:p>
            <w:pPr>
              <w:spacing w:after="0"/>
              <w:rPr>
                <w:sz w:val="24"/>
                <w:szCs w:val="24"/>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95"/>
        </w:trPr>
        <w:tc>
          <w:tcPr>
            <w:tcW w:w="6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3"/>
          </w:tcPr>
          <w:p>
            <w:pPr>
              <w:ind w:left="480"/>
              <w:spacing w:after="0"/>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6"/>
                <w:szCs w:val="16"/>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project costs</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25,891,851</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12,064,008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22,419,712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Total research and development expenses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25,891,851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12,064,008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22,419,712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460" w:right="3140" w:hanging="5456"/>
        <w:spacing w:after="0" w:line="422" w:lineRule="exact"/>
        <w:tabs>
          <w:tab w:leader="none" w:pos="24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research project costs relate to the research programs in respect to the treatment of eye diseases by OPT</w:t>
      </w:r>
      <w:r>
        <w:rPr>
          <w:rFonts w:ascii="MS PGothic" w:cs="MS PGothic" w:eastAsia="MS PGothic" w:hAnsi="MS PGothic"/>
          <w:sz w:val="17"/>
          <w:szCs w:val="17"/>
          <w:color w:val="auto"/>
        </w:rPr>
        <w:t>‑</w:t>
      </w:r>
      <w:r>
        <w:rPr>
          <w:rFonts w:ascii="Arial" w:cs="Arial" w:eastAsia="Arial" w:hAnsi="Arial"/>
          <w:sz w:val="17"/>
          <w:szCs w:val="17"/>
          <w:color w:val="auto"/>
        </w:rPr>
        <w:t>302.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53340</wp:posOffset>
            </wp:positionV>
            <wp:extent cx="716280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Expenses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300" w:type="dxa"/>
            <w:vAlign w:val="bottom"/>
          </w:tcPr>
          <w:p>
            <w:pPr>
              <w:ind w:left="5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5"/>
                <w:szCs w:val="15"/>
                <w:color w:val="auto"/>
              </w:rPr>
            </w:pPr>
          </w:p>
        </w:tc>
      </w:tr>
      <w:tr>
        <w:trPr>
          <w:trHeight w:val="234"/>
        </w:trPr>
        <w:tc>
          <w:tcPr>
            <w:tcW w:w="6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r>
      <w:tr>
        <w:trPr>
          <w:trHeight w:val="234"/>
        </w:trPr>
        <w:tc>
          <w:tcPr>
            <w:tcW w:w="6660" w:type="dxa"/>
            <w:vAlign w:val="bottom"/>
          </w:tcPr>
          <w:p>
            <w:pPr>
              <w:spacing w:after="0"/>
              <w:rPr>
                <w:sz w:val="20"/>
                <w:szCs w:val="20"/>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 Administrative expenses</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Employee benefits expenses: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Salaries and fees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1,794,840</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1,424,237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1,441,522</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Cash bonuses</w:t>
            </w:r>
          </w:p>
        </w:tc>
        <w:tc>
          <w:tcPr>
            <w:tcW w:w="1300" w:type="dxa"/>
            <w:vAlign w:val="bottom"/>
          </w:tcPr>
          <w:p>
            <w:pPr>
              <w:jc w:val="right"/>
              <w:spacing w:after="0"/>
              <w:rPr>
                <w:sz w:val="20"/>
                <w:szCs w:val="20"/>
                <w:color w:val="auto"/>
              </w:rPr>
            </w:pPr>
            <w:r>
              <w:rPr>
                <w:rFonts w:ascii="Arial" w:cs="Arial" w:eastAsia="Arial" w:hAnsi="Arial"/>
                <w:sz w:val="17"/>
                <w:szCs w:val="17"/>
                <w:color w:val="auto"/>
              </w:rPr>
              <w:t>479,501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193,588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295,626</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Superannuation</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188,543</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141,019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155,218</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Share-based payments expense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3,897,638</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732,688</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685,409</w:t>
            </w:r>
          </w:p>
        </w:tc>
        <w:tc>
          <w:tcPr>
            <w:tcW w:w="100" w:type="dxa"/>
            <w:vAlign w:val="bottom"/>
            <w:tcBorders>
              <w:bottom w:val="single" w:sz="8" w:color="CFF0FC"/>
            </w:tcBorders>
          </w:tcPr>
          <w:p>
            <w:pPr>
              <w:spacing w:after="0"/>
              <w:rPr>
                <w:sz w:val="19"/>
                <w:szCs w:val="19"/>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employee benefits expense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6,360,522</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2,491,532</w:t>
            </w:r>
          </w:p>
        </w:tc>
        <w:tc>
          <w:tcPr>
            <w:tcW w:w="2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2,577,775</w:t>
            </w:r>
          </w:p>
        </w:tc>
        <w:tc>
          <w:tcPr>
            <w:tcW w:w="100" w:type="dxa"/>
            <w:vAlign w:val="bottom"/>
            <w:shd w:val="clear" w:color="auto" w:fill="CFF0FC"/>
          </w:tcPr>
          <w:p>
            <w:pPr>
              <w:spacing w:after="0"/>
              <w:rPr>
                <w:sz w:val="18"/>
                <w:szCs w:val="18"/>
                <w:color w:val="auto"/>
              </w:rPr>
            </w:pPr>
          </w:p>
        </w:tc>
      </w:tr>
      <w:tr>
        <w:trPr>
          <w:trHeight w:val="214"/>
        </w:trPr>
        <w:tc>
          <w:tcPr>
            <w:tcW w:w="6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expenses: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Insurance</w:t>
            </w:r>
          </w:p>
        </w:tc>
        <w:tc>
          <w:tcPr>
            <w:tcW w:w="1300" w:type="dxa"/>
            <w:vAlign w:val="bottom"/>
          </w:tcPr>
          <w:p>
            <w:pPr>
              <w:jc w:val="right"/>
              <w:spacing w:after="0"/>
              <w:rPr>
                <w:sz w:val="20"/>
                <w:szCs w:val="20"/>
                <w:color w:val="auto"/>
              </w:rPr>
            </w:pPr>
            <w:r>
              <w:rPr>
                <w:rFonts w:ascii="Arial" w:cs="Arial" w:eastAsia="Arial" w:hAnsi="Arial"/>
                <w:sz w:val="17"/>
                <w:szCs w:val="17"/>
                <w:color w:val="auto"/>
              </w:rPr>
              <w:t>4,419,433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335,786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269,060</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Investor relations costs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285,071</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254,212</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293,313</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Audit and accounting</w:t>
            </w:r>
          </w:p>
        </w:tc>
        <w:tc>
          <w:tcPr>
            <w:tcW w:w="1300" w:type="dxa"/>
            <w:vAlign w:val="bottom"/>
          </w:tcPr>
          <w:p>
            <w:pPr>
              <w:jc w:val="right"/>
              <w:spacing w:after="0"/>
              <w:rPr>
                <w:sz w:val="20"/>
                <w:szCs w:val="20"/>
                <w:color w:val="auto"/>
              </w:rPr>
            </w:pPr>
            <w:r>
              <w:rPr>
                <w:rFonts w:ascii="Arial" w:cs="Arial" w:eastAsia="Arial" w:hAnsi="Arial"/>
                <w:sz w:val="17"/>
                <w:szCs w:val="17"/>
                <w:color w:val="auto"/>
              </w:rPr>
              <w:t>647,549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221,410</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98,553</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Travel expenses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44,521</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59,994</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Payroll tax</w:t>
            </w:r>
          </w:p>
        </w:tc>
        <w:tc>
          <w:tcPr>
            <w:tcW w:w="1300" w:type="dxa"/>
            <w:vAlign w:val="bottom"/>
          </w:tcPr>
          <w:p>
            <w:pPr>
              <w:jc w:val="right"/>
              <w:spacing w:after="0"/>
              <w:rPr>
                <w:sz w:val="20"/>
                <w:szCs w:val="20"/>
                <w:color w:val="auto"/>
              </w:rPr>
            </w:pPr>
            <w:r>
              <w:rPr>
                <w:rFonts w:ascii="Arial" w:cs="Arial" w:eastAsia="Arial" w:hAnsi="Arial"/>
                <w:sz w:val="17"/>
                <w:szCs w:val="17"/>
                <w:color w:val="auto"/>
              </w:rPr>
              <w:t>18,766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134,845</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62,237</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Legal fees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83,605</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372,431</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16,025</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Advisory fees</w:t>
            </w:r>
          </w:p>
        </w:tc>
        <w:tc>
          <w:tcPr>
            <w:tcW w:w="1300" w:type="dxa"/>
            <w:vAlign w:val="bottom"/>
          </w:tcPr>
          <w:p>
            <w:pPr>
              <w:jc w:val="right"/>
              <w:spacing w:after="0"/>
              <w:rPr>
                <w:sz w:val="20"/>
                <w:szCs w:val="20"/>
                <w:color w:val="auto"/>
              </w:rPr>
            </w:pPr>
            <w:r>
              <w:rPr>
                <w:rFonts w:ascii="Arial" w:cs="Arial" w:eastAsia="Arial" w:hAnsi="Arial"/>
                <w:sz w:val="17"/>
                <w:szCs w:val="17"/>
                <w:color w:val="auto"/>
              </w:rPr>
              <w:t>393,843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416,082</w:t>
            </w:r>
          </w:p>
        </w:tc>
        <w:tc>
          <w:tcPr>
            <w:tcW w:w="2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Consultancy costs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367,070</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Other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714,328</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334,262</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286,057</w:t>
            </w:r>
          </w:p>
        </w:tc>
        <w:tc>
          <w:tcPr>
            <w:tcW w:w="100" w:type="dxa"/>
            <w:vAlign w:val="bottom"/>
            <w:tcBorders>
              <w:bottom w:val="single" w:sz="8" w:color="CFF0FC"/>
            </w:tcBorders>
          </w:tcPr>
          <w:p>
            <w:pPr>
              <w:spacing w:after="0"/>
              <w:rPr>
                <w:sz w:val="19"/>
                <w:szCs w:val="19"/>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other expenses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6,931,124</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2,113,549</w:t>
            </w:r>
          </w:p>
        </w:tc>
        <w:tc>
          <w:tcPr>
            <w:tcW w:w="2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1,085,239</w:t>
            </w:r>
          </w:p>
        </w:tc>
        <w:tc>
          <w:tcPr>
            <w:tcW w:w="100" w:type="dxa"/>
            <w:vAlign w:val="bottom"/>
            <w:shd w:val="clear" w:color="auto" w:fill="CFF0FC"/>
          </w:tcPr>
          <w:p>
            <w:pPr>
              <w:spacing w:after="0"/>
              <w:rPr>
                <w:sz w:val="18"/>
                <w:szCs w:val="18"/>
                <w:color w:val="auto"/>
              </w:rPr>
            </w:pPr>
          </w:p>
        </w:tc>
      </w:tr>
      <w:tr>
        <w:trPr>
          <w:trHeight w:val="214"/>
        </w:trPr>
        <w:tc>
          <w:tcPr>
            <w:tcW w:w="6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of:</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Equipment and furniture</w:t>
            </w:r>
          </w:p>
        </w:tc>
        <w:tc>
          <w:tcPr>
            <w:tcW w:w="1300" w:type="dxa"/>
            <w:vAlign w:val="bottom"/>
          </w:tcPr>
          <w:p>
            <w:pPr>
              <w:jc w:val="right"/>
              <w:spacing w:after="0"/>
              <w:rPr>
                <w:sz w:val="20"/>
                <w:szCs w:val="20"/>
                <w:color w:val="auto"/>
              </w:rPr>
            </w:pPr>
            <w:r>
              <w:rPr>
                <w:rFonts w:ascii="Arial" w:cs="Arial" w:eastAsia="Arial" w:hAnsi="Arial"/>
                <w:sz w:val="17"/>
                <w:szCs w:val="17"/>
                <w:color w:val="auto"/>
              </w:rPr>
              <w:t>15,012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14,581</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14,194</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Leasehold improvements</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9,413</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Right-of-use assets</w:t>
            </w:r>
          </w:p>
        </w:tc>
        <w:tc>
          <w:tcPr>
            <w:tcW w:w="1300" w:type="dxa"/>
            <w:vAlign w:val="bottom"/>
          </w:tcPr>
          <w:p>
            <w:pPr>
              <w:jc w:val="right"/>
              <w:spacing w:after="0"/>
              <w:rPr>
                <w:sz w:val="20"/>
                <w:szCs w:val="20"/>
                <w:color w:val="auto"/>
              </w:rPr>
            </w:pPr>
            <w:r>
              <w:rPr>
                <w:rFonts w:ascii="Arial" w:cs="Arial" w:eastAsia="Arial" w:hAnsi="Arial"/>
                <w:sz w:val="17"/>
                <w:szCs w:val="17"/>
                <w:color w:val="auto"/>
              </w:rPr>
              <w:t>91,656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81,611</w:t>
            </w:r>
          </w:p>
        </w:tc>
        <w:tc>
          <w:tcPr>
            <w:tcW w:w="2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depreciation expense</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106,668</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96,536</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23,607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on disposal of non-current assets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1,434</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4"/>
        </w:trPr>
        <w:tc>
          <w:tcPr>
            <w:tcW w:w="6660" w:type="dxa"/>
            <w:vAlign w:val="bottom"/>
            <w:shd w:val="clear" w:color="auto" w:fill="CFF0FC"/>
          </w:tcPr>
          <w:p>
            <w:pPr>
              <w:ind w:left="480"/>
              <w:spacing w:after="0"/>
              <w:rPr>
                <w:sz w:val="20"/>
                <w:szCs w:val="20"/>
                <w:color w:val="auto"/>
              </w:rPr>
            </w:pPr>
            <w:r>
              <w:rPr>
                <w:rFonts w:ascii="Arial" w:cs="Arial" w:eastAsia="Arial" w:hAnsi="Arial"/>
                <w:sz w:val="17"/>
                <w:szCs w:val="17"/>
                <w:b w:val="1"/>
                <w:bCs w:val="1"/>
                <w:color w:val="auto"/>
              </w:rPr>
              <w:t>Total administrative expenses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13,399,748</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4,702,860</w:t>
            </w:r>
          </w:p>
        </w:tc>
        <w:tc>
          <w:tcPr>
            <w:tcW w:w="2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3,686,621</w:t>
            </w:r>
          </w:p>
        </w:tc>
        <w:tc>
          <w:tcPr>
            <w:tcW w:w="100" w:type="dxa"/>
            <w:vAlign w:val="bottom"/>
            <w:shd w:val="clear" w:color="auto" w:fill="CFF0FC"/>
          </w:tcPr>
          <w:p>
            <w:pPr>
              <w:spacing w:after="0"/>
              <w:rPr>
                <w:sz w:val="18"/>
                <w:szCs w:val="18"/>
                <w:color w:val="auto"/>
              </w:rPr>
            </w:pPr>
          </w:p>
        </w:tc>
      </w:tr>
      <w:tr>
        <w:trPr>
          <w:trHeight w:val="214"/>
        </w:trPr>
        <w:tc>
          <w:tcPr>
            <w:tcW w:w="6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 Occupancy expenses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480"/>
              <w:spacing w:after="0"/>
              <w:rPr>
                <w:sz w:val="20"/>
                <w:szCs w:val="20"/>
                <w:color w:val="auto"/>
              </w:rPr>
            </w:pPr>
            <w:r>
              <w:rPr>
                <w:rFonts w:ascii="Arial" w:cs="Arial" w:eastAsia="Arial" w:hAnsi="Arial"/>
                <w:sz w:val="17"/>
                <w:szCs w:val="17"/>
                <w:color w:val="auto"/>
              </w:rPr>
              <w:t>Short term and low value lease expenses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1,539</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56,582</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Lease incidental costs</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18,445</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21,733</w:t>
            </w:r>
          </w:p>
        </w:tc>
        <w:tc>
          <w:tcPr>
            <w:tcW w:w="2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21,533</w:t>
            </w:r>
          </w:p>
        </w:tc>
        <w:tc>
          <w:tcPr>
            <w:tcW w:w="100" w:type="dxa"/>
            <w:vAlign w:val="bottom"/>
            <w:shd w:val="clear" w:color="auto" w:fill="CFF0FC"/>
          </w:tcPr>
          <w:p>
            <w:pPr>
              <w:spacing w:after="0"/>
              <w:rPr>
                <w:sz w:val="19"/>
                <w:szCs w:val="19"/>
                <w:color w:val="auto"/>
              </w:rPr>
            </w:pPr>
          </w:p>
        </w:tc>
      </w:tr>
      <w:tr>
        <w:trPr>
          <w:trHeight w:val="214"/>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Total occupancy expense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18,445</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23,272</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78,115</w:t>
            </w:r>
          </w:p>
        </w:tc>
        <w:tc>
          <w:tcPr>
            <w:tcW w:w="100" w:type="dxa"/>
            <w:vAlign w:val="bottom"/>
          </w:tcPr>
          <w:p>
            <w:pPr>
              <w:spacing w:after="0"/>
              <w:rPr>
                <w:sz w:val="18"/>
                <w:szCs w:val="18"/>
                <w:color w:val="auto"/>
              </w:rPr>
            </w:pPr>
          </w:p>
        </w:tc>
      </w:tr>
      <w:tr>
        <w:trPr>
          <w:trHeight w:val="552"/>
        </w:trPr>
        <w:tc>
          <w:tcPr>
            <w:tcW w:w="6660" w:type="dxa"/>
            <w:vAlign w:val="bottom"/>
          </w:tcPr>
          <w:p>
            <w:pPr>
              <w:spacing w:after="0"/>
              <w:rPr>
                <w:sz w:val="20"/>
                <w:szCs w:val="20"/>
                <w:color w:val="auto"/>
              </w:rPr>
            </w:pPr>
            <w:r>
              <w:rPr>
                <w:rFonts w:ascii="Arial" w:cs="Arial" w:eastAsia="Arial" w:hAnsi="Arial"/>
                <w:sz w:val="17"/>
                <w:szCs w:val="17"/>
                <w:b w:val="1"/>
                <w:bCs w:val="1"/>
                <w:color w:val="auto"/>
              </w:rPr>
              <w:t>Note 11. Net Foreign Exchange (Loss)/Gain</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1"/>
        </w:trPr>
        <w:tc>
          <w:tcPr>
            <w:tcW w:w="666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24"/>
                <w:szCs w:val="24"/>
                <w:color w:val="auto"/>
              </w:rPr>
            </w:pPr>
          </w:p>
        </w:tc>
      </w:tr>
      <w:tr>
        <w:trPr>
          <w:trHeight w:val="234"/>
        </w:trPr>
        <w:tc>
          <w:tcPr>
            <w:tcW w:w="6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r>
      <w:tr>
        <w:trPr>
          <w:trHeight w:val="234"/>
        </w:trPr>
        <w:tc>
          <w:tcPr>
            <w:tcW w:w="6660" w:type="dxa"/>
            <w:vAlign w:val="bottom"/>
          </w:tcPr>
          <w:p>
            <w:pPr>
              <w:spacing w:after="0"/>
              <w:rPr>
                <w:sz w:val="20"/>
                <w:szCs w:val="20"/>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foreign exchange (loss)/gain</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(11,011,961)</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(265,989)</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241,814</w:t>
            </w:r>
          </w:p>
        </w:tc>
        <w:tc>
          <w:tcPr>
            <w:tcW w:w="100" w:type="dxa"/>
            <w:vAlign w:val="bottom"/>
            <w:shd w:val="clear" w:color="auto" w:fill="CFF0FC"/>
          </w:tcPr>
          <w:p>
            <w:pPr>
              <w:spacing w:after="0"/>
              <w:rPr>
                <w:sz w:val="18"/>
                <w:szCs w:val="18"/>
                <w:color w:val="auto"/>
              </w:rPr>
            </w:pPr>
          </w:p>
        </w:tc>
      </w:tr>
      <w:tr>
        <w:trPr>
          <w:trHeight w:val="214"/>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Total net foreign exchange (loss)/gain</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(11,011,961)</w:t>
            </w:r>
          </w:p>
        </w:tc>
        <w:tc>
          <w:tcPr>
            <w:tcW w:w="2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(265,989)</w:t>
            </w:r>
          </w:p>
        </w:tc>
        <w:tc>
          <w:tcPr>
            <w:tcW w:w="2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241,814</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896"/>
        <w:spacing w:after="0" w:line="262" w:lineRule="auto"/>
        <w:rPr>
          <w:sz w:val="20"/>
          <w:szCs w:val="20"/>
          <w:color w:val="auto"/>
        </w:rPr>
      </w:pPr>
      <w:r>
        <w:rPr>
          <w:rFonts w:ascii="Arial" w:cs="Arial" w:eastAsia="Arial" w:hAnsi="Arial"/>
          <w:sz w:val="17"/>
          <w:szCs w:val="17"/>
          <w:color w:val="auto"/>
        </w:rPr>
        <w:t>Exchange differences arising on the translation of monetary items are recognized in the Statement Profit and Loss and other Comprehensive Income, except where deferred in equity as a qualifying cash flow or net investment hedge. After the Company’s US IPO where the Company raised US$128 million, the Company entered into an Australian dollar denominated term deposit worth US$100 million (AUD141.9million) maturing on February 3, 2021. The Company simultaneously entered into a foreign currency exchange contract under which the term deposit converted back to US dollars at effectively the same foreign exchange rate as when the term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47"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deposit was entered into. As the Group’s functional currency was the Australian dollar (A$) until December 31, 2020, the Group recorded a foreign exchange loss of US$9milion in relation to this transaction.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300" w:type="dxa"/>
            <w:vAlign w:val="bottom"/>
          </w:tcPr>
          <w:p>
            <w:pPr>
              <w:ind w:left="5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58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5"/>
                <w:szCs w:val="15"/>
                <w:color w:val="auto"/>
              </w:rPr>
            </w:pPr>
          </w:p>
        </w:tc>
      </w:tr>
      <w:tr>
        <w:trPr>
          <w:trHeight w:val="234"/>
        </w:trPr>
        <w:tc>
          <w:tcPr>
            <w:tcW w:w="6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Restated</w:t>
            </w:r>
          </w:p>
        </w:tc>
        <w:tc>
          <w:tcPr>
            <w:tcW w:w="26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r>
      <w:tr>
        <w:trPr>
          <w:trHeight w:val="234"/>
        </w:trPr>
        <w:tc>
          <w:tcPr>
            <w:tcW w:w="6660" w:type="dxa"/>
            <w:vAlign w:val="bottom"/>
          </w:tcPr>
          <w:p>
            <w:pPr>
              <w:spacing w:after="0"/>
              <w:rPr>
                <w:sz w:val="20"/>
                <w:szCs w:val="20"/>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26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(a) Income tax benefit</w:t>
            </w: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The major components of income tax benefit are:</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Statement of Profit or Loss and Other Comprehensive Income</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Current tax</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income tax credit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4,938,846</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5,708,767</w:t>
            </w:r>
          </w:p>
        </w:tc>
        <w:tc>
          <w:tcPr>
            <w:tcW w:w="2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10,474,432</w:t>
            </w:r>
          </w:p>
        </w:tc>
        <w:tc>
          <w:tcPr>
            <w:tcW w:w="100" w:type="dxa"/>
            <w:vAlign w:val="bottom"/>
            <w:shd w:val="clear" w:color="auto" w:fill="CFF0FC"/>
          </w:tcPr>
          <w:p>
            <w:pPr>
              <w:spacing w:after="0"/>
              <w:rPr>
                <w:sz w:val="19"/>
                <w:szCs w:val="19"/>
                <w:color w:val="auto"/>
              </w:rPr>
            </w:pPr>
          </w:p>
        </w:tc>
      </w:tr>
      <w:tr>
        <w:trPr>
          <w:trHeight w:val="214"/>
        </w:trPr>
        <w:tc>
          <w:tcPr>
            <w:tcW w:w="6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4,938,846</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5,708,767</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10,474,432</w:t>
            </w:r>
          </w:p>
        </w:tc>
        <w:tc>
          <w:tcPr>
            <w:tcW w:w="100" w:type="dxa"/>
            <w:vAlign w:val="bottom"/>
          </w:tcPr>
          <w:p>
            <w:pPr>
              <w:spacing w:after="0"/>
              <w:rPr>
                <w:sz w:val="18"/>
                <w:szCs w:val="18"/>
                <w:color w:val="auto"/>
              </w:rPr>
            </w:pPr>
          </w:p>
        </w:tc>
      </w:tr>
      <w:tr>
        <w:trPr>
          <w:trHeight w:val="214"/>
        </w:trPr>
        <w:tc>
          <w:tcPr>
            <w:tcW w:w="66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Deferred tax</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 respect of the current year</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14"/>
        </w:trPr>
        <w:tc>
          <w:tcPr>
            <w:tcW w:w="6660" w:type="dxa"/>
            <w:vAlign w:val="bottom"/>
          </w:tcPr>
          <w:p>
            <w:pPr>
              <w:ind w:left="240"/>
              <w:spacing w:after="0"/>
              <w:rPr>
                <w:sz w:val="20"/>
                <w:szCs w:val="20"/>
                <w:color w:val="auto"/>
              </w:rPr>
            </w:pPr>
            <w:r>
              <w:rPr>
                <w:rFonts w:ascii="Arial" w:cs="Arial" w:eastAsia="Arial" w:hAnsi="Arial"/>
                <w:sz w:val="17"/>
                <w:szCs w:val="17"/>
                <w:color w:val="auto"/>
              </w:rPr>
              <w:t>Total income tax benefit recognized in the Statement of Comprehensive Income</w:t>
            </w:r>
          </w:p>
        </w:tc>
        <w:tc>
          <w:tcPr>
            <w:tcW w:w="1300" w:type="dxa"/>
            <w:vAlign w:val="bottom"/>
          </w:tcPr>
          <w:p>
            <w:pPr>
              <w:jc w:val="right"/>
              <w:spacing w:after="0"/>
              <w:rPr>
                <w:sz w:val="20"/>
                <w:szCs w:val="20"/>
                <w:color w:val="auto"/>
              </w:rPr>
            </w:pPr>
            <w:r>
              <w:rPr>
                <w:rFonts w:ascii="Arial" w:cs="Arial" w:eastAsia="Arial" w:hAnsi="Arial"/>
                <w:sz w:val="17"/>
                <w:szCs w:val="17"/>
                <w:color w:val="auto"/>
              </w:rPr>
              <w:t>4,938,846</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5,708,767</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10,474,432</w:t>
            </w:r>
          </w:p>
        </w:tc>
        <w:tc>
          <w:tcPr>
            <w:tcW w:w="100" w:type="dxa"/>
            <w:vAlign w:val="bottom"/>
          </w:tcPr>
          <w:p>
            <w:pPr>
              <w:spacing w:after="0"/>
              <w:rPr>
                <w:sz w:val="18"/>
                <w:szCs w:val="18"/>
                <w:color w:val="auto"/>
              </w:rPr>
            </w:pPr>
          </w:p>
        </w:tc>
      </w:tr>
      <w:tr>
        <w:trPr>
          <w:trHeight w:val="214"/>
        </w:trPr>
        <w:tc>
          <w:tcPr>
            <w:tcW w:w="66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6"/>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(b) Current tax receivable</w:t>
            </w: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6660" w:type="dxa"/>
            <w:vAlign w:val="bottom"/>
          </w:tcPr>
          <w:p>
            <w:pPr>
              <w:spacing w:after="0"/>
              <w:rPr>
                <w:sz w:val="16"/>
                <w:szCs w:val="16"/>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 Tax Incentive Credit receivable</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4,972,898</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5,868,152</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ind w:firstLine="710"/>
        <w:spacing w:after="0" w:line="293" w:lineRule="auto"/>
        <w:tabs>
          <w:tab w:leader="none" w:pos="959"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Numerical reconciliation between aggregate income tax benefit recognized in the Statement of Profit of Loss and Other Comprehensive Income and benefit calculated per the statutory income tax rate</w:t>
      </w:r>
    </w:p>
    <w:p>
      <w:pPr>
        <w:spacing w:after="0" w:line="152" w:lineRule="exact"/>
        <w:rPr>
          <w:sz w:val="20"/>
          <w:szCs w:val="20"/>
          <w:color w:val="auto"/>
        </w:rPr>
      </w:pPr>
    </w:p>
    <w:p>
      <w:pPr>
        <w:ind w:firstLine="706"/>
        <w:spacing w:after="0" w:line="285" w:lineRule="auto"/>
        <w:rPr>
          <w:sz w:val="20"/>
          <w:szCs w:val="20"/>
          <w:color w:val="auto"/>
        </w:rPr>
      </w:pPr>
      <w:r>
        <w:rPr>
          <w:rFonts w:ascii="Arial" w:cs="Arial" w:eastAsia="Arial" w:hAnsi="Arial"/>
          <w:sz w:val="17"/>
          <w:szCs w:val="17"/>
          <w:color w:val="auto"/>
        </w:rPr>
        <w:t>A reconciliation between income tax benefit and the product of accounting loss before income tax multiplied by the Group’s applicable income tax rate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3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5"/>
                <w:szCs w:val="15"/>
                <w:color w:val="auto"/>
              </w:rPr>
            </w:pPr>
          </w:p>
        </w:tc>
      </w:tr>
      <w:tr>
        <w:trPr>
          <w:trHeight w:val="234"/>
        </w:trPr>
        <w:tc>
          <w:tcPr>
            <w:tcW w:w="6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r>
      <w:tr>
        <w:trPr>
          <w:trHeight w:val="234"/>
        </w:trPr>
        <w:tc>
          <w:tcPr>
            <w:tcW w:w="6660" w:type="dxa"/>
            <w:vAlign w:val="bottom"/>
          </w:tcPr>
          <w:p>
            <w:pPr>
              <w:spacing w:after="0"/>
              <w:rPr>
                <w:sz w:val="20"/>
                <w:szCs w:val="2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Accounting loss before tax</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(50,283,342)</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(16,831,966)</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(25,426,380)</w:t>
            </w: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At the Company's statutory income tax rate of 30% (2020:27.5%, 2019:27.5%)</w:t>
            </w:r>
          </w:p>
        </w:tc>
        <w:tc>
          <w:tcPr>
            <w:tcW w:w="1300" w:type="dxa"/>
            <w:vAlign w:val="bottom"/>
          </w:tcPr>
          <w:p>
            <w:pPr>
              <w:jc w:val="right"/>
              <w:spacing w:after="0"/>
              <w:rPr>
                <w:sz w:val="20"/>
                <w:szCs w:val="20"/>
                <w:color w:val="auto"/>
              </w:rPr>
            </w:pPr>
            <w:r>
              <w:rPr>
                <w:rFonts w:ascii="Arial" w:cs="Arial" w:eastAsia="Arial" w:hAnsi="Arial"/>
                <w:sz w:val="17"/>
                <w:szCs w:val="17"/>
                <w:color w:val="auto"/>
              </w:rPr>
              <w:t>15,085,003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4,628,791</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6,992,255</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R&amp;D tax incentive on eligible expenses</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4,938,846</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5,708,767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10,474,432</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Non-deductible R&amp;D expenditure</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(3,420,951)</w:t>
            </w:r>
          </w:p>
        </w:tc>
        <w:tc>
          <w:tcPr>
            <w:tcW w:w="1600" w:type="dxa"/>
            <w:vAlign w:val="bottom"/>
            <w:gridSpan w:val="2"/>
          </w:tcPr>
          <w:p>
            <w:pPr>
              <w:jc w:val="right"/>
              <w:ind w:right="200"/>
              <w:spacing w:after="0"/>
              <w:rPr>
                <w:sz w:val="20"/>
                <w:szCs w:val="20"/>
                <w:color w:val="auto"/>
              </w:rPr>
            </w:pPr>
            <w:r>
              <w:rPr>
                <w:rFonts w:ascii="Arial" w:cs="Arial" w:eastAsia="Arial" w:hAnsi="Arial"/>
                <w:sz w:val="17"/>
                <w:szCs w:val="17"/>
                <w:color w:val="auto"/>
              </w:rPr>
              <w:t>(3,624,766)</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non-deductible expenses - share-based payment expense</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(1,169,291)</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(201,489)</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Amount of temporary differences and carried forward tax losses not recognized</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(10,494,761)</w:t>
            </w:r>
          </w:p>
        </w:tc>
        <w:tc>
          <w:tcPr>
            <w:tcW w:w="1600" w:type="dxa"/>
            <w:vAlign w:val="bottom"/>
            <w:gridSpan w:val="2"/>
          </w:tcPr>
          <w:p>
            <w:pPr>
              <w:jc w:val="right"/>
              <w:ind w:right="200"/>
              <w:spacing w:after="0"/>
              <w:rPr>
                <w:sz w:val="20"/>
                <w:szCs w:val="20"/>
                <w:color w:val="auto"/>
              </w:rPr>
            </w:pPr>
            <w:r>
              <w:rPr>
                <w:rFonts w:ascii="Arial" w:cs="Arial" w:eastAsia="Arial" w:hAnsi="Arial"/>
                <w:sz w:val="17"/>
                <w:szCs w:val="17"/>
                <w:color w:val="auto"/>
              </w:rPr>
              <w:t>(802,536)</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(6,992,255)</w:t>
            </w:r>
          </w:p>
        </w:tc>
      </w:tr>
      <w:tr>
        <w:trPr>
          <w:trHeight w:val="214"/>
        </w:trPr>
        <w:tc>
          <w:tcPr>
            <w:tcW w:w="66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4,938,846</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5,708,767</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10,474,432</w:t>
            </w:r>
          </w:p>
        </w:tc>
        <w:tc>
          <w:tcPr>
            <w:tcW w:w="100" w:type="dxa"/>
            <w:vAlign w:val="bottom"/>
            <w:tcBorders>
              <w:top w:val="single" w:sz="8" w:color="CFF0FC"/>
            </w:tcBorders>
            <w:shd w:val="clear" w:color="auto" w:fill="CFF0FC"/>
          </w:tcPr>
          <w:p>
            <w:pPr>
              <w:spacing w:after="0"/>
              <w:rPr>
                <w:sz w:val="18"/>
                <w:szCs w:val="18"/>
                <w:color w:val="auto"/>
              </w:rPr>
            </w:pPr>
          </w:p>
        </w:tc>
      </w:tr>
      <w:tr>
        <w:trPr>
          <w:trHeight w:val="617"/>
        </w:trPr>
        <w:tc>
          <w:tcPr>
            <w:tcW w:w="6660" w:type="dxa"/>
            <w:vAlign w:val="bottom"/>
          </w:tcPr>
          <w:p>
            <w:pPr>
              <w:ind w:left="5460"/>
              <w:spacing w:after="0"/>
              <w:rPr>
                <w:sz w:val="20"/>
                <w:szCs w:val="20"/>
                <w:color w:val="auto"/>
              </w:rPr>
            </w:pPr>
            <w:r>
              <w:rPr>
                <w:rFonts w:ascii="Arial" w:cs="Arial" w:eastAsia="Arial" w:hAnsi="Arial"/>
                <w:sz w:val="17"/>
                <w:szCs w:val="17"/>
                <w:color w:val="auto"/>
              </w:rPr>
              <w:t>F-19</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66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(d) Recognized deferred tax assets and liabilities in statement of financial position</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b w:val="1"/>
                <w:bCs w:val="1"/>
                <w:color w:val="auto"/>
              </w:rPr>
              <w:t>June 30,2021</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b w:val="1"/>
                <w:bCs w:val="1"/>
                <w:color w:val="auto"/>
              </w:rPr>
              <w:t>June 30, 2020</w:t>
            </w:r>
          </w:p>
        </w:tc>
      </w:tr>
      <w:tr>
        <w:trPr>
          <w:trHeight w:val="221"/>
        </w:trPr>
        <w:tc>
          <w:tcPr>
            <w:tcW w:w="7760" w:type="dxa"/>
            <w:vAlign w:val="bottom"/>
          </w:tcPr>
          <w:p>
            <w:pPr>
              <w:ind w:left="240"/>
              <w:spacing w:after="0"/>
              <w:rPr>
                <w:sz w:val="20"/>
                <w:szCs w:val="20"/>
                <w:color w:val="auto"/>
              </w:rPr>
            </w:pPr>
            <w:r>
              <w:rPr>
                <w:rFonts w:ascii="Arial" w:cs="Arial" w:eastAsia="Arial" w:hAnsi="Arial"/>
                <w:sz w:val="17"/>
                <w:szCs w:val="17"/>
                <w:color w:val="auto"/>
              </w:rPr>
              <w:t>Deferred income tax at June 30 relates to the following:</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776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Deferred tax liabilities:</w:t>
            </w: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60" w:type="dxa"/>
            <w:vAlign w:val="bottom"/>
          </w:tcPr>
          <w:p>
            <w:pPr>
              <w:ind w:left="240"/>
              <w:spacing w:after="0"/>
              <w:rPr>
                <w:sz w:val="20"/>
                <w:szCs w:val="20"/>
                <w:color w:val="auto"/>
              </w:rPr>
            </w:pPr>
            <w:r>
              <w:rPr>
                <w:rFonts w:ascii="Arial" w:cs="Arial" w:eastAsia="Arial" w:hAnsi="Arial"/>
                <w:sz w:val="17"/>
                <w:szCs w:val="17"/>
                <w:color w:val="auto"/>
              </w:rPr>
              <w:t>Interest and royalty income receivable (future assessable income)</w:t>
            </w:r>
          </w:p>
        </w:tc>
        <w:tc>
          <w:tcPr>
            <w:tcW w:w="1840" w:type="dxa"/>
            <w:vAlign w:val="bottom"/>
            <w:gridSpan w:val="2"/>
          </w:tcPr>
          <w:p>
            <w:pPr>
              <w:jc w:val="right"/>
              <w:ind w:right="240"/>
              <w:spacing w:after="0"/>
              <w:rPr>
                <w:sz w:val="20"/>
                <w:szCs w:val="20"/>
                <w:color w:val="auto"/>
              </w:rPr>
            </w:pPr>
            <w:r>
              <w:rPr>
                <w:rFonts w:ascii="Arial" w:cs="Arial" w:eastAsia="Arial" w:hAnsi="Arial"/>
                <w:sz w:val="17"/>
                <w:szCs w:val="17"/>
                <w:color w:val="auto"/>
              </w:rPr>
              <w:t>(2,344,514)</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(70,925)</w:t>
            </w:r>
          </w:p>
        </w:tc>
      </w:tr>
      <w:tr>
        <w:trPr>
          <w:trHeight w:val="214"/>
        </w:trPr>
        <w:tc>
          <w:tcPr>
            <w:tcW w:w="776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(2,344,514)</w:t>
            </w:r>
          </w:p>
        </w:tc>
        <w:tc>
          <w:tcPr>
            <w:tcW w:w="30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(70,925)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7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776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Deferred tax assets related to temporary differences:</w:t>
            </w: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7760" w:type="dxa"/>
            <w:vAlign w:val="bottom"/>
          </w:tcPr>
          <w:p>
            <w:pPr>
              <w:ind w:left="240"/>
              <w:spacing w:after="0"/>
              <w:rPr>
                <w:sz w:val="20"/>
                <w:szCs w:val="20"/>
                <w:color w:val="auto"/>
              </w:rPr>
            </w:pPr>
            <w:r>
              <w:rPr>
                <w:rFonts w:ascii="Arial" w:cs="Arial" w:eastAsia="Arial" w:hAnsi="Arial"/>
                <w:sz w:val="17"/>
                <w:szCs w:val="17"/>
                <w:color w:val="auto"/>
              </w:rPr>
              <w:t>Recognition of tax losses</w:t>
            </w:r>
          </w:p>
        </w:tc>
        <w:tc>
          <w:tcPr>
            <w:tcW w:w="1540" w:type="dxa"/>
            <w:vAlign w:val="bottom"/>
          </w:tcPr>
          <w:p>
            <w:pPr>
              <w:jc w:val="right"/>
              <w:spacing w:after="0"/>
              <w:rPr>
                <w:sz w:val="20"/>
                <w:szCs w:val="20"/>
                <w:color w:val="auto"/>
              </w:rPr>
            </w:pPr>
            <w:r>
              <w:rPr>
                <w:rFonts w:ascii="Arial" w:cs="Arial" w:eastAsia="Arial" w:hAnsi="Arial"/>
                <w:sz w:val="17"/>
                <w:szCs w:val="17"/>
                <w:color w:val="auto"/>
              </w:rPr>
              <w:t>1,508,764</w:t>
            </w:r>
          </w:p>
        </w:tc>
        <w:tc>
          <w:tcPr>
            <w:tcW w:w="30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7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liabilities</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205,458</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303,383</w:t>
            </w:r>
          </w:p>
        </w:tc>
        <w:tc>
          <w:tcPr>
            <w:tcW w:w="100" w:type="dxa"/>
            <w:vAlign w:val="bottom"/>
            <w:shd w:val="clear" w:color="auto" w:fill="CFF0FC"/>
          </w:tcPr>
          <w:p>
            <w:pPr>
              <w:spacing w:after="0"/>
              <w:rPr>
                <w:sz w:val="19"/>
                <w:szCs w:val="19"/>
                <w:color w:val="auto"/>
              </w:rPr>
            </w:pPr>
          </w:p>
        </w:tc>
      </w:tr>
      <w:tr>
        <w:trPr>
          <w:trHeight w:val="221"/>
        </w:trPr>
        <w:tc>
          <w:tcPr>
            <w:tcW w:w="7760" w:type="dxa"/>
            <w:vAlign w:val="bottom"/>
          </w:tcPr>
          <w:p>
            <w:pPr>
              <w:ind w:left="240"/>
              <w:spacing w:after="0"/>
              <w:rPr>
                <w:sz w:val="20"/>
                <w:szCs w:val="20"/>
                <w:color w:val="auto"/>
              </w:rPr>
            </w:pPr>
            <w:r>
              <w:rPr>
                <w:rFonts w:ascii="Arial" w:cs="Arial" w:eastAsia="Arial" w:hAnsi="Arial"/>
                <w:sz w:val="17"/>
                <w:szCs w:val="17"/>
                <w:color w:val="auto"/>
              </w:rPr>
              <w:t>Employee provisions</w:t>
            </w:r>
          </w:p>
        </w:tc>
        <w:tc>
          <w:tcPr>
            <w:tcW w:w="1540" w:type="dxa"/>
            <w:vAlign w:val="bottom"/>
          </w:tcPr>
          <w:p>
            <w:pPr>
              <w:jc w:val="right"/>
              <w:spacing w:after="0"/>
              <w:rPr>
                <w:sz w:val="20"/>
                <w:szCs w:val="20"/>
                <w:color w:val="auto"/>
              </w:rPr>
            </w:pPr>
            <w:r>
              <w:rPr>
                <w:rFonts w:ascii="Arial" w:cs="Arial" w:eastAsia="Arial" w:hAnsi="Arial"/>
                <w:sz w:val="17"/>
                <w:szCs w:val="17"/>
                <w:color w:val="auto"/>
              </w:rPr>
              <w:t>152,675</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128,812</w:t>
            </w:r>
          </w:p>
        </w:tc>
        <w:tc>
          <w:tcPr>
            <w:tcW w:w="100" w:type="dxa"/>
            <w:vAlign w:val="bottom"/>
          </w:tcPr>
          <w:p>
            <w:pPr>
              <w:spacing w:after="0"/>
              <w:rPr>
                <w:sz w:val="19"/>
                <w:szCs w:val="19"/>
                <w:color w:val="auto"/>
              </w:rPr>
            </w:pPr>
          </w:p>
        </w:tc>
      </w:tr>
      <w:tr>
        <w:trPr>
          <w:trHeight w:val="221"/>
        </w:trPr>
        <w:tc>
          <w:tcPr>
            <w:tcW w:w="77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miscellaneous items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477,617</w:t>
            </w:r>
          </w:p>
        </w:tc>
        <w:tc>
          <w:tcPr>
            <w:tcW w:w="30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430,839</w:t>
            </w:r>
          </w:p>
        </w:tc>
        <w:tc>
          <w:tcPr>
            <w:tcW w:w="100" w:type="dxa"/>
            <w:vAlign w:val="bottom"/>
            <w:shd w:val="clear" w:color="auto" w:fill="CFF0FC"/>
          </w:tcPr>
          <w:p>
            <w:pPr>
              <w:spacing w:after="0"/>
              <w:rPr>
                <w:sz w:val="19"/>
                <w:szCs w:val="19"/>
                <w:color w:val="auto"/>
              </w:rPr>
            </w:pPr>
          </w:p>
        </w:tc>
      </w:tr>
      <w:tr>
        <w:trPr>
          <w:trHeight w:val="214"/>
        </w:trPr>
        <w:tc>
          <w:tcPr>
            <w:tcW w:w="77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2,344,514</w:t>
            </w:r>
          </w:p>
        </w:tc>
        <w:tc>
          <w:tcPr>
            <w:tcW w:w="30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863,034</w:t>
            </w:r>
          </w:p>
        </w:tc>
        <w:tc>
          <w:tcPr>
            <w:tcW w:w="100" w:type="dxa"/>
            <w:vAlign w:val="bottom"/>
            <w:tcBorders>
              <w:bottom w:val="single" w:sz="8" w:color="CFF0FC"/>
            </w:tcBorders>
          </w:tcPr>
          <w:p>
            <w:pPr>
              <w:spacing w:after="0"/>
              <w:rPr>
                <w:sz w:val="18"/>
                <w:szCs w:val="18"/>
                <w:color w:val="auto"/>
              </w:rPr>
            </w:pPr>
          </w:p>
        </w:tc>
      </w:tr>
      <w:tr>
        <w:trPr>
          <w:trHeight w:val="214"/>
        </w:trPr>
        <w:tc>
          <w:tcPr>
            <w:tcW w:w="77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Less: temporary differences not recognized</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(792,109)</w:t>
            </w:r>
          </w:p>
        </w:tc>
      </w:tr>
      <w:tr>
        <w:trPr>
          <w:trHeight w:val="214"/>
        </w:trPr>
        <w:tc>
          <w:tcPr>
            <w:tcW w:w="7760" w:type="dxa"/>
            <w:vAlign w:val="bottom"/>
          </w:tcPr>
          <w:p>
            <w:pPr>
              <w:ind w:left="240"/>
              <w:spacing w:after="0"/>
              <w:rPr>
                <w:sz w:val="20"/>
                <w:szCs w:val="20"/>
                <w:color w:val="auto"/>
              </w:rPr>
            </w:pPr>
            <w:r>
              <w:rPr>
                <w:rFonts w:ascii="Arial" w:cs="Arial" w:eastAsia="Arial" w:hAnsi="Arial"/>
                <w:sz w:val="17"/>
                <w:szCs w:val="17"/>
                <w:color w:val="auto"/>
              </w:rPr>
              <w:t>Net deferred tax recognized in the statement of financial position</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bl>
    <w:p>
      <w:pPr>
        <w:spacing w:after="0" w:line="33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(e) Unrecognized temporary differences</w:t>
      </w:r>
    </w:p>
    <w:p>
      <w:pPr>
        <w:spacing w:after="0" w:line="226"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Temporary differences with respect to deferred tax assets associated with intellectual property and other miscellaneous items which have a low probability of realization are unrecognized. These amounted to nil at year end (2020: US$792,109).</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(f) Carry forward unrecognized tax losses</w:t>
      </w:r>
    </w:p>
    <w:p>
      <w:pPr>
        <w:spacing w:after="0" w:line="226" w:lineRule="exact"/>
        <w:rPr>
          <w:sz w:val="20"/>
          <w:szCs w:val="20"/>
          <w:color w:val="auto"/>
        </w:rPr>
      </w:pPr>
    </w:p>
    <w:p>
      <w:pPr>
        <w:jc w:val="both"/>
        <w:ind w:firstLine="706"/>
        <w:spacing w:after="0" w:line="265" w:lineRule="auto"/>
        <w:rPr>
          <w:sz w:val="20"/>
          <w:szCs w:val="20"/>
          <w:color w:val="auto"/>
        </w:rPr>
      </w:pPr>
      <w:r>
        <w:rPr>
          <w:rFonts w:ascii="Arial" w:cs="Arial" w:eastAsia="Arial" w:hAnsi="Arial"/>
          <w:sz w:val="17"/>
          <w:szCs w:val="17"/>
          <w:color w:val="auto"/>
        </w:rPr>
        <w:t>The Group had income tax losses of US$20,846,641 and capital losses of US$672,934 at year end (2020: income tax losses of US$14,378,726 and capital losses of US$672,934) for which no deferred tax asset is recognized on the consolidated statement of financial position as they are currently not considered probable of realization. These tax losses are available indefinitely for offset against future assessable income subject to continuing to meet relevant statutory tests.</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(g) Franking credit balance</w:t>
      </w:r>
    </w:p>
    <w:p>
      <w:pPr>
        <w:spacing w:after="0" w:line="226" w:lineRule="exact"/>
        <w:rPr>
          <w:sz w:val="20"/>
          <w:szCs w:val="20"/>
          <w:color w:val="auto"/>
        </w:rPr>
      </w:pPr>
    </w:p>
    <w:p>
      <w:pPr>
        <w:jc w:val="both"/>
        <w:ind w:firstLine="706"/>
        <w:spacing w:after="0" w:line="294" w:lineRule="auto"/>
        <w:rPr>
          <w:sz w:val="20"/>
          <w:szCs w:val="20"/>
          <w:color w:val="auto"/>
        </w:rPr>
      </w:pPr>
      <w:r>
        <w:rPr>
          <w:rFonts w:ascii="Arial" w:cs="Arial" w:eastAsia="Arial" w:hAnsi="Arial"/>
          <w:sz w:val="16"/>
          <w:szCs w:val="16"/>
          <w:color w:val="auto"/>
        </w:rPr>
        <w:t>Franking credits are a type of tax credit in Australia that is available to the Group’s shareholder to reduce double taxation on any dividends paid by the Group. The franking account balance at the end of the financial year at 30% (2020: 30%) is A$227,371 (2020: A$227,371), which represents the amount of franking credits available for the subsequent financial year. Franking credits are not recognized in the consolidated statement of financial position.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Earnings per Share</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3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5"/>
                <w:szCs w:val="15"/>
                <w:color w:val="auto"/>
              </w:rPr>
            </w:pPr>
          </w:p>
        </w:tc>
      </w:tr>
      <w:tr>
        <w:trPr>
          <w:trHeight w:val="234"/>
        </w:trPr>
        <w:tc>
          <w:tcPr>
            <w:tcW w:w="6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Restated</w:t>
            </w:r>
          </w:p>
        </w:tc>
      </w:tr>
      <w:tr>
        <w:trPr>
          <w:trHeight w:val="234"/>
        </w:trPr>
        <w:tc>
          <w:tcPr>
            <w:tcW w:w="6660" w:type="dxa"/>
            <w:vAlign w:val="bottom"/>
          </w:tcPr>
          <w:p>
            <w:pPr>
              <w:spacing w:after="0"/>
              <w:rPr>
                <w:sz w:val="20"/>
                <w:szCs w:val="2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0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The following reflects the income used in the basic and diluted earnings per share</w:t>
            </w: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computations: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(a) Earnings used in calculating earnings per share</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loss attributable to ordinary equity holders of the parent</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(45,344,496)</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(11,123,199)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(14,951,948)</w:t>
            </w:r>
          </w:p>
        </w:tc>
      </w:tr>
      <w:tr>
        <w:trPr>
          <w:trHeight w:val="214"/>
        </w:trPr>
        <w:tc>
          <w:tcPr>
            <w:tcW w:w="66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(b) Weighted average number of shares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Weighted average number of ordinary shares on issue for basic earnings per share</w:t>
            </w:r>
          </w:p>
        </w:tc>
        <w:tc>
          <w:tcPr>
            <w:tcW w:w="1300" w:type="dxa"/>
            <w:vAlign w:val="bottom"/>
          </w:tcPr>
          <w:p>
            <w:pPr>
              <w:jc w:val="right"/>
              <w:spacing w:after="0"/>
              <w:rPr>
                <w:sz w:val="20"/>
                <w:szCs w:val="20"/>
                <w:color w:val="auto"/>
              </w:rPr>
            </w:pPr>
            <w:r>
              <w:rPr>
                <w:rFonts w:ascii="Arial" w:cs="Arial" w:eastAsia="Arial" w:hAnsi="Arial"/>
                <w:sz w:val="17"/>
                <w:szCs w:val="17"/>
                <w:color w:val="auto"/>
              </w:rPr>
              <w:t>320,432,814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260,795,745</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232,795,371</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Effect of dilution:</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Share options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Weighted average number of ordinary shares adjusted for the effect of dilution</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320,432,814</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260,795,745</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232,795,371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9"/>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Loss per share (basic and diluted in cents)</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(14.15)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(4.27)</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(6.42)</w:t>
            </w:r>
          </w:p>
        </w:tc>
        <w:tc>
          <w:tcPr>
            <w:tcW w:w="100" w:type="dxa"/>
            <w:vAlign w:val="bottom"/>
          </w:tcPr>
          <w:p>
            <w:pPr>
              <w:spacing w:after="0"/>
              <w:rPr>
                <w:sz w:val="19"/>
                <w:szCs w:val="19"/>
                <w:color w:val="auto"/>
              </w:rPr>
            </w:pPr>
          </w:p>
        </w:tc>
      </w:tr>
    </w:tbl>
    <w:p>
      <w:pPr>
        <w:spacing w:after="0" w:line="294" w:lineRule="exact"/>
        <w:rPr>
          <w:sz w:val="20"/>
          <w:szCs w:val="20"/>
          <w:color w:val="auto"/>
        </w:rPr>
      </w:pPr>
    </w:p>
    <w:p>
      <w:pPr>
        <w:jc w:val="both"/>
        <w:ind w:firstLine="896"/>
        <w:spacing w:after="0" w:line="285" w:lineRule="auto"/>
        <w:rPr>
          <w:sz w:val="20"/>
          <w:szCs w:val="20"/>
          <w:color w:val="auto"/>
        </w:rPr>
      </w:pPr>
      <w:r>
        <w:rPr>
          <w:rFonts w:ascii="Arial" w:cs="Arial" w:eastAsia="Arial" w:hAnsi="Arial"/>
          <w:sz w:val="17"/>
          <w:szCs w:val="17"/>
          <w:color w:val="auto"/>
        </w:rPr>
        <w:t>There have been no transactions involving ordinary shares or potential ordinary shares that would significantly change the number of ordinary shares or potential ordinary shares outstanding between the reporting date and the date of completion of this financial report.</w:t>
      </w:r>
    </w:p>
    <w:p>
      <w:pPr>
        <w:spacing w:after="0" w:line="56" w:lineRule="exact"/>
        <w:rPr>
          <w:sz w:val="20"/>
          <w:szCs w:val="20"/>
          <w:color w:val="auto"/>
        </w:rPr>
      </w:pPr>
    </w:p>
    <w:p>
      <w:pPr>
        <w:jc w:val="both"/>
        <w:ind w:firstLine="896"/>
        <w:spacing w:after="0" w:line="211" w:lineRule="exact"/>
        <w:rPr>
          <w:sz w:val="20"/>
          <w:szCs w:val="20"/>
          <w:color w:val="auto"/>
        </w:rPr>
      </w:pPr>
      <w:r>
        <w:rPr>
          <w:rFonts w:ascii="Arial" w:cs="Arial" w:eastAsia="Arial" w:hAnsi="Arial"/>
          <w:sz w:val="17"/>
          <w:szCs w:val="17"/>
          <w:color w:val="auto"/>
        </w:rPr>
        <w:t>Diluted earnings per share is calculated as net loss divided by the weighted average number of ordinary shares and dilutive potential ordinary shares. Options granted under the Long Term Incentive (LTIP) and Non</w:t>
      </w:r>
      <w:r>
        <w:rPr>
          <w:rFonts w:ascii="MS PGothic" w:cs="MS PGothic" w:eastAsia="MS PGothic" w:hAnsi="MS PGothic"/>
          <w:sz w:val="17"/>
          <w:szCs w:val="17"/>
          <w:color w:val="auto"/>
        </w:rPr>
        <w:t>‑</w:t>
      </w:r>
      <w:r>
        <w:rPr>
          <w:rFonts w:ascii="Arial" w:cs="Arial" w:eastAsia="Arial" w:hAnsi="Arial"/>
          <w:sz w:val="17"/>
          <w:szCs w:val="17"/>
          <w:color w:val="auto"/>
        </w:rPr>
        <w:t>Executive Director Share and Option (NED Plan) plans would generally be included in the calculation due to the conditions of the issuance being satisfied. As the Group is in a loss position, the options are anti</w:t>
      </w:r>
      <w:r>
        <w:rPr>
          <w:rFonts w:ascii="MS PGothic" w:cs="MS PGothic" w:eastAsia="MS PGothic" w:hAnsi="MS PGothic"/>
          <w:sz w:val="17"/>
          <w:szCs w:val="17"/>
          <w:color w:val="auto"/>
        </w:rPr>
        <w:t>‑</w:t>
      </w:r>
      <w:r>
        <w:rPr>
          <w:rFonts w:ascii="Arial" w:cs="Arial" w:eastAsia="Arial" w:hAnsi="Arial"/>
          <w:sz w:val="17"/>
          <w:szCs w:val="17"/>
          <w:color w:val="auto"/>
        </w:rPr>
        <w:t>dilutive and, accordingly, the basic loss per share is the same as the diluted loss per share.</w:t>
      </w:r>
    </w:p>
    <w:p>
      <w:pPr>
        <w:spacing w:after="0" w:line="92" w:lineRule="exact"/>
        <w:rPr>
          <w:sz w:val="20"/>
          <w:szCs w:val="20"/>
          <w:color w:val="auto"/>
        </w:rPr>
      </w:pPr>
    </w:p>
    <w:p>
      <w:pPr>
        <w:jc w:val="both"/>
        <w:ind w:firstLine="896"/>
        <w:spacing w:after="0" w:line="214" w:lineRule="exact"/>
        <w:rPr>
          <w:sz w:val="20"/>
          <w:szCs w:val="20"/>
          <w:color w:val="auto"/>
        </w:rPr>
      </w:pPr>
      <w:r>
        <w:rPr>
          <w:rFonts w:ascii="Arial" w:cs="Arial" w:eastAsia="Arial" w:hAnsi="Arial"/>
          <w:sz w:val="17"/>
          <w:szCs w:val="17"/>
          <w:color w:val="auto"/>
        </w:rPr>
        <w:t>A total number of 16,644,000 options outstanding June 30, 2021 were anti</w:t>
      </w:r>
      <w:r>
        <w:rPr>
          <w:rFonts w:ascii="MS PGothic" w:cs="MS PGothic" w:eastAsia="MS PGothic" w:hAnsi="MS PGothic"/>
          <w:sz w:val="17"/>
          <w:szCs w:val="17"/>
          <w:color w:val="auto"/>
        </w:rPr>
        <w:t>‑</w:t>
      </w:r>
      <w:r>
        <w:rPr>
          <w:rFonts w:ascii="Arial" w:cs="Arial" w:eastAsia="Arial" w:hAnsi="Arial"/>
          <w:sz w:val="17"/>
          <w:szCs w:val="17"/>
          <w:color w:val="auto"/>
        </w:rPr>
        <w:t>dilutive and were therefore excluded from the weighted average number of ordinary shares for the purpose of diluted earnings per share. These options related to the following option plans</w:t>
      </w:r>
    </w:p>
    <w:p>
      <w:pPr>
        <w:spacing w:after="0" w:line="93" w:lineRule="exact"/>
        <w:rPr>
          <w:sz w:val="20"/>
          <w:szCs w:val="20"/>
          <w:color w:val="auto"/>
        </w:rPr>
      </w:pPr>
    </w:p>
    <w:p>
      <w:pPr>
        <w:jc w:val="both"/>
        <w:ind w:firstLine="896"/>
        <w:spacing w:after="0" w:line="270" w:lineRule="auto"/>
        <w:rPr>
          <w:sz w:val="20"/>
          <w:szCs w:val="20"/>
          <w:color w:val="auto"/>
        </w:rPr>
      </w:pPr>
      <w:r>
        <w:rPr>
          <w:rFonts w:ascii="Arial" w:cs="Arial" w:eastAsia="Arial" w:hAnsi="Arial"/>
          <w:sz w:val="17"/>
          <w:szCs w:val="17"/>
          <w:color w:val="auto"/>
        </w:rPr>
        <w:t>We have not declared or paid any dividends on our ordinary shared. We intend to retain any earnings for use in our business and do not currently intend to pay cash dividends on our ordinary shares. Dividends, if any, on our outstanding ordianry shares will be declared by and subject to the discretion of our board of directors, and subject to Australian law.</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3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340" w:type="dxa"/>
            <w:vAlign w:val="bottom"/>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3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25"/>
        </w:trPr>
        <w:tc>
          <w:tcPr>
            <w:tcW w:w="666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4"/>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NED Plan</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10,000,000</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6,000,000</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6,000,000</w:t>
            </w: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LTIP</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6,644,000</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12,044,000</w:t>
            </w:r>
          </w:p>
        </w:tc>
        <w:tc>
          <w:tcPr>
            <w:tcW w:w="26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12,969,000</w:t>
            </w:r>
          </w:p>
        </w:tc>
        <w:tc>
          <w:tcPr>
            <w:tcW w:w="100" w:type="dxa"/>
            <w:vAlign w:val="bottom"/>
            <w:tcBorders>
              <w:bottom w:val="single" w:sz="8" w:color="CFF0FC"/>
            </w:tcBorders>
          </w:tcPr>
          <w:p>
            <w:pPr>
              <w:spacing w:after="0"/>
              <w:rPr>
                <w:sz w:val="19"/>
                <w:szCs w:val="19"/>
                <w:color w:val="auto"/>
              </w:rPr>
            </w:pPr>
          </w:p>
        </w:tc>
      </w:tr>
      <w:tr>
        <w:trPr>
          <w:trHeight w:val="214"/>
        </w:trPr>
        <w:tc>
          <w:tcPr>
            <w:tcW w:w="666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16,644,000</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18,044,000</w:t>
            </w:r>
          </w:p>
        </w:tc>
        <w:tc>
          <w:tcPr>
            <w:tcW w:w="260" w:type="dxa"/>
            <w:vAlign w:val="bottom"/>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18,969,000</w:t>
            </w:r>
          </w:p>
        </w:tc>
        <w:tc>
          <w:tcPr>
            <w:tcW w:w="100" w:type="dxa"/>
            <w:vAlign w:val="bottom"/>
            <w:shd w:val="clear" w:color="auto" w:fill="CFF0FC"/>
          </w:tcPr>
          <w:p>
            <w:pPr>
              <w:spacing w:after="0"/>
              <w:rPr>
                <w:sz w:val="18"/>
                <w:szCs w:val="18"/>
                <w:color w:val="auto"/>
              </w:rPr>
            </w:pPr>
          </w:p>
        </w:tc>
      </w:tr>
    </w:tbl>
    <w:p>
      <w:pPr>
        <w:spacing w:after="0" w:line="23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of June 30, 2021, 11,394,000 outstanding options were exercisable as of that date (2020: 18,044,000).</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Current Assets – Cash and Cash Equivalents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40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4020" w:type="dxa"/>
            <w:vAlign w:val="bottom"/>
            <w:tcBorders>
              <w:bottom w:val="single" w:sz="8" w:color="CFF0FC"/>
            </w:tcBorders>
          </w:tcPr>
          <w:p>
            <w:pPr>
              <w:spacing w:after="0"/>
              <w:rPr>
                <w:sz w:val="14"/>
                <w:szCs w:val="14"/>
                <w:color w:val="auto"/>
              </w:rPr>
            </w:pPr>
          </w:p>
        </w:tc>
        <w:tc>
          <w:tcPr>
            <w:tcW w:w="372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CFF0FC"/>
            </w:tcBorders>
          </w:tcPr>
          <w:p>
            <w:pPr>
              <w:spacing w:after="0"/>
              <w:rPr>
                <w:sz w:val="14"/>
                <w:szCs w:val="14"/>
                <w:color w:val="auto"/>
              </w:rPr>
            </w:pPr>
          </w:p>
        </w:tc>
      </w:tr>
      <w:tr>
        <w:trPr>
          <w:trHeight w:val="214"/>
        </w:trPr>
        <w:tc>
          <w:tcPr>
            <w:tcW w:w="4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at bank and in hand</w:t>
            </w:r>
          </w:p>
        </w:tc>
        <w:tc>
          <w:tcPr>
            <w:tcW w:w="5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15,538,510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2,077,089</w:t>
            </w:r>
          </w:p>
        </w:tc>
        <w:tc>
          <w:tcPr>
            <w:tcW w:w="120" w:type="dxa"/>
            <w:vAlign w:val="bottom"/>
            <w:shd w:val="clear" w:color="auto" w:fill="CFF0FC"/>
          </w:tcPr>
          <w:p>
            <w:pPr>
              <w:spacing w:after="0"/>
              <w:rPr>
                <w:sz w:val="18"/>
                <w:szCs w:val="18"/>
                <w:color w:val="auto"/>
              </w:rPr>
            </w:pPr>
          </w:p>
        </w:tc>
      </w:tr>
      <w:tr>
        <w:trPr>
          <w:trHeight w:val="221"/>
        </w:trPr>
        <w:tc>
          <w:tcPr>
            <w:tcW w:w="4020" w:type="dxa"/>
            <w:vAlign w:val="bottom"/>
          </w:tcPr>
          <w:p>
            <w:pPr>
              <w:ind w:left="240"/>
              <w:spacing w:after="0"/>
              <w:rPr>
                <w:sz w:val="20"/>
                <w:szCs w:val="20"/>
                <w:color w:val="auto"/>
              </w:rPr>
            </w:pPr>
            <w:r>
              <w:rPr>
                <w:rFonts w:ascii="Arial" w:cs="Arial" w:eastAsia="Arial" w:hAnsi="Arial"/>
                <w:sz w:val="17"/>
                <w:szCs w:val="17"/>
                <w:color w:val="auto"/>
              </w:rPr>
              <w:t>Short-term deposits</w:t>
            </w:r>
          </w:p>
        </w:tc>
        <w:tc>
          <w:tcPr>
            <w:tcW w:w="5260" w:type="dxa"/>
            <w:vAlign w:val="bottom"/>
            <w:gridSpan w:val="2"/>
          </w:tcPr>
          <w:p>
            <w:pPr>
              <w:jc w:val="right"/>
              <w:spacing w:after="0"/>
              <w:rPr>
                <w:sz w:val="20"/>
                <w:szCs w:val="20"/>
                <w:color w:val="auto"/>
              </w:rPr>
            </w:pPr>
            <w:r>
              <w:rPr>
                <w:rFonts w:ascii="Arial" w:cs="Arial" w:eastAsia="Arial" w:hAnsi="Arial"/>
                <w:sz w:val="17"/>
                <w:szCs w:val="17"/>
                <w:color w:val="auto"/>
              </w:rPr>
              <w:t>102,654,667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40,573,769</w:t>
            </w:r>
          </w:p>
        </w:tc>
        <w:tc>
          <w:tcPr>
            <w:tcW w:w="120" w:type="dxa"/>
            <w:vAlign w:val="bottom"/>
          </w:tcPr>
          <w:p>
            <w:pPr>
              <w:spacing w:after="0"/>
              <w:rPr>
                <w:sz w:val="19"/>
                <w:szCs w:val="19"/>
                <w:color w:val="auto"/>
              </w:rPr>
            </w:pPr>
          </w:p>
        </w:tc>
      </w:tr>
      <w:tr>
        <w:trPr>
          <w:trHeight w:val="214"/>
        </w:trPr>
        <w:tc>
          <w:tcPr>
            <w:tcW w:w="40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Total cash and cash equivalents</w:t>
            </w:r>
          </w:p>
        </w:tc>
        <w:tc>
          <w:tcPr>
            <w:tcW w:w="37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118,193,177</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42,650,858</w:t>
            </w:r>
          </w:p>
        </w:tc>
        <w:tc>
          <w:tcPr>
            <w:tcW w:w="120" w:type="dxa"/>
            <w:vAlign w:val="bottom"/>
            <w:tcBorders>
              <w:top w:val="single" w:sz="8" w:color="CFF0FC"/>
            </w:tcBorders>
            <w:shd w:val="clear" w:color="auto" w:fill="CFF0FC"/>
          </w:tcPr>
          <w:p>
            <w:pPr>
              <w:spacing w:after="0"/>
              <w:rPr>
                <w:sz w:val="18"/>
                <w:szCs w:val="18"/>
                <w:color w:val="auto"/>
              </w:rPr>
            </w:pPr>
          </w:p>
        </w:tc>
      </w:tr>
      <w:tr>
        <w:trPr>
          <w:trHeight w:val="617"/>
        </w:trPr>
        <w:tc>
          <w:tcPr>
            <w:tcW w:w="4020" w:type="dxa"/>
            <w:vAlign w:val="bottom"/>
          </w:tcPr>
          <w:p>
            <w:pPr>
              <w:spacing w:after="0"/>
              <w:rPr>
                <w:sz w:val="24"/>
                <w:szCs w:val="24"/>
                <w:color w:val="auto"/>
              </w:rPr>
            </w:pPr>
          </w:p>
        </w:tc>
        <w:tc>
          <w:tcPr>
            <w:tcW w:w="5540" w:type="dxa"/>
            <w:vAlign w:val="bottom"/>
            <w:gridSpan w:val="3"/>
          </w:tcPr>
          <w:p>
            <w:pPr>
              <w:ind w:left="1440"/>
              <w:spacing w:after="0"/>
              <w:rPr>
                <w:sz w:val="20"/>
                <w:szCs w:val="20"/>
                <w:color w:val="auto"/>
              </w:rPr>
            </w:pPr>
            <w:r>
              <w:rPr>
                <w:rFonts w:ascii="Arial" w:cs="Arial" w:eastAsia="Arial" w:hAnsi="Arial"/>
                <w:sz w:val="17"/>
                <w:szCs w:val="17"/>
                <w:color w:val="auto"/>
              </w:rPr>
              <w:t>F-21</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402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1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Cash at bank earns interest at floating rates based on daily bank deposit rates. The carrying amounts of cash and cash equivalents represent fair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value.</w:t>
      </w:r>
    </w:p>
    <w:p>
      <w:pPr>
        <w:spacing w:after="0" w:line="104" w:lineRule="exact"/>
        <w:rPr>
          <w:sz w:val="20"/>
          <w:szCs w:val="20"/>
          <w:color w:val="auto"/>
        </w:rPr>
      </w:pPr>
    </w:p>
    <w:p>
      <w:pPr>
        <w:jc w:val="both"/>
        <w:ind w:firstLine="896"/>
        <w:spacing w:after="0" w:line="212" w:lineRule="exact"/>
        <w:rPr>
          <w:sz w:val="20"/>
          <w:szCs w:val="20"/>
          <w:color w:val="auto"/>
        </w:rPr>
      </w:pPr>
      <w:r>
        <w:rPr>
          <w:rFonts w:ascii="Arial" w:cs="Arial" w:eastAsia="Arial" w:hAnsi="Arial"/>
          <w:sz w:val="17"/>
          <w:szCs w:val="17"/>
          <w:color w:val="auto"/>
        </w:rPr>
        <w:t>Short term</w:t>
      </w:r>
      <w:r>
        <w:rPr>
          <w:rFonts w:ascii="MS PGothic" w:cs="MS PGothic" w:eastAsia="MS PGothic" w:hAnsi="MS PGothic"/>
          <w:sz w:val="17"/>
          <w:szCs w:val="17"/>
          <w:color w:val="auto"/>
        </w:rPr>
        <w:t>‑</w:t>
      </w:r>
      <w:r>
        <w:rPr>
          <w:rFonts w:ascii="Arial" w:cs="Arial" w:eastAsia="Arial" w:hAnsi="Arial"/>
          <w:sz w:val="17"/>
          <w:szCs w:val="17"/>
          <w:color w:val="auto"/>
        </w:rPr>
        <w:t>deposits are with two major Australian banks and are made for varying periods of between 30 and 90 days, depending on the immediate cash requirements of the Group, and earn interest at a fixed rate for the respective short</w:t>
      </w:r>
      <w:r>
        <w:rPr>
          <w:rFonts w:ascii="MS PGothic" w:cs="MS PGothic" w:eastAsia="MS PGothic" w:hAnsi="MS PGothic"/>
          <w:sz w:val="17"/>
          <w:szCs w:val="17"/>
          <w:color w:val="auto"/>
        </w:rPr>
        <w:t>‑</w:t>
      </w:r>
      <w:r>
        <w:rPr>
          <w:rFonts w:ascii="Arial" w:cs="Arial" w:eastAsia="Arial" w:hAnsi="Arial"/>
          <w:sz w:val="17"/>
          <w:szCs w:val="17"/>
          <w:color w:val="auto"/>
        </w:rPr>
        <w:t>term deposit periods. At year end, the average rate was 0.24% (2020: 1.01%).</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Current Assets - Receivables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Interest receivable</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37,905</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56,032</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GST receivable</w:t>
            </w:r>
            <w:r>
              <w:rPr>
                <w:rFonts w:ascii="Arial" w:cs="Arial" w:eastAsia="Arial" w:hAnsi="Arial"/>
                <w:sz w:val="14"/>
                <w:szCs w:val="14"/>
                <w:color w:val="auto"/>
              </w:rPr>
              <w:t>1</w:t>
            </w:r>
          </w:p>
        </w:tc>
        <w:tc>
          <w:tcPr>
            <w:tcW w:w="1540" w:type="dxa"/>
            <w:vAlign w:val="bottom"/>
          </w:tcPr>
          <w:p>
            <w:pPr>
              <w:jc w:val="right"/>
              <w:spacing w:after="0"/>
              <w:rPr>
                <w:sz w:val="20"/>
                <w:szCs w:val="20"/>
                <w:color w:val="auto"/>
              </w:rPr>
            </w:pPr>
            <w:r>
              <w:rPr>
                <w:rFonts w:ascii="Arial" w:cs="Arial" w:eastAsia="Arial" w:hAnsi="Arial"/>
                <w:sz w:val="17"/>
                <w:szCs w:val="17"/>
                <w:color w:val="auto"/>
              </w:rPr>
              <w:t>136,239</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105,124</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receivable</w:t>
            </w:r>
            <w:r>
              <w:rPr>
                <w:rFonts w:ascii="Arial" w:cs="Arial" w:eastAsia="Arial" w:hAnsi="Arial"/>
                <w:sz w:val="14"/>
                <w:szCs w:val="14"/>
                <w:color w:val="auto"/>
              </w:rPr>
              <w:t>1</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391,142</w:t>
            </w:r>
          </w:p>
        </w:tc>
        <w:tc>
          <w:tcPr>
            <w:tcW w:w="2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34,417</w:t>
            </w:r>
          </w:p>
        </w:tc>
        <w:tc>
          <w:tcPr>
            <w:tcW w:w="120" w:type="dxa"/>
            <w:vAlign w:val="bottom"/>
            <w:shd w:val="clear" w:color="auto" w:fill="CFF0FC"/>
          </w:tcPr>
          <w:p>
            <w:pPr>
              <w:spacing w:after="0"/>
              <w:rPr>
                <w:sz w:val="19"/>
                <w:szCs w:val="19"/>
                <w:color w:val="auto"/>
              </w:rPr>
            </w:pPr>
          </w:p>
        </w:tc>
      </w:tr>
      <w:tr>
        <w:trPr>
          <w:trHeight w:val="214"/>
        </w:trPr>
        <w:tc>
          <w:tcPr>
            <w:tcW w:w="7740" w:type="dxa"/>
            <w:vAlign w:val="bottom"/>
          </w:tcPr>
          <w:p>
            <w:pPr>
              <w:ind w:left="240"/>
              <w:spacing w:after="0"/>
              <w:rPr>
                <w:sz w:val="20"/>
                <w:szCs w:val="20"/>
                <w:color w:val="auto"/>
              </w:rPr>
            </w:pPr>
            <w:r>
              <w:rPr>
                <w:rFonts w:ascii="Arial" w:cs="Arial" w:eastAsia="Arial" w:hAnsi="Arial"/>
                <w:sz w:val="17"/>
                <w:szCs w:val="17"/>
                <w:b w:val="1"/>
                <w:bCs w:val="1"/>
                <w:color w:val="auto"/>
              </w:rPr>
              <w:t>Total current receivables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565,286</w:t>
            </w:r>
          </w:p>
        </w:tc>
        <w:tc>
          <w:tcPr>
            <w:tcW w:w="2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195,573</w:t>
            </w:r>
          </w:p>
        </w:tc>
        <w:tc>
          <w:tcPr>
            <w:tcW w:w="120" w:type="dxa"/>
            <w:vAlign w:val="bottom"/>
          </w:tcPr>
          <w:p>
            <w:pPr>
              <w:spacing w:after="0"/>
              <w:rPr>
                <w:sz w:val="18"/>
                <w:szCs w:val="18"/>
                <w:color w:val="auto"/>
              </w:rPr>
            </w:pPr>
          </w:p>
        </w:tc>
      </w:tr>
    </w:tbl>
    <w:p>
      <w:pPr>
        <w:spacing w:after="0" w:line="221" w:lineRule="exact"/>
        <w:rPr>
          <w:sz w:val="20"/>
          <w:szCs w:val="20"/>
          <w:color w:val="auto"/>
        </w:rPr>
      </w:pPr>
    </w:p>
    <w:p>
      <w:pPr>
        <w:jc w:val="both"/>
        <w:ind w:firstLine="896"/>
        <w:spacing w:after="0" w:line="214" w:lineRule="exact"/>
        <w:rPr>
          <w:sz w:val="20"/>
          <w:szCs w:val="20"/>
          <w:color w:val="auto"/>
        </w:rPr>
      </w:pPr>
      <w:r>
        <w:rPr>
          <w:rFonts w:ascii="Arial" w:cs="Arial" w:eastAsia="Arial" w:hAnsi="Arial"/>
          <w:sz w:val="17"/>
          <w:szCs w:val="17"/>
          <w:color w:val="auto"/>
        </w:rPr>
        <w:t>1 The GST and other receivables are non</w:t>
      </w:r>
      <w:r>
        <w:rPr>
          <w:rFonts w:ascii="MS PGothic" w:cs="MS PGothic" w:eastAsia="MS PGothic" w:hAnsi="MS PGothic"/>
          <w:sz w:val="17"/>
          <w:szCs w:val="17"/>
          <w:color w:val="auto"/>
        </w:rPr>
        <w:t>‑</w:t>
      </w:r>
      <w:r>
        <w:rPr>
          <w:rFonts w:ascii="Arial" w:cs="Arial" w:eastAsia="Arial" w:hAnsi="Arial"/>
          <w:sz w:val="17"/>
          <w:szCs w:val="17"/>
          <w:color w:val="auto"/>
        </w:rPr>
        <w:t>interest bearing. There were no receivables with a material expected credit loss recorded during the financial year (2020: nil).</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Current Assets - Prepayments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CFF0FC"/>
            </w:tcBorders>
          </w:tcPr>
          <w:p>
            <w:pPr>
              <w:spacing w:after="0"/>
              <w:rPr>
                <w:sz w:val="14"/>
                <w:szCs w:val="14"/>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R&amp;D Contract Research Organization</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12,551,398</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Insurance</w:t>
            </w:r>
          </w:p>
        </w:tc>
        <w:tc>
          <w:tcPr>
            <w:tcW w:w="1540" w:type="dxa"/>
            <w:vAlign w:val="bottom"/>
          </w:tcPr>
          <w:p>
            <w:pPr>
              <w:jc w:val="right"/>
              <w:spacing w:after="0"/>
              <w:rPr>
                <w:sz w:val="20"/>
                <w:szCs w:val="20"/>
                <w:color w:val="auto"/>
              </w:rPr>
            </w:pPr>
            <w:r>
              <w:rPr>
                <w:rFonts w:ascii="Arial" w:cs="Arial" w:eastAsia="Arial" w:hAnsi="Arial"/>
                <w:sz w:val="17"/>
                <w:szCs w:val="17"/>
                <w:color w:val="auto"/>
              </w:rPr>
              <w:t>1,820,059</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320,521</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prepayments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14,698</w:t>
            </w:r>
          </w:p>
        </w:tc>
        <w:tc>
          <w:tcPr>
            <w:tcW w:w="2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8,630</w:t>
            </w:r>
          </w:p>
        </w:tc>
        <w:tc>
          <w:tcPr>
            <w:tcW w:w="120" w:type="dxa"/>
            <w:vAlign w:val="bottom"/>
            <w:shd w:val="clear" w:color="auto" w:fill="CFF0FC"/>
          </w:tcPr>
          <w:p>
            <w:pPr>
              <w:spacing w:after="0"/>
              <w:rPr>
                <w:sz w:val="19"/>
                <w:szCs w:val="19"/>
                <w:color w:val="auto"/>
              </w:rPr>
            </w:pPr>
          </w:p>
        </w:tc>
      </w:tr>
      <w:tr>
        <w:trPr>
          <w:trHeight w:val="214"/>
        </w:trPr>
        <w:tc>
          <w:tcPr>
            <w:tcW w:w="7740" w:type="dxa"/>
            <w:vAlign w:val="bottom"/>
          </w:tcPr>
          <w:p>
            <w:pPr>
              <w:ind w:left="240"/>
              <w:spacing w:after="0"/>
              <w:rPr>
                <w:sz w:val="20"/>
                <w:szCs w:val="20"/>
                <w:color w:val="auto"/>
              </w:rPr>
            </w:pPr>
            <w:r>
              <w:rPr>
                <w:rFonts w:ascii="Arial" w:cs="Arial" w:eastAsia="Arial" w:hAnsi="Arial"/>
                <w:sz w:val="17"/>
                <w:szCs w:val="17"/>
                <w:b w:val="1"/>
                <w:bCs w:val="1"/>
                <w:color w:val="auto"/>
              </w:rPr>
              <w:t>Total current prepayments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14,386,155</w:t>
            </w:r>
          </w:p>
        </w:tc>
        <w:tc>
          <w:tcPr>
            <w:tcW w:w="2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329,151</w:t>
            </w:r>
          </w:p>
        </w:tc>
        <w:tc>
          <w:tcPr>
            <w:tcW w:w="120" w:type="dxa"/>
            <w:vAlign w:val="bottom"/>
          </w:tcPr>
          <w:p>
            <w:pPr>
              <w:spacing w:after="0"/>
              <w:rPr>
                <w:sz w:val="18"/>
                <w:szCs w:val="18"/>
                <w:color w:val="auto"/>
              </w:rPr>
            </w:pPr>
          </w:p>
        </w:tc>
      </w:tr>
    </w:tbl>
    <w:p>
      <w:pPr>
        <w:spacing w:after="0" w:line="234" w:lineRule="exact"/>
        <w:rPr>
          <w:sz w:val="20"/>
          <w:szCs w:val="20"/>
          <w:color w:val="auto"/>
        </w:rPr>
      </w:pPr>
    </w:p>
    <w:p>
      <w:pPr>
        <w:jc w:val="both"/>
        <w:ind w:firstLine="896"/>
        <w:spacing w:after="0" w:line="211" w:lineRule="exact"/>
        <w:rPr>
          <w:sz w:val="20"/>
          <w:szCs w:val="20"/>
          <w:color w:val="auto"/>
        </w:rPr>
      </w:pPr>
      <w:r>
        <w:rPr>
          <w:rFonts w:ascii="Arial" w:cs="Arial" w:eastAsia="Arial" w:hAnsi="Arial"/>
          <w:sz w:val="17"/>
          <w:szCs w:val="17"/>
          <w:color w:val="auto"/>
        </w:rPr>
        <w:t>The R&amp;D Contract Research Organization prepayment consists of prepayments on the Phase 3 clinical trial for OPT</w:t>
      </w:r>
      <w:r>
        <w:rPr>
          <w:rFonts w:ascii="MS PGothic" w:cs="MS PGothic" w:eastAsia="MS PGothic" w:hAnsi="MS PGothic"/>
          <w:sz w:val="17"/>
          <w:szCs w:val="17"/>
          <w:color w:val="auto"/>
        </w:rPr>
        <w:t>‑</w:t>
      </w:r>
      <w:r>
        <w:rPr>
          <w:rFonts w:ascii="Arial" w:cs="Arial" w:eastAsia="Arial" w:hAnsi="Arial"/>
          <w:sz w:val="17"/>
          <w:szCs w:val="17"/>
          <w:color w:val="auto"/>
        </w:rPr>
        <w:t>302 in order to secure sites across the world and start patient recruitment. These prepayments covered the initial startup of the Phase 3 clinical trials and are expected to be consumed within the next 12 months. The Insurance amount relates to specific Phase 3 Clinical trial insurance in place for various sites around the world covering periods to 2024. The non</w:t>
      </w:r>
      <w:r>
        <w:rPr>
          <w:rFonts w:ascii="MS PGothic" w:cs="MS PGothic" w:eastAsia="MS PGothic" w:hAnsi="MS PGothic"/>
          <w:sz w:val="17"/>
          <w:szCs w:val="17"/>
          <w:color w:val="auto"/>
        </w:rPr>
        <w:t>‑</w:t>
      </w:r>
      <w:r>
        <w:rPr>
          <w:rFonts w:ascii="Arial" w:cs="Arial" w:eastAsia="Arial" w:hAnsi="Arial"/>
          <w:sz w:val="17"/>
          <w:szCs w:val="17"/>
          <w:color w:val="auto"/>
        </w:rPr>
        <w:t>current portion of the prepayments are recorded as non</w:t>
      </w:r>
      <w:r>
        <w:rPr>
          <w:rFonts w:ascii="MS PGothic" w:cs="MS PGothic" w:eastAsia="MS PGothic" w:hAnsi="MS PGothic"/>
          <w:sz w:val="17"/>
          <w:szCs w:val="17"/>
          <w:color w:val="auto"/>
        </w:rPr>
        <w:t>‑</w:t>
      </w:r>
      <w:r>
        <w:rPr>
          <w:rFonts w:ascii="Arial" w:cs="Arial" w:eastAsia="Arial" w:hAnsi="Arial"/>
          <w:sz w:val="17"/>
          <w:szCs w:val="17"/>
          <w:color w:val="auto"/>
        </w:rPr>
        <w:t>current assets. Refer Note 19.</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Non-Current Assets – Investments in Financial Assets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234"/>
        </w:trPr>
        <w:tc>
          <w:tcPr>
            <w:tcW w:w="4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r>
      <w:tr>
        <w:trPr>
          <w:trHeight w:val="220"/>
        </w:trPr>
        <w:tc>
          <w:tcPr>
            <w:tcW w:w="42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149"/>
        </w:trPr>
        <w:tc>
          <w:tcPr>
            <w:tcW w:w="4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1"/>
        </w:trPr>
        <w:tc>
          <w:tcPr>
            <w:tcW w:w="42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Listed Australian shares - at fair value</w:t>
            </w:r>
            <w:r>
              <w:rPr>
                <w:rFonts w:ascii="Arial" w:cs="Arial" w:eastAsia="Arial" w:hAnsi="Arial"/>
                <w:sz w:val="14"/>
                <w:szCs w:val="14"/>
                <w:color w:val="auto"/>
              </w:rPr>
              <w:t>1</w:t>
            </w:r>
          </w:p>
        </w:tc>
        <w:tc>
          <w:tcPr>
            <w:tcW w:w="35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ind w:left="136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199,417</w:t>
            </w:r>
          </w:p>
        </w:tc>
        <w:tc>
          <w:tcPr>
            <w:tcW w:w="120" w:type="dxa"/>
            <w:vAlign w:val="bottom"/>
            <w:shd w:val="clear" w:color="auto" w:fill="CFF0FC"/>
          </w:tcPr>
          <w:p>
            <w:pPr>
              <w:spacing w:after="0"/>
              <w:rPr>
                <w:sz w:val="19"/>
                <w:szCs w:val="19"/>
                <w:color w:val="auto"/>
              </w:rPr>
            </w:pPr>
          </w:p>
        </w:tc>
      </w:tr>
      <w:tr>
        <w:trPr>
          <w:trHeight w:val="214"/>
        </w:trPr>
        <w:tc>
          <w:tcPr>
            <w:tcW w:w="4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4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7"/>
                <w:szCs w:val="17"/>
                <w:b w:val="1"/>
                <w:bCs w:val="1"/>
                <w:color w:val="auto"/>
                <w:w w:val="93"/>
              </w:rPr>
              <w:t>—</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199,417</w:t>
            </w:r>
          </w:p>
        </w:tc>
        <w:tc>
          <w:tcPr>
            <w:tcW w:w="120" w:type="dxa"/>
            <w:vAlign w:val="bottom"/>
          </w:tcPr>
          <w:p>
            <w:pPr>
              <w:spacing w:after="0"/>
              <w:rPr>
                <w:sz w:val="18"/>
                <w:szCs w:val="18"/>
                <w:color w:val="auto"/>
              </w:rPr>
            </w:pPr>
          </w:p>
        </w:tc>
      </w:tr>
      <w:tr>
        <w:trPr>
          <w:trHeight w:val="617"/>
        </w:trPr>
        <w:tc>
          <w:tcPr>
            <w:tcW w:w="4220" w:type="dxa"/>
            <w:vAlign w:val="bottom"/>
          </w:tcPr>
          <w:p>
            <w:pPr>
              <w:spacing w:after="0"/>
              <w:rPr>
                <w:sz w:val="24"/>
                <w:szCs w:val="24"/>
                <w:color w:val="auto"/>
              </w:rPr>
            </w:pPr>
          </w:p>
        </w:tc>
        <w:tc>
          <w:tcPr>
            <w:tcW w:w="5340" w:type="dxa"/>
            <w:vAlign w:val="bottom"/>
            <w:gridSpan w:val="3"/>
          </w:tcPr>
          <w:p>
            <w:pPr>
              <w:ind w:left="1240"/>
              <w:spacing w:after="0"/>
              <w:rPr>
                <w:sz w:val="20"/>
                <w:szCs w:val="20"/>
                <w:color w:val="auto"/>
              </w:rPr>
            </w:pPr>
            <w:r>
              <w:rPr>
                <w:rFonts w:ascii="Arial" w:cs="Arial" w:eastAsia="Arial" w:hAnsi="Arial"/>
                <w:sz w:val="17"/>
                <w:szCs w:val="17"/>
                <w:color w:val="auto"/>
              </w:rPr>
              <w:t>F-22</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422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listed Australian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Disposal</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Financial</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Fair value</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Exchange</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9"/>
              </w:rPr>
              <w:t>value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00" w:type="dxa"/>
            <w:vAlign w:val="bottom"/>
          </w:tcPr>
          <w:p>
            <w:pPr>
              <w:spacing w:after="0"/>
              <w:rPr>
                <w:sz w:val="12"/>
                <w:szCs w:val="12"/>
                <w:color w:val="auto"/>
              </w:rPr>
            </w:pPr>
          </w:p>
        </w:tc>
        <w:tc>
          <w:tcPr>
            <w:tcW w:w="2260" w:type="dxa"/>
            <w:vAlign w:val="bottom"/>
            <w:vMerge w:val="restart"/>
          </w:tcPr>
          <w:p>
            <w:pPr>
              <w:jc w:val="center"/>
              <w:ind w:left="642"/>
              <w:spacing w:after="0"/>
              <w:rPr>
                <w:sz w:val="20"/>
                <w:szCs w:val="20"/>
                <w:color w:val="auto"/>
              </w:rPr>
            </w:pPr>
            <w:r>
              <w:rPr>
                <w:rFonts w:ascii="Arial" w:cs="Arial" w:eastAsia="Arial" w:hAnsi="Arial"/>
                <w:sz w:val="14"/>
                <w:szCs w:val="14"/>
                <w:b w:val="1"/>
                <w:bCs w:val="1"/>
                <w:color w:val="auto"/>
                <w:w w:val="91"/>
              </w:rPr>
              <w:t>Ownership</w:t>
            </w:r>
          </w:p>
        </w:tc>
        <w:tc>
          <w:tcPr>
            <w:tcW w:w="11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ind w:left="300"/>
              <w:spacing w:after="0" w:line="143" w:lineRule="exact"/>
              <w:rPr>
                <w:sz w:val="20"/>
                <w:szCs w:val="20"/>
                <w:color w:val="auto"/>
              </w:rPr>
            </w:pPr>
            <w:r>
              <w:rPr>
                <w:rFonts w:ascii="Arial" w:cs="Arial" w:eastAsia="Arial" w:hAnsi="Arial"/>
                <w:sz w:val="14"/>
                <w:szCs w:val="14"/>
                <w:b w:val="1"/>
                <w:bCs w:val="1"/>
                <w:color w:val="auto"/>
              </w:rPr>
              <w:t>in the</w:t>
            </w: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5"/>
              </w:rPr>
              <w:t>gain/(loss)</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Opening</w:t>
            </w:r>
          </w:p>
        </w:tc>
        <w:tc>
          <w:tcPr>
            <w:tcW w:w="0" w:type="dxa"/>
            <w:vAlign w:val="bottom"/>
          </w:tcPr>
          <w:p>
            <w:pPr>
              <w:spacing w:after="0"/>
              <w:rPr>
                <w:sz w:val="1"/>
                <w:szCs w:val="1"/>
                <w:color w:val="auto"/>
              </w:rPr>
            </w:pPr>
          </w:p>
        </w:tc>
      </w:tr>
      <w:tr>
        <w:trPr>
          <w:trHeight w:val="143"/>
        </w:trPr>
        <w:tc>
          <w:tcPr>
            <w:tcW w:w="3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Listed Investments</w:t>
            </w:r>
          </w:p>
        </w:tc>
        <w:tc>
          <w:tcPr>
            <w:tcW w:w="2260" w:type="dxa"/>
            <w:vAlign w:val="bottom"/>
            <w:vMerge w:val="continue"/>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6"/>
              </w:rPr>
              <w:t>at</w:t>
            </w:r>
          </w:p>
        </w:tc>
        <w:tc>
          <w:tcPr>
            <w:tcW w:w="11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1"/>
              </w:rPr>
              <w:t>on</w:t>
            </w:r>
          </w:p>
        </w:tc>
        <w:tc>
          <w:tcPr>
            <w:tcW w:w="116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rPr>
              <w:t>financial</w:t>
            </w: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6"/>
              </w:rPr>
              <w:t>recognized</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00" w:type="dxa"/>
            <w:vAlign w:val="bottom"/>
            <w:vMerge w:val="continue"/>
          </w:tcPr>
          <w:p>
            <w:pPr>
              <w:spacing w:after="0"/>
              <w:rPr>
                <w:sz w:val="14"/>
                <w:szCs w:val="14"/>
                <w:color w:val="auto"/>
              </w:rPr>
            </w:pPr>
          </w:p>
        </w:tc>
        <w:tc>
          <w:tcPr>
            <w:tcW w:w="2260" w:type="dxa"/>
            <w:vAlign w:val="bottom"/>
          </w:tcPr>
          <w:p>
            <w:pPr>
              <w:jc w:val="center"/>
              <w:ind w:left="622"/>
              <w:spacing w:after="0"/>
              <w:rPr>
                <w:sz w:val="20"/>
                <w:szCs w:val="20"/>
                <w:color w:val="auto"/>
              </w:rPr>
            </w:pPr>
            <w:r>
              <w:rPr>
                <w:rFonts w:ascii="Arial" w:cs="Arial" w:eastAsia="Arial" w:hAnsi="Arial"/>
                <w:sz w:val="14"/>
                <w:szCs w:val="14"/>
                <w:b w:val="1"/>
                <w:bCs w:val="1"/>
                <w:color w:val="auto"/>
                <w:w w:val="86"/>
              </w:rPr>
              <w:t>interest</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r>
              <w:rPr>
                <w:rFonts w:ascii="Arial" w:cs="Arial" w:eastAsia="Arial" w:hAnsi="Arial"/>
                <w:sz w:val="11"/>
                <w:szCs w:val="11"/>
                <w:b w:val="1"/>
                <w:bCs w:val="1"/>
                <w:color w:val="auto"/>
                <w:w w:val="89"/>
              </w:rPr>
              <w:t>2</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translation</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1"/>
                <w:szCs w:val="11"/>
                <w:b w:val="1"/>
                <w:bCs w:val="1"/>
                <w:color w:val="auto"/>
              </w:rPr>
              <w:t>3</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OCI</w:t>
            </w:r>
            <w:r>
              <w:rPr>
                <w:rFonts w:ascii="Arial" w:cs="Arial" w:eastAsia="Arial" w:hAnsi="Arial"/>
                <w:sz w:val="11"/>
                <w:szCs w:val="11"/>
                <w:b w:val="1"/>
                <w:bCs w:val="1"/>
                <w:color w:val="auto"/>
              </w:rPr>
              <w:t>4</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2021</w:t>
            </w:r>
          </w:p>
        </w:tc>
        <w:tc>
          <w:tcPr>
            <w:tcW w:w="2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240"/>
              <w:spacing w:after="0"/>
              <w:rPr>
                <w:sz w:val="20"/>
                <w:szCs w:val="20"/>
                <w:color w:val="auto"/>
              </w:rPr>
            </w:pPr>
            <w:r>
              <w:rPr>
                <w:rFonts w:ascii="Arial" w:cs="Arial" w:eastAsia="Arial" w:hAnsi="Arial"/>
                <w:sz w:val="17"/>
                <w:szCs w:val="17"/>
                <w:color w:val="auto"/>
              </w:rPr>
              <w:t>Non-current investments:</w:t>
            </w:r>
          </w:p>
        </w:tc>
        <w:tc>
          <w:tcPr>
            <w:tcW w:w="2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Optiscan Imaging Limited</w:t>
            </w:r>
          </w:p>
        </w:tc>
        <w:tc>
          <w:tcPr>
            <w:tcW w:w="2260" w:type="dxa"/>
            <w:vAlign w:val="bottom"/>
            <w:shd w:val="clear" w:color="auto" w:fill="CFF0FC"/>
          </w:tcPr>
          <w:p>
            <w:pPr>
              <w:jc w:val="right"/>
              <w:ind w:right="882"/>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300"/>
              <w:spacing w:after="0"/>
              <w:rPr>
                <w:sz w:val="20"/>
                <w:szCs w:val="20"/>
                <w:color w:val="auto"/>
              </w:rPr>
            </w:pPr>
            <w:r>
              <w:rPr>
                <w:rFonts w:ascii="Arial" w:cs="Arial" w:eastAsia="Arial" w:hAnsi="Arial"/>
                <w:sz w:val="17"/>
                <w:szCs w:val="17"/>
                <w:color w:val="auto"/>
              </w:rPr>
              <w:t>(669,184)</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469,767</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00" w:type="dxa"/>
            <w:vAlign w:val="bottom"/>
            <w:tcBorders>
              <w:bottom w:val="single" w:sz="8" w:color="CFF0FC"/>
            </w:tcBorders>
          </w:tcPr>
          <w:p>
            <w:pPr>
              <w:ind w:left="240"/>
              <w:spacing w:after="0"/>
              <w:rPr>
                <w:sz w:val="20"/>
                <w:szCs w:val="20"/>
                <w:color w:val="auto"/>
              </w:rPr>
            </w:pPr>
            <w:r>
              <w:rPr>
                <w:rFonts w:ascii="Arial" w:cs="Arial" w:eastAsia="Arial" w:hAnsi="Arial"/>
                <w:sz w:val="17"/>
                <w:szCs w:val="17"/>
                <w:b w:val="1"/>
                <w:bCs w:val="1"/>
                <w:color w:val="auto"/>
              </w:rPr>
              <w:t>Total listed investments</w:t>
            </w:r>
          </w:p>
        </w:tc>
        <w:tc>
          <w:tcPr>
            <w:tcW w:w="226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b w:val="1"/>
                <w:bCs w:val="1"/>
                <w:color w:val="auto"/>
                <w:w w:val="82"/>
              </w:rPr>
              <w:t>(669,184)</w:t>
            </w:r>
          </w:p>
        </w:tc>
        <w:tc>
          <w:tcPr>
            <w:tcW w:w="24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469,767</w:t>
            </w:r>
          </w:p>
        </w:tc>
        <w:tc>
          <w:tcPr>
            <w:tcW w:w="24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199,417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2020 (Restated)</w:t>
            </w:r>
          </w:p>
        </w:tc>
        <w:tc>
          <w:tcPr>
            <w:tcW w:w="2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240"/>
              <w:spacing w:after="0"/>
              <w:rPr>
                <w:sz w:val="20"/>
                <w:szCs w:val="20"/>
                <w:color w:val="auto"/>
              </w:rPr>
            </w:pPr>
            <w:r>
              <w:rPr>
                <w:rFonts w:ascii="Arial" w:cs="Arial" w:eastAsia="Arial" w:hAnsi="Arial"/>
                <w:sz w:val="17"/>
                <w:szCs w:val="17"/>
                <w:color w:val="auto"/>
              </w:rPr>
              <w:t>Non-current investments:</w:t>
            </w:r>
          </w:p>
        </w:tc>
        <w:tc>
          <w:tcPr>
            <w:tcW w:w="2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Antisense Therapeutics Ltd</w:t>
            </w:r>
          </w:p>
        </w:tc>
        <w:tc>
          <w:tcPr>
            <w:tcW w:w="2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(2,469)</w:t>
            </w:r>
          </w:p>
        </w:tc>
        <w:tc>
          <w:tcPr>
            <w:tcW w:w="1160" w:type="dxa"/>
            <w:vAlign w:val="bottom"/>
            <w:gridSpan w:val="2"/>
            <w:shd w:val="clear" w:color="auto" w:fill="CFF0FC"/>
          </w:tcPr>
          <w:p>
            <w:pPr>
              <w:ind w:left="300"/>
              <w:spacing w:after="0"/>
              <w:rPr>
                <w:sz w:val="20"/>
                <w:szCs w:val="20"/>
                <w:color w:val="auto"/>
              </w:rPr>
            </w:pPr>
            <w:r>
              <w:rPr>
                <w:rFonts w:ascii="Arial" w:cs="Arial" w:eastAsia="Arial" w:hAnsi="Arial"/>
                <w:sz w:val="17"/>
                <w:szCs w:val="17"/>
                <w:color w:val="auto"/>
              </w:rPr>
              <w:t>(335,746)</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174,196</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164,019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tcPr>
          <w:p>
            <w:pPr>
              <w:ind w:left="240"/>
              <w:spacing w:after="0"/>
              <w:rPr>
                <w:sz w:val="20"/>
                <w:szCs w:val="20"/>
                <w:color w:val="auto"/>
              </w:rPr>
            </w:pPr>
            <w:r>
              <w:rPr>
                <w:rFonts w:ascii="Arial" w:cs="Arial" w:eastAsia="Arial" w:hAnsi="Arial"/>
                <w:sz w:val="17"/>
                <w:szCs w:val="17"/>
                <w:color w:val="auto"/>
              </w:rPr>
              <w:t>Optiscan Imaging Limited</w:t>
            </w:r>
          </w:p>
        </w:tc>
        <w:tc>
          <w:tcPr>
            <w:tcW w:w="2260" w:type="dxa"/>
            <w:vAlign w:val="bottom"/>
          </w:tcPr>
          <w:p>
            <w:pPr>
              <w:jc w:val="right"/>
              <w:ind w:right="82"/>
              <w:spacing w:after="0"/>
              <w:rPr>
                <w:sz w:val="20"/>
                <w:szCs w:val="20"/>
                <w:color w:val="auto"/>
              </w:rPr>
            </w:pPr>
            <w:r>
              <w:rPr>
                <w:rFonts w:ascii="Arial" w:cs="Arial" w:eastAsia="Arial" w:hAnsi="Arial"/>
                <w:sz w:val="17"/>
                <w:szCs w:val="17"/>
                <w:color w:val="auto"/>
              </w:rPr>
              <w:t>1.73%</w:t>
            </w:r>
          </w:p>
        </w:tc>
        <w:tc>
          <w:tcPr>
            <w:tcW w:w="920" w:type="dxa"/>
            <w:vAlign w:val="bottom"/>
          </w:tcPr>
          <w:p>
            <w:pPr>
              <w:jc w:val="right"/>
              <w:spacing w:after="0"/>
              <w:rPr>
                <w:sz w:val="20"/>
                <w:szCs w:val="20"/>
                <w:color w:val="auto"/>
              </w:rPr>
            </w:pPr>
            <w:r>
              <w:rPr>
                <w:rFonts w:ascii="Arial" w:cs="Arial" w:eastAsia="Arial" w:hAnsi="Arial"/>
                <w:sz w:val="17"/>
                <w:szCs w:val="17"/>
                <w:color w:val="auto"/>
              </w:rPr>
              <w:t>199,417</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(4,920)</w:t>
            </w:r>
          </w:p>
        </w:tc>
        <w:tc>
          <w:tcPr>
            <w:tcW w:w="116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(133,098)</w:t>
            </w:r>
          </w:p>
        </w:tc>
        <w:tc>
          <w:tcPr>
            <w:tcW w:w="940" w:type="dxa"/>
            <w:vAlign w:val="bottom"/>
          </w:tcPr>
          <w:p>
            <w:pPr>
              <w:jc w:val="right"/>
              <w:spacing w:after="0"/>
              <w:rPr>
                <w:sz w:val="20"/>
                <w:szCs w:val="20"/>
                <w:color w:val="auto"/>
              </w:rPr>
            </w:pPr>
            <w:r>
              <w:rPr>
                <w:rFonts w:ascii="Arial" w:cs="Arial" w:eastAsia="Arial" w:hAnsi="Arial"/>
                <w:sz w:val="17"/>
                <w:szCs w:val="17"/>
                <w:color w:val="auto"/>
              </w:rPr>
              <w:t>337,435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Total listed investments</w:t>
            </w:r>
          </w:p>
        </w:tc>
        <w:tc>
          <w:tcPr>
            <w:tcW w:w="2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199,417</w:t>
            </w: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(7,389)</w:t>
            </w: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7"/>
                <w:szCs w:val="17"/>
                <w:b w:val="1"/>
                <w:bCs w:val="1"/>
                <w:color w:val="auto"/>
                <w:w w:val="82"/>
              </w:rPr>
              <w:t>(335,746)</w:t>
            </w: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41,098</w:t>
            </w: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501,454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896"/>
        <w:spacing w:after="0" w:line="211" w:lineRule="exact"/>
        <w:rPr>
          <w:sz w:val="20"/>
          <w:szCs w:val="20"/>
          <w:color w:val="auto"/>
        </w:rPr>
      </w:pPr>
      <w:r>
        <w:rPr>
          <w:rFonts w:ascii="Arial" w:cs="Arial" w:eastAsia="Arial" w:hAnsi="Arial"/>
          <w:sz w:val="17"/>
          <w:szCs w:val="17"/>
          <w:color w:val="auto"/>
        </w:rPr>
        <w:t>1 These financial assets are investments in equity instruments and are not held for trading, they are held for medium to long</w:t>
      </w:r>
      <w:r>
        <w:rPr>
          <w:rFonts w:ascii="MS PGothic" w:cs="MS PGothic" w:eastAsia="MS PGothic" w:hAnsi="MS PGothic"/>
          <w:sz w:val="17"/>
          <w:szCs w:val="17"/>
          <w:color w:val="auto"/>
        </w:rPr>
        <w:t>‑</w:t>
      </w:r>
      <w:r>
        <w:rPr>
          <w:rFonts w:ascii="Arial" w:cs="Arial" w:eastAsia="Arial" w:hAnsi="Arial"/>
          <w:sz w:val="17"/>
          <w:szCs w:val="17"/>
          <w:color w:val="auto"/>
        </w:rPr>
        <w:t>term strategic purposes. Accordingly, the Group has elected to designate these investments in equity instruments as at FVTOCI as recognizing short</w:t>
      </w:r>
      <w:r>
        <w:rPr>
          <w:rFonts w:ascii="MS PGothic" w:cs="MS PGothic" w:eastAsia="MS PGothic" w:hAnsi="MS PGothic"/>
          <w:sz w:val="17"/>
          <w:szCs w:val="17"/>
          <w:color w:val="auto"/>
        </w:rPr>
        <w:t>‑</w:t>
      </w:r>
      <w:r>
        <w:rPr>
          <w:rFonts w:ascii="Arial" w:cs="Arial" w:eastAsia="Arial" w:hAnsi="Arial"/>
          <w:sz w:val="17"/>
          <w:szCs w:val="17"/>
          <w:color w:val="auto"/>
        </w:rPr>
        <w:t>term fluctuations in these investments’ fair value in profit or loss would not be consistent with the Group’s strategy of holding these investments for long</w:t>
      </w:r>
      <w:r>
        <w:rPr>
          <w:rFonts w:ascii="MS PGothic" w:cs="MS PGothic" w:eastAsia="MS PGothic" w:hAnsi="MS PGothic"/>
          <w:sz w:val="17"/>
          <w:szCs w:val="17"/>
          <w:color w:val="auto"/>
        </w:rPr>
        <w:t>‑</w:t>
      </w:r>
      <w:r>
        <w:rPr>
          <w:rFonts w:ascii="Arial" w:cs="Arial" w:eastAsia="Arial" w:hAnsi="Arial"/>
          <w:sz w:val="17"/>
          <w:szCs w:val="17"/>
          <w:color w:val="auto"/>
        </w:rPr>
        <w:t>term purposes and realizing their performance potential in the long run.</w:t>
      </w:r>
    </w:p>
    <w:p>
      <w:pPr>
        <w:spacing w:after="0" w:line="196" w:lineRule="exact"/>
        <w:rPr>
          <w:sz w:val="20"/>
          <w:szCs w:val="20"/>
          <w:color w:val="auto"/>
        </w:rPr>
      </w:pPr>
    </w:p>
    <w:p>
      <w:pPr>
        <w:jc w:val="both"/>
        <w:ind w:firstLine="896"/>
        <w:spacing w:after="0" w:line="212" w:lineRule="exact"/>
        <w:rPr>
          <w:sz w:val="20"/>
          <w:szCs w:val="20"/>
          <w:color w:val="auto"/>
        </w:rPr>
      </w:pPr>
      <w:r>
        <w:rPr>
          <w:rFonts w:ascii="Arial" w:cs="Arial" w:eastAsia="Arial" w:hAnsi="Arial"/>
          <w:sz w:val="17"/>
          <w:szCs w:val="17"/>
          <w:color w:val="auto"/>
        </w:rPr>
        <w:t>2 The fair value represents the share (bid) price at year end and does not include any capital gains tax or selling costs that may be applicable on the disposal of these investments. These non</w:t>
      </w:r>
      <w:r>
        <w:rPr>
          <w:rFonts w:ascii="MS PGothic" w:cs="MS PGothic" w:eastAsia="MS PGothic" w:hAnsi="MS PGothic"/>
          <w:sz w:val="17"/>
          <w:szCs w:val="17"/>
          <w:color w:val="auto"/>
        </w:rPr>
        <w:t>‑</w:t>
      </w:r>
      <w:r>
        <w:rPr>
          <w:rFonts w:ascii="Arial" w:cs="Arial" w:eastAsia="Arial" w:hAnsi="Arial"/>
          <w:sz w:val="17"/>
          <w:szCs w:val="17"/>
          <w:color w:val="auto"/>
        </w:rPr>
        <w:t>current investments in listed shares consist of investments in ordinary shares, and therefore have no fixed maturity date or coupon rate.</w:t>
      </w:r>
    </w:p>
    <w:p>
      <w:pPr>
        <w:spacing w:after="0" w:line="196" w:lineRule="exact"/>
        <w:rPr>
          <w:sz w:val="20"/>
          <w:szCs w:val="20"/>
          <w:color w:val="auto"/>
        </w:rPr>
      </w:pPr>
    </w:p>
    <w:p>
      <w:pPr>
        <w:jc w:val="both"/>
        <w:ind w:firstLine="896"/>
        <w:spacing w:after="0" w:line="270" w:lineRule="auto"/>
        <w:rPr>
          <w:sz w:val="20"/>
          <w:szCs w:val="20"/>
          <w:color w:val="auto"/>
        </w:rPr>
      </w:pPr>
      <w:r>
        <w:rPr>
          <w:rFonts w:ascii="Arial" w:cs="Arial" w:eastAsia="Arial" w:hAnsi="Arial"/>
          <w:sz w:val="17"/>
          <w:szCs w:val="17"/>
          <w:color w:val="auto"/>
        </w:rPr>
        <w:t>3 During the year ended June 30, 2021, the Group’s investment in Optiscan Imaging Limited (OIL) was sold for net proceeds of US$669,184. The increase in fair value during the year of US$469,767 was recognized in other comprehensive income. The fair value of the investment in OIL at the disposal date was US$669,184. The Group disposed of the investment in line with its Treasury and Investment Policy.</w:t>
      </w:r>
    </w:p>
    <w:p>
      <w:pPr>
        <w:spacing w:after="0" w:line="172" w:lineRule="exact"/>
        <w:rPr>
          <w:sz w:val="20"/>
          <w:szCs w:val="20"/>
          <w:color w:val="auto"/>
        </w:rPr>
      </w:pPr>
    </w:p>
    <w:p>
      <w:pPr>
        <w:jc w:val="both"/>
        <w:ind w:firstLine="896"/>
        <w:spacing w:after="0" w:line="265" w:lineRule="auto"/>
        <w:rPr>
          <w:sz w:val="20"/>
          <w:szCs w:val="20"/>
          <w:color w:val="auto"/>
        </w:rPr>
      </w:pPr>
      <w:r>
        <w:rPr>
          <w:rFonts w:ascii="Arial" w:cs="Arial" w:eastAsia="Arial" w:hAnsi="Arial"/>
          <w:sz w:val="17"/>
          <w:szCs w:val="17"/>
          <w:color w:val="auto"/>
        </w:rPr>
        <w:t>During the year ended June 30, 2020, the Group disposed of its remaining investment in Antisense Therapeutics Ltd (ANP) for net proceeds of US$335,746. The increase in fair value during the year of US$174,196 was recognized in other comprehensive income. In accordance with the Group’s accounting policy, the gain remains within the fair value of investments reserve. The fair value of the investment in ANP at the disposal date was US$335,746. The Group disposed of the investment in line with its Treasury and Investments Policy.</w:t>
      </w:r>
    </w:p>
    <w:p>
      <w:pPr>
        <w:spacing w:after="0" w:line="176" w:lineRule="exact"/>
        <w:rPr>
          <w:sz w:val="20"/>
          <w:szCs w:val="20"/>
          <w:color w:val="auto"/>
        </w:rPr>
      </w:pPr>
    </w:p>
    <w:p>
      <w:pPr>
        <w:jc w:val="both"/>
        <w:ind w:firstLine="896"/>
        <w:spacing w:after="0" w:line="285" w:lineRule="auto"/>
        <w:rPr>
          <w:sz w:val="20"/>
          <w:szCs w:val="20"/>
          <w:color w:val="auto"/>
        </w:rPr>
      </w:pPr>
      <w:r>
        <w:rPr>
          <w:rFonts w:ascii="Arial" w:cs="Arial" w:eastAsia="Arial" w:hAnsi="Arial"/>
          <w:sz w:val="17"/>
          <w:szCs w:val="17"/>
          <w:color w:val="auto"/>
        </w:rPr>
        <w:t>4 A fair value increase of US$469,767 (2020: US$41,098) in the carrying value of investments has been made through other comprehensive income in the year due to a net increase in their market value in the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Right-of-Use Assets</w:t>
      </w:r>
    </w:p>
    <w:p>
      <w:pPr>
        <w:spacing w:after="0" w:line="226"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color w:val="auto"/>
        </w:rPr>
        <w:t>Right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asset</w:t>
      </w:r>
    </w:p>
    <w:p>
      <w:pPr>
        <w:spacing w:after="0" w:line="220" w:lineRule="exact"/>
        <w:rPr>
          <w:sz w:val="20"/>
          <w:szCs w:val="20"/>
          <w:color w:val="auto"/>
        </w:rPr>
      </w:pPr>
    </w:p>
    <w:p>
      <w:pPr>
        <w:ind w:right="360" w:firstLine="706"/>
        <w:spacing w:after="0" w:line="214" w:lineRule="exact"/>
        <w:rPr>
          <w:sz w:val="20"/>
          <w:szCs w:val="20"/>
          <w:color w:val="auto"/>
        </w:rPr>
      </w:pPr>
      <w:r>
        <w:rPr>
          <w:rFonts w:ascii="Arial" w:cs="Arial" w:eastAsia="Arial" w:hAnsi="Arial"/>
          <w:sz w:val="17"/>
          <w:szCs w:val="17"/>
          <w:color w:val="auto"/>
        </w:rPr>
        <w:t>The Group has a three</w:t>
      </w:r>
      <w:r>
        <w:rPr>
          <w:rFonts w:ascii="MS PGothic" w:cs="MS PGothic" w:eastAsia="MS PGothic" w:hAnsi="MS PGothic"/>
          <w:sz w:val="17"/>
          <w:szCs w:val="17"/>
          <w:color w:val="auto"/>
        </w:rPr>
        <w:t>‑</w:t>
      </w:r>
      <w:r>
        <w:rPr>
          <w:rFonts w:ascii="Arial" w:cs="Arial" w:eastAsia="Arial" w:hAnsi="Arial"/>
          <w:sz w:val="17"/>
          <w:szCs w:val="17"/>
          <w:color w:val="auto"/>
        </w:rPr>
        <w:t>year lease contract for its head office premises in Melbourne, Australia which commenced on July 15, 2019. The agreement does not contain any extension options. The carrying amount of the lease at June 30, 2021 and 2020 is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Pr>
          <w:p>
            <w:pPr>
              <w:spacing w:after="0"/>
              <w:rPr>
                <w:sz w:val="14"/>
                <w:szCs w:val="14"/>
                <w:color w:val="auto"/>
              </w:rPr>
            </w:pPr>
          </w:p>
        </w:tc>
        <w:tc>
          <w:tcPr>
            <w:tcW w:w="18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Right-of-Use Asset Cost</w:t>
            </w: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Opening balance as of July 1</w:t>
            </w:r>
          </w:p>
        </w:tc>
        <w:tc>
          <w:tcPr>
            <w:tcW w:w="1540" w:type="dxa"/>
            <w:vAlign w:val="bottom"/>
          </w:tcPr>
          <w:p>
            <w:pPr>
              <w:jc w:val="right"/>
              <w:spacing w:after="0"/>
              <w:rPr>
                <w:sz w:val="20"/>
                <w:szCs w:val="20"/>
                <w:color w:val="auto"/>
              </w:rPr>
            </w:pPr>
            <w:r>
              <w:rPr>
                <w:rFonts w:ascii="Arial" w:cs="Arial" w:eastAsia="Arial" w:hAnsi="Arial"/>
                <w:sz w:val="17"/>
                <w:szCs w:val="17"/>
                <w:color w:val="auto"/>
              </w:rPr>
              <w:t>251,189</w:t>
            </w:r>
          </w:p>
        </w:tc>
        <w:tc>
          <w:tcPr>
            <w:tcW w:w="28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251,189</w:t>
            </w:r>
          </w:p>
        </w:tc>
        <w:tc>
          <w:tcPr>
            <w:tcW w:w="120" w:type="dxa"/>
            <w:vAlign w:val="bottom"/>
            <w:shd w:val="clear" w:color="auto" w:fill="CFF0FC"/>
          </w:tcPr>
          <w:p>
            <w:pPr>
              <w:spacing w:after="0"/>
              <w:rPr>
                <w:sz w:val="19"/>
                <w:szCs w:val="19"/>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Exchange on translations</w:t>
            </w:r>
          </w:p>
        </w:tc>
        <w:tc>
          <w:tcPr>
            <w:tcW w:w="1540" w:type="dxa"/>
            <w:vAlign w:val="bottom"/>
          </w:tcPr>
          <w:p>
            <w:pPr>
              <w:jc w:val="right"/>
              <w:spacing w:after="0"/>
              <w:rPr>
                <w:sz w:val="20"/>
                <w:szCs w:val="20"/>
                <w:color w:val="auto"/>
              </w:rPr>
            </w:pPr>
            <w:r>
              <w:rPr>
                <w:rFonts w:ascii="Arial" w:cs="Arial" w:eastAsia="Arial" w:hAnsi="Arial"/>
                <w:sz w:val="17"/>
                <w:szCs w:val="17"/>
                <w:color w:val="auto"/>
              </w:rPr>
              <w:t>30,365</w:t>
            </w:r>
          </w:p>
        </w:tc>
        <w:tc>
          <w:tcPr>
            <w:tcW w:w="28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77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281,554</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251,189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4"/>
        </w:trPr>
        <w:tc>
          <w:tcPr>
            <w:tcW w:w="7740" w:type="dxa"/>
            <w:vAlign w:val="bottom"/>
          </w:tcPr>
          <w:p>
            <w:pPr>
              <w:ind w:left="240"/>
              <w:spacing w:after="0"/>
              <w:rPr>
                <w:sz w:val="20"/>
                <w:szCs w:val="20"/>
                <w:color w:val="auto"/>
              </w:rPr>
            </w:pPr>
            <w:r>
              <w:rPr>
                <w:rFonts w:ascii="Arial" w:cs="Arial" w:eastAsia="Arial" w:hAnsi="Arial"/>
                <w:sz w:val="17"/>
                <w:szCs w:val="17"/>
                <w:color w:val="auto"/>
              </w:rPr>
              <w:t>Right-of-Use-Asset Depreciation</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Opening balance as of July 1</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(83,729)</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Charge to the period</w:t>
            </w: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(91,656)</w:t>
            </w:r>
          </w:p>
        </w:tc>
        <w:tc>
          <w:tcPr>
            <w:tcW w:w="1680" w:type="dxa"/>
            <w:vAlign w:val="bottom"/>
            <w:gridSpan w:val="2"/>
          </w:tcPr>
          <w:p>
            <w:pPr>
              <w:jc w:val="right"/>
              <w:ind w:right="60"/>
              <w:spacing w:after="0"/>
              <w:rPr>
                <w:sz w:val="20"/>
                <w:szCs w:val="20"/>
                <w:color w:val="auto"/>
              </w:rPr>
            </w:pPr>
            <w:r>
              <w:rPr>
                <w:rFonts w:ascii="Arial" w:cs="Arial" w:eastAsia="Arial" w:hAnsi="Arial"/>
                <w:sz w:val="17"/>
                <w:szCs w:val="17"/>
                <w:color w:val="auto"/>
              </w:rPr>
              <w:t>(81,611)</w:t>
            </w: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Exchange on translation</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(12,317)</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(2,118)</w:t>
            </w:r>
          </w:p>
        </w:tc>
      </w:tr>
      <w:tr>
        <w:trPr>
          <w:trHeight w:val="20"/>
        </w:trPr>
        <w:tc>
          <w:tcPr>
            <w:tcW w:w="77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77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(187,702)</w:t>
            </w:r>
          </w:p>
        </w:tc>
        <w:tc>
          <w:tcPr>
            <w:tcW w:w="1680" w:type="dxa"/>
            <w:vAlign w:val="bottom"/>
            <w:gridSpan w:val="2"/>
          </w:tcPr>
          <w:p>
            <w:pPr>
              <w:jc w:val="right"/>
              <w:ind w:right="60"/>
              <w:spacing w:after="0"/>
              <w:rPr>
                <w:sz w:val="20"/>
                <w:szCs w:val="20"/>
                <w:color w:val="auto"/>
              </w:rPr>
            </w:pPr>
            <w:r>
              <w:rPr>
                <w:rFonts w:ascii="Arial" w:cs="Arial" w:eastAsia="Arial" w:hAnsi="Arial"/>
                <w:sz w:val="17"/>
                <w:szCs w:val="17"/>
                <w:color w:val="auto"/>
              </w:rPr>
              <w:t>(83,729)</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Net carrying amount of June 30</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93,852</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167,460</w:t>
            </w:r>
          </w:p>
        </w:tc>
        <w:tc>
          <w:tcPr>
            <w:tcW w:w="120" w:type="dxa"/>
            <w:vAlign w:val="bottom"/>
            <w:tcBorders>
              <w:top w:val="single" w:sz="8" w:color="CFF0FC"/>
            </w:tcBorders>
            <w:shd w:val="clear" w:color="auto" w:fill="CFF0FC"/>
          </w:tcPr>
          <w:p>
            <w:pPr>
              <w:spacing w:after="0"/>
              <w:rPr>
                <w:sz w:val="18"/>
                <w:szCs w:val="18"/>
                <w:color w:val="auto"/>
              </w:rPr>
            </w:pPr>
          </w:p>
        </w:tc>
      </w:tr>
    </w:tbl>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Lease liabilities</w:t>
      </w:r>
    </w:p>
    <w:p>
      <w:pPr>
        <w:spacing w:after="0" w:line="220" w:lineRule="exact"/>
        <w:rPr>
          <w:sz w:val="20"/>
          <w:szCs w:val="20"/>
          <w:color w:val="auto"/>
        </w:rPr>
      </w:pPr>
    </w:p>
    <w:p>
      <w:pPr>
        <w:ind w:right="20" w:firstLine="706"/>
        <w:spacing w:after="0" w:line="318" w:lineRule="auto"/>
        <w:rPr>
          <w:sz w:val="20"/>
          <w:szCs w:val="20"/>
          <w:color w:val="auto"/>
        </w:rPr>
      </w:pPr>
      <w:r>
        <w:rPr>
          <w:rFonts w:ascii="Arial" w:cs="Arial" w:eastAsia="Arial" w:hAnsi="Arial"/>
          <w:sz w:val="16"/>
          <w:szCs w:val="16"/>
          <w:color w:val="auto"/>
        </w:rPr>
        <w:t>Lease liabilities are as indicated below. At the commencement date of the lease of its office premises, the Group recognizes lease liabilities measured at the present value of lease payments to be made over the lease term ending on July 14, 2022, using an incremental borrowing rate of 3%.</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CFF0FC"/>
            </w:tcBorders>
          </w:tcPr>
          <w:p>
            <w:pPr>
              <w:spacing w:after="0"/>
              <w:rPr>
                <w:sz w:val="14"/>
                <w:szCs w:val="14"/>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Carrying amount at July 1</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182,290</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New lease</w:t>
            </w:r>
          </w:p>
        </w:tc>
        <w:tc>
          <w:tcPr>
            <w:tcW w:w="1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251,189</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Payments</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(69,325)</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(68,899)</w:t>
            </w:r>
          </w:p>
        </w:tc>
      </w:tr>
      <w:tr>
        <w:trPr>
          <w:trHeight w:val="214"/>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Carrying amount at June 30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112,965</w:t>
            </w:r>
          </w:p>
        </w:tc>
        <w:tc>
          <w:tcPr>
            <w:tcW w:w="280" w:type="dxa"/>
            <w:vAlign w:val="bottom"/>
            <w:tcBorders>
              <w:bottom w:val="single" w:sz="8" w:color="CFF0FC"/>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182,290</w:t>
            </w:r>
          </w:p>
        </w:tc>
        <w:tc>
          <w:tcPr>
            <w:tcW w:w="120" w:type="dxa"/>
            <w:vAlign w:val="bottom"/>
            <w:tcBorders>
              <w:bottom w:val="single" w:sz="8" w:color="CFF0FC"/>
            </w:tcBorders>
          </w:tcPr>
          <w:p>
            <w:pPr>
              <w:spacing w:after="0"/>
              <w:rPr>
                <w:sz w:val="18"/>
                <w:szCs w:val="18"/>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Maturity analysis:</w:t>
            </w: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Year 1</w:t>
            </w:r>
          </w:p>
        </w:tc>
        <w:tc>
          <w:tcPr>
            <w:tcW w:w="1540" w:type="dxa"/>
            <w:vAlign w:val="bottom"/>
          </w:tcPr>
          <w:p>
            <w:pPr>
              <w:jc w:val="right"/>
              <w:spacing w:after="0"/>
              <w:rPr>
                <w:sz w:val="20"/>
                <w:szCs w:val="20"/>
                <w:color w:val="auto"/>
              </w:rPr>
            </w:pPr>
            <w:r>
              <w:rPr>
                <w:rFonts w:ascii="Arial" w:cs="Arial" w:eastAsia="Arial" w:hAnsi="Arial"/>
                <w:sz w:val="17"/>
                <w:szCs w:val="17"/>
                <w:color w:val="auto"/>
              </w:rPr>
              <w:t>124,495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105,026</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Year 2</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87,827</w:t>
            </w:r>
          </w:p>
        </w:tc>
        <w:tc>
          <w:tcPr>
            <w:tcW w:w="120" w:type="dxa"/>
            <w:vAlign w:val="bottom"/>
            <w:shd w:val="clear" w:color="auto" w:fill="CFF0FC"/>
          </w:tcPr>
          <w:p>
            <w:pPr>
              <w:spacing w:after="0"/>
              <w:rPr>
                <w:sz w:val="19"/>
                <w:szCs w:val="19"/>
                <w:color w:val="auto"/>
              </w:rPr>
            </w:pPr>
          </w:p>
        </w:tc>
      </w:tr>
      <w:tr>
        <w:trPr>
          <w:trHeight w:val="221"/>
        </w:trPr>
        <w:tc>
          <w:tcPr>
            <w:tcW w:w="77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124,495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192,853</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Less: unearned interest</w:t>
            </w: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(11,530)</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(10,563)</w:t>
            </w:r>
          </w:p>
        </w:tc>
      </w:tr>
      <w:tr>
        <w:trPr>
          <w:trHeight w:val="214"/>
        </w:trPr>
        <w:tc>
          <w:tcPr>
            <w:tcW w:w="7740" w:type="dxa"/>
            <w:vAlign w:val="bottom"/>
            <w:tcBorders>
              <w:bottom w:val="single" w:sz="8" w:color="CFF0FC"/>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112,965</w:t>
            </w:r>
          </w:p>
        </w:tc>
        <w:tc>
          <w:tcPr>
            <w:tcW w:w="280" w:type="dxa"/>
            <w:vAlign w:val="bottom"/>
            <w:tcBorders>
              <w:bottom w:val="single" w:sz="8" w:color="CFF0FC"/>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182,290</w:t>
            </w:r>
          </w:p>
        </w:tc>
        <w:tc>
          <w:tcPr>
            <w:tcW w:w="120" w:type="dxa"/>
            <w:vAlign w:val="bottom"/>
            <w:tcBorders>
              <w:bottom w:val="single" w:sz="8" w:color="CFF0FC"/>
            </w:tcBorders>
          </w:tcPr>
          <w:p>
            <w:pPr>
              <w:spacing w:after="0"/>
              <w:rPr>
                <w:sz w:val="18"/>
                <w:szCs w:val="18"/>
                <w:color w:val="auto"/>
              </w:rPr>
            </w:pPr>
          </w:p>
        </w:tc>
      </w:tr>
      <w:tr>
        <w:trPr>
          <w:trHeight w:val="214"/>
        </w:trPr>
        <w:tc>
          <w:tcPr>
            <w:tcW w:w="77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Analyzed into:</w:t>
            </w: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1"/>
        </w:trPr>
        <w:tc>
          <w:tcPr>
            <w:tcW w:w="7740" w:type="dxa"/>
            <w:vAlign w:val="bottom"/>
          </w:tcPr>
          <w:p>
            <w:pPr>
              <w:ind w:left="480"/>
              <w:spacing w:after="0"/>
              <w:rPr>
                <w:sz w:val="20"/>
                <w:szCs w:val="20"/>
                <w:color w:val="auto"/>
              </w:rPr>
            </w:pPr>
            <w:r>
              <w:rPr>
                <w:rFonts w:ascii="Arial" w:cs="Arial" w:eastAsia="Arial" w:hAnsi="Arial"/>
                <w:sz w:val="17"/>
                <w:szCs w:val="17"/>
                <w:color w:val="auto"/>
              </w:rPr>
              <w:t>Current portion</w:t>
            </w:r>
          </w:p>
        </w:tc>
        <w:tc>
          <w:tcPr>
            <w:tcW w:w="1540" w:type="dxa"/>
            <w:vAlign w:val="bottom"/>
          </w:tcPr>
          <w:p>
            <w:pPr>
              <w:jc w:val="right"/>
              <w:spacing w:after="0"/>
              <w:rPr>
                <w:sz w:val="20"/>
                <w:szCs w:val="20"/>
                <w:color w:val="auto"/>
              </w:rPr>
            </w:pPr>
            <w:r>
              <w:rPr>
                <w:rFonts w:ascii="Arial" w:cs="Arial" w:eastAsia="Arial" w:hAnsi="Arial"/>
                <w:sz w:val="17"/>
                <w:szCs w:val="17"/>
                <w:color w:val="auto"/>
              </w:rPr>
              <w:t>112,965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99,745</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480"/>
              <w:spacing w:after="0"/>
              <w:rPr>
                <w:sz w:val="20"/>
                <w:szCs w:val="20"/>
                <w:color w:val="auto"/>
              </w:rPr>
            </w:pPr>
            <w:r>
              <w:rPr>
                <w:rFonts w:ascii="Arial" w:cs="Arial" w:eastAsia="Arial" w:hAnsi="Arial"/>
                <w:sz w:val="17"/>
                <w:szCs w:val="17"/>
                <w:color w:val="auto"/>
              </w:rPr>
              <w:t>Non-current portion</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82,545</w:t>
            </w:r>
          </w:p>
        </w:tc>
        <w:tc>
          <w:tcPr>
            <w:tcW w:w="120" w:type="dxa"/>
            <w:vAlign w:val="bottom"/>
            <w:shd w:val="clear" w:color="auto" w:fill="CFF0FC"/>
          </w:tcPr>
          <w:p>
            <w:pPr>
              <w:spacing w:after="0"/>
              <w:rPr>
                <w:sz w:val="19"/>
                <w:szCs w:val="19"/>
                <w:color w:val="auto"/>
              </w:rPr>
            </w:pPr>
          </w:p>
        </w:tc>
      </w:tr>
      <w:tr>
        <w:trPr>
          <w:trHeight w:val="227"/>
        </w:trPr>
        <w:tc>
          <w:tcPr>
            <w:tcW w:w="77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112,965</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182,290</w:t>
            </w:r>
          </w:p>
        </w:tc>
        <w:tc>
          <w:tcPr>
            <w:tcW w:w="120" w:type="dxa"/>
            <w:vAlign w:val="bottom"/>
          </w:tcPr>
          <w:p>
            <w:pPr>
              <w:spacing w:after="0"/>
              <w:rPr>
                <w:sz w:val="19"/>
                <w:szCs w:val="19"/>
                <w:color w:val="auto"/>
              </w:rPr>
            </w:pPr>
          </w:p>
        </w:tc>
      </w:tr>
      <w:tr>
        <w:trPr>
          <w:trHeight w:val="568"/>
        </w:trPr>
        <w:tc>
          <w:tcPr>
            <w:tcW w:w="77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r>
              <w:rPr>
                <w:rFonts w:ascii="Arial" w:cs="Arial" w:eastAsia="Arial" w:hAnsi="Arial"/>
                <w:sz w:val="11"/>
                <w:szCs w:val="11"/>
                <w:b w:val="1"/>
                <w:bCs w:val="1"/>
                <w:color w:val="auto"/>
                <w:w w:val="89"/>
              </w:rPr>
              <w:t>(1)</w:t>
            </w:r>
          </w:p>
        </w:tc>
        <w:tc>
          <w:tcPr>
            <w:tcW w:w="120" w:type="dxa"/>
            <w:vAlign w:val="bottom"/>
          </w:tcPr>
          <w:p>
            <w:pPr>
              <w:spacing w:after="0"/>
              <w:rPr>
                <w:sz w:val="24"/>
                <w:szCs w:val="24"/>
                <w:color w:val="auto"/>
              </w:rPr>
            </w:pP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Amounts recognized in profit or loss:</w:t>
            </w: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40" w:type="dxa"/>
            <w:vAlign w:val="bottom"/>
          </w:tcPr>
          <w:p>
            <w:pPr>
              <w:ind w:left="240"/>
              <w:spacing w:after="0"/>
              <w:rPr>
                <w:sz w:val="20"/>
                <w:szCs w:val="20"/>
                <w:color w:val="auto"/>
              </w:rPr>
            </w:pPr>
            <w:r>
              <w:rPr>
                <w:rFonts w:ascii="Arial" w:cs="Arial" w:eastAsia="Arial" w:hAnsi="Arial"/>
                <w:sz w:val="17"/>
                <w:szCs w:val="17"/>
                <w:color w:val="auto"/>
              </w:rPr>
              <w:t>Depreciation expense on right-of-use asset</w:t>
            </w:r>
          </w:p>
        </w:tc>
        <w:tc>
          <w:tcPr>
            <w:tcW w:w="1540" w:type="dxa"/>
            <w:vAlign w:val="bottom"/>
          </w:tcPr>
          <w:p>
            <w:pPr>
              <w:jc w:val="right"/>
              <w:spacing w:after="0"/>
              <w:rPr>
                <w:sz w:val="20"/>
                <w:szCs w:val="20"/>
                <w:color w:val="auto"/>
              </w:rPr>
            </w:pPr>
            <w:r>
              <w:rPr>
                <w:rFonts w:ascii="Arial" w:cs="Arial" w:eastAsia="Arial" w:hAnsi="Arial"/>
                <w:sz w:val="17"/>
                <w:szCs w:val="17"/>
                <w:color w:val="auto"/>
              </w:rPr>
              <w:t>91,656</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81,611</w:t>
            </w:r>
          </w:p>
        </w:tc>
        <w:tc>
          <w:tcPr>
            <w:tcW w:w="120" w:type="dxa"/>
            <w:vAlign w:val="bottom"/>
          </w:tcPr>
          <w:p>
            <w:pPr>
              <w:spacing w:after="0"/>
              <w:rPr>
                <w:sz w:val="19"/>
                <w:szCs w:val="19"/>
                <w:color w:val="auto"/>
              </w:rPr>
            </w:pPr>
          </w:p>
        </w:tc>
      </w:tr>
      <w:tr>
        <w:trPr>
          <w:trHeight w:val="221"/>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Lease finance costs</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5,782</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5,148</w:t>
            </w:r>
          </w:p>
        </w:tc>
        <w:tc>
          <w:tcPr>
            <w:tcW w:w="120" w:type="dxa"/>
            <w:vAlign w:val="bottom"/>
            <w:shd w:val="clear" w:color="auto" w:fill="CFF0FC"/>
          </w:tcPr>
          <w:p>
            <w:pPr>
              <w:spacing w:after="0"/>
              <w:rPr>
                <w:sz w:val="19"/>
                <w:szCs w:val="19"/>
                <w:color w:val="auto"/>
              </w:rPr>
            </w:pPr>
          </w:p>
        </w:tc>
      </w:tr>
      <w:tr>
        <w:trPr>
          <w:trHeight w:val="221"/>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Expense relating to leases of low value assets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7,042</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6,497</w:t>
            </w:r>
          </w:p>
        </w:tc>
        <w:tc>
          <w:tcPr>
            <w:tcW w:w="120" w:type="dxa"/>
            <w:vAlign w:val="bottom"/>
            <w:tcBorders>
              <w:bottom w:val="single" w:sz="8" w:color="CFF0FC"/>
            </w:tcBorders>
          </w:tcPr>
          <w:p>
            <w:pPr>
              <w:spacing w:after="0"/>
              <w:rPr>
                <w:sz w:val="19"/>
                <w:szCs w:val="19"/>
                <w:color w:val="auto"/>
              </w:rPr>
            </w:pPr>
          </w:p>
        </w:tc>
      </w:tr>
      <w:tr>
        <w:trPr>
          <w:trHeight w:val="214"/>
        </w:trPr>
        <w:tc>
          <w:tcPr>
            <w:tcW w:w="7740" w:type="dxa"/>
            <w:vAlign w:val="bottom"/>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104,480</w:t>
            </w:r>
          </w:p>
        </w:tc>
        <w:tc>
          <w:tcPr>
            <w:tcW w:w="28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93,256</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83820</wp:posOffset>
            </wp:positionV>
            <wp:extent cx="716280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8" w:name="page189"/>
    <w:bookmarkEnd w:id="188"/>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8" w:lineRule="exact"/>
        <w:rPr>
          <w:sz w:val="20"/>
          <w:szCs w:val="20"/>
          <w:color w:val="auto"/>
        </w:rPr>
      </w:pPr>
    </w:p>
    <w:p>
      <w:pPr>
        <w:ind w:left="1140" w:right="100" w:hanging="434"/>
        <w:spacing w:after="0" w:line="271" w:lineRule="auto"/>
        <w:tabs>
          <w:tab w:leader="none" w:pos="11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adoption of IFRS 16 :Leases which became applicable on July 1, 2019 was reflected in the 2020 year, no expenditure in relation to right-of-use-assets was recognized in the 2019 year</w:t>
      </w:r>
      <w:r>
        <w:rPr>
          <w:rFonts w:ascii="Arial" w:cs="Arial" w:eastAsia="Arial" w:hAnsi="Arial"/>
          <w:sz w:val="19"/>
          <w:szCs w:val="19"/>
          <w:color w:val="auto"/>
        </w:rPr>
        <w:t>.</w:t>
      </w:r>
    </w:p>
    <w:p>
      <w:pPr>
        <w:ind w:left="700"/>
        <w:spacing w:after="0" w:line="184" w:lineRule="exact"/>
        <w:rPr>
          <w:sz w:val="20"/>
          <w:szCs w:val="20"/>
          <w:color w:val="auto"/>
        </w:rPr>
      </w:pPr>
      <w:r>
        <w:rPr>
          <w:rFonts w:ascii="Arial" w:cs="Arial" w:eastAsia="Arial" w:hAnsi="Arial"/>
          <w:sz w:val="16"/>
          <w:szCs w:val="16"/>
          <w:color w:val="auto"/>
        </w:rPr>
        <w:t>The Group did not have any short</w:t>
      </w:r>
      <w:r>
        <w:rPr>
          <w:rFonts w:ascii="MS PGothic" w:cs="MS PGothic" w:eastAsia="MS PGothic" w:hAnsi="MS PGothic"/>
          <w:sz w:val="16"/>
          <w:szCs w:val="16"/>
          <w:color w:val="auto"/>
        </w:rPr>
        <w:t>‑</w:t>
      </w:r>
      <w:r>
        <w:rPr>
          <w:rFonts w:ascii="Arial" w:cs="Arial" w:eastAsia="Arial" w:hAnsi="Arial"/>
          <w:sz w:val="16"/>
          <w:szCs w:val="16"/>
          <w:color w:val="auto"/>
        </w:rPr>
        <w:t>term leases during the years ended June 30, 2021 and 2020. The above amounts are recorded in administrative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expenses.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Non-Current Assets - Prepayments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Arial" w:cs="Arial" w:eastAsia="Arial" w:hAnsi="Arial"/>
                <w:sz w:val="14"/>
                <w:szCs w:val="14"/>
                <w:b w:val="1"/>
                <w:bCs w:val="1"/>
                <w:color w:val="auto"/>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US$</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Borders>
              <w:bottom w:val="single" w:sz="8" w:color="CFF0FC"/>
            </w:tcBorders>
          </w:tcPr>
          <w:p>
            <w:pPr>
              <w:spacing w:after="0"/>
              <w:rPr>
                <w:sz w:val="14"/>
                <w:szCs w:val="14"/>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Insurance</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174,541</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ind w:left="1380"/>
              <w:spacing w:after="0"/>
              <w:rPr>
                <w:sz w:val="20"/>
                <w:szCs w:val="20"/>
                <w:color w:val="auto"/>
              </w:rPr>
            </w:pPr>
            <w:r>
              <w:rPr>
                <w:rFonts w:ascii="Arial" w:cs="Arial" w:eastAsia="Arial" w:hAnsi="Arial"/>
                <w:sz w:val="17"/>
                <w:szCs w:val="17"/>
                <w:color w:val="auto"/>
              </w:rPr>
              <w:t>—</w:t>
            </w:r>
          </w:p>
        </w:tc>
      </w:tr>
      <w:tr>
        <w:trPr>
          <w:trHeight w:val="214"/>
        </w:trPr>
        <w:tc>
          <w:tcPr>
            <w:tcW w:w="7740" w:type="dxa"/>
            <w:vAlign w:val="bottom"/>
          </w:tcPr>
          <w:p>
            <w:pPr>
              <w:ind w:left="240"/>
              <w:spacing w:after="0"/>
              <w:rPr>
                <w:sz w:val="20"/>
                <w:szCs w:val="20"/>
                <w:color w:val="auto"/>
              </w:rPr>
            </w:pPr>
            <w:r>
              <w:rPr>
                <w:rFonts w:ascii="Arial" w:cs="Arial" w:eastAsia="Arial" w:hAnsi="Arial"/>
                <w:sz w:val="17"/>
                <w:szCs w:val="17"/>
                <w:b w:val="1"/>
                <w:bCs w:val="1"/>
                <w:color w:val="auto"/>
              </w:rPr>
              <w:t>Total non-current prepayments</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174,541</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380"/>
              <w:spacing w:after="0"/>
              <w:rPr>
                <w:sz w:val="20"/>
                <w:szCs w:val="20"/>
                <w:color w:val="auto"/>
              </w:rPr>
            </w:pPr>
            <w:r>
              <w:rPr>
                <w:rFonts w:ascii="Arial" w:cs="Arial" w:eastAsia="Arial" w:hAnsi="Arial"/>
                <w:sz w:val="17"/>
                <w:szCs w:val="17"/>
                <w:b w:val="1"/>
                <w:bCs w:val="1"/>
                <w:color w:val="auto"/>
                <w:w w:val="93"/>
              </w:rPr>
              <w:t>—</w:t>
            </w:r>
          </w:p>
        </w:tc>
        <w:tc>
          <w:tcPr>
            <w:tcW w:w="120" w:type="dxa"/>
            <w:vAlign w:val="bottom"/>
          </w:tcPr>
          <w:p>
            <w:pPr>
              <w:spacing w:after="0"/>
              <w:rPr>
                <w:sz w:val="18"/>
                <w:szCs w:val="18"/>
                <w:color w:val="auto"/>
              </w:rPr>
            </w:pPr>
          </w:p>
        </w:tc>
      </w:tr>
    </w:tbl>
    <w:p>
      <w:pPr>
        <w:spacing w:after="0" w:line="221" w:lineRule="exact"/>
        <w:rPr>
          <w:sz w:val="20"/>
          <w:szCs w:val="20"/>
          <w:color w:val="auto"/>
        </w:rPr>
      </w:pPr>
    </w:p>
    <w:p>
      <w:pPr>
        <w:ind w:left="900"/>
        <w:spacing w:after="0" w:line="173" w:lineRule="exact"/>
        <w:rPr>
          <w:sz w:val="20"/>
          <w:szCs w:val="20"/>
          <w:color w:val="auto"/>
        </w:rPr>
      </w:pPr>
      <w:r>
        <w:rPr>
          <w:rFonts w:ascii="Arial" w:cs="Arial" w:eastAsia="Arial" w:hAnsi="Arial"/>
          <w:sz w:val="15"/>
          <w:szCs w:val="15"/>
          <w:color w:val="auto"/>
        </w:rPr>
        <w:t>The non</w:t>
      </w:r>
      <w:r>
        <w:rPr>
          <w:rFonts w:ascii="MS PGothic" w:cs="MS PGothic" w:eastAsia="MS PGothic" w:hAnsi="MS PGothic"/>
          <w:sz w:val="15"/>
          <w:szCs w:val="15"/>
          <w:color w:val="auto"/>
        </w:rPr>
        <w:t>‑</w:t>
      </w:r>
      <w:r>
        <w:rPr>
          <w:rFonts w:ascii="Arial" w:cs="Arial" w:eastAsia="Arial" w:hAnsi="Arial"/>
          <w:sz w:val="15"/>
          <w:szCs w:val="15"/>
          <w:color w:val="auto"/>
        </w:rPr>
        <w:t>current prepayment amount relates to specific Phase 3 Clinical trial insurance in place for various sites around the world covering periods to</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2024.</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Current Liabilities – Payables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Accounts Payable (unsecured)</w:t>
            </w:r>
            <w:r>
              <w:rPr>
                <w:rFonts w:ascii="Arial" w:cs="Arial" w:eastAsia="Arial" w:hAnsi="Arial"/>
                <w:sz w:val="14"/>
                <w:szCs w:val="14"/>
                <w:color w:val="auto"/>
              </w:rPr>
              <w:t>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2,417,719</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4,014,818</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Payroll related tax liability</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83,799</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39,143</w:t>
            </w:r>
          </w:p>
        </w:tc>
        <w:tc>
          <w:tcPr>
            <w:tcW w:w="120" w:type="dxa"/>
            <w:vAlign w:val="bottom"/>
            <w:tcBorders>
              <w:bottom w:val="single" w:sz="8" w:color="CFF0FC"/>
            </w:tcBorders>
          </w:tcPr>
          <w:p>
            <w:pPr>
              <w:spacing w:after="0"/>
              <w:rPr>
                <w:sz w:val="19"/>
                <w:szCs w:val="19"/>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Total current payables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2,501,518</w:t>
            </w:r>
          </w:p>
        </w:tc>
        <w:tc>
          <w:tcPr>
            <w:tcW w:w="28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4,053,961</w:t>
            </w:r>
          </w:p>
        </w:tc>
        <w:tc>
          <w:tcPr>
            <w:tcW w:w="120" w:type="dxa"/>
            <w:vAlign w:val="bottom"/>
            <w:shd w:val="clear" w:color="auto" w:fill="CFF0FC"/>
          </w:tcPr>
          <w:p>
            <w:pPr>
              <w:spacing w:after="0"/>
              <w:rPr>
                <w:sz w:val="18"/>
                <w:szCs w:val="18"/>
                <w:color w:val="auto"/>
              </w:rPr>
            </w:pPr>
          </w:p>
        </w:tc>
      </w:tr>
      <w:tr>
        <w:trPr>
          <w:trHeight w:val="448"/>
        </w:trPr>
        <w:tc>
          <w:tcPr>
            <w:tcW w:w="7740" w:type="dxa"/>
            <w:vAlign w:val="bottom"/>
          </w:tcPr>
          <w:p>
            <w:pPr>
              <w:ind w:left="700"/>
              <w:spacing w:after="0" w:line="196" w:lineRule="exact"/>
              <w:rPr>
                <w:sz w:val="20"/>
                <w:szCs w:val="20"/>
                <w:color w:val="auto"/>
              </w:rPr>
            </w:pPr>
            <w:r>
              <w:rPr>
                <w:rFonts w:ascii="Arial" w:cs="Arial" w:eastAsia="Arial" w:hAnsi="Arial"/>
                <w:sz w:val="17"/>
                <w:szCs w:val="17"/>
                <w:color w:val="auto"/>
              </w:rPr>
              <w:t>1 Accounts Payable are non</w:t>
            </w:r>
            <w:r>
              <w:rPr>
                <w:rFonts w:ascii="MS PGothic" w:cs="MS PGothic" w:eastAsia="MS PGothic" w:hAnsi="MS PGothic"/>
                <w:sz w:val="17"/>
                <w:szCs w:val="17"/>
                <w:color w:val="auto"/>
              </w:rPr>
              <w:t>‑</w:t>
            </w:r>
            <w:r>
              <w:rPr>
                <w:rFonts w:ascii="Arial" w:cs="Arial" w:eastAsia="Arial" w:hAnsi="Arial"/>
                <w:sz w:val="17"/>
                <w:szCs w:val="17"/>
                <w:color w:val="auto"/>
              </w:rPr>
              <w:t>interest bearing and are normally settled on 30 day terms.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20"/>
        </w:trPr>
        <w:tc>
          <w:tcPr>
            <w:tcW w:w="7740" w:type="dxa"/>
            <w:vAlign w:val="bottom"/>
          </w:tcPr>
          <w:p>
            <w:pPr>
              <w:spacing w:after="0"/>
              <w:rPr>
                <w:sz w:val="20"/>
                <w:szCs w:val="20"/>
                <w:color w:val="auto"/>
              </w:rPr>
            </w:pPr>
            <w:r>
              <w:rPr>
                <w:rFonts w:ascii="Arial" w:cs="Arial" w:eastAsia="Arial" w:hAnsi="Arial"/>
                <w:sz w:val="17"/>
                <w:szCs w:val="17"/>
                <w:b w:val="1"/>
                <w:bCs w:val="1"/>
                <w:color w:val="auto"/>
              </w:rPr>
              <w:t>Note 21. Current Liabilities - Provisions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5"/>
        </w:trPr>
        <w:tc>
          <w:tcPr>
            <w:tcW w:w="774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Annual leave</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289,043</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277,469</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Long service leave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202,959</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163,296</w:t>
            </w:r>
          </w:p>
        </w:tc>
        <w:tc>
          <w:tcPr>
            <w:tcW w:w="120" w:type="dxa"/>
            <w:vAlign w:val="bottom"/>
            <w:tcBorders>
              <w:bottom w:val="single" w:sz="8" w:color="CFF0FC"/>
            </w:tcBorders>
          </w:tcPr>
          <w:p>
            <w:pPr>
              <w:spacing w:after="0"/>
              <w:rPr>
                <w:sz w:val="19"/>
                <w:szCs w:val="19"/>
                <w:color w:val="auto"/>
              </w:rPr>
            </w:pPr>
          </w:p>
        </w:tc>
      </w:tr>
      <w:tr>
        <w:trPr>
          <w:trHeight w:val="214"/>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b w:val="1"/>
                <w:bCs w:val="1"/>
                <w:color w:val="auto"/>
              </w:rPr>
              <w:t>Total current provisions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492,002</w:t>
            </w:r>
          </w:p>
        </w:tc>
        <w:tc>
          <w:tcPr>
            <w:tcW w:w="28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440,765</w:t>
            </w:r>
          </w:p>
        </w:tc>
        <w:tc>
          <w:tcPr>
            <w:tcW w:w="120" w:type="dxa"/>
            <w:vAlign w:val="bottom"/>
            <w:shd w:val="clear" w:color="auto" w:fill="CFF0FC"/>
          </w:tcPr>
          <w:p>
            <w:pPr>
              <w:spacing w:after="0"/>
              <w:rPr>
                <w:sz w:val="18"/>
                <w:szCs w:val="18"/>
                <w:color w:val="auto"/>
              </w:rPr>
            </w:pPr>
          </w:p>
        </w:tc>
      </w:tr>
      <w:tr>
        <w:trPr>
          <w:trHeight w:val="552"/>
        </w:trPr>
        <w:tc>
          <w:tcPr>
            <w:tcW w:w="7740" w:type="dxa"/>
            <w:vAlign w:val="bottom"/>
          </w:tcPr>
          <w:p>
            <w:pPr>
              <w:spacing w:after="0"/>
              <w:rPr>
                <w:sz w:val="20"/>
                <w:szCs w:val="20"/>
                <w:color w:val="auto"/>
              </w:rPr>
            </w:pPr>
            <w:r>
              <w:rPr>
                <w:rFonts w:ascii="Arial" w:cs="Arial" w:eastAsia="Arial" w:hAnsi="Arial"/>
                <w:sz w:val="17"/>
                <w:szCs w:val="17"/>
                <w:b w:val="1"/>
                <w:bCs w:val="1"/>
                <w:color w:val="auto"/>
              </w:rPr>
              <w:t>Note 22. Non-Current Liabilities - Provisions</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5"/>
        </w:trPr>
        <w:tc>
          <w:tcPr>
            <w:tcW w:w="774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2021</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June 30, 2020</w:t>
            </w:r>
          </w:p>
        </w:tc>
      </w:tr>
      <w:tr>
        <w:trPr>
          <w:trHeight w:val="156"/>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774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US$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Long service leave</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16,915</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27,643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4"/>
        </w:trPr>
        <w:tc>
          <w:tcPr>
            <w:tcW w:w="7740" w:type="dxa"/>
            <w:vAlign w:val="bottom"/>
          </w:tcPr>
          <w:p>
            <w:pPr>
              <w:ind w:left="240"/>
              <w:spacing w:after="0"/>
              <w:rPr>
                <w:sz w:val="20"/>
                <w:szCs w:val="20"/>
                <w:color w:val="auto"/>
              </w:rPr>
            </w:pPr>
            <w:r>
              <w:rPr>
                <w:rFonts w:ascii="Arial" w:cs="Arial" w:eastAsia="Arial" w:hAnsi="Arial"/>
                <w:sz w:val="17"/>
                <w:szCs w:val="17"/>
                <w:b w:val="1"/>
                <w:bCs w:val="1"/>
                <w:color w:val="auto"/>
              </w:rPr>
              <w:t>Total non-current provisions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16,915</w:t>
            </w:r>
          </w:p>
        </w:tc>
        <w:tc>
          <w:tcPr>
            <w:tcW w:w="2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27,643</w:t>
            </w:r>
          </w:p>
        </w:tc>
        <w:tc>
          <w:tcPr>
            <w:tcW w:w="120" w:type="dxa"/>
            <w:vAlign w:val="bottom"/>
          </w:tcPr>
          <w:p>
            <w:pPr>
              <w:spacing w:after="0"/>
              <w:rPr>
                <w:sz w:val="18"/>
                <w:szCs w:val="18"/>
                <w:color w:val="auto"/>
              </w:rPr>
            </w:pPr>
          </w:p>
        </w:tc>
      </w:tr>
      <w:tr>
        <w:trPr>
          <w:trHeight w:val="617"/>
        </w:trPr>
        <w:tc>
          <w:tcPr>
            <w:tcW w:w="7740" w:type="dxa"/>
            <w:vAlign w:val="bottom"/>
          </w:tcPr>
          <w:p>
            <w:pPr>
              <w:ind w:left="5460"/>
              <w:spacing w:after="0"/>
              <w:rPr>
                <w:sz w:val="20"/>
                <w:szCs w:val="20"/>
                <w:color w:val="auto"/>
              </w:rPr>
            </w:pPr>
            <w:r>
              <w:rPr>
                <w:rFonts w:ascii="Arial" w:cs="Arial" w:eastAsia="Arial" w:hAnsi="Arial"/>
                <w:sz w:val="17"/>
                <w:szCs w:val="17"/>
                <w:color w:val="auto"/>
              </w:rPr>
              <w:t>F-25</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77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Contributed Equity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2021</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30, 2020</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July 1, 2019</w:t>
            </w:r>
          </w:p>
        </w:tc>
      </w:tr>
      <w:tr>
        <w:trPr>
          <w:trHeight w:val="156"/>
        </w:trPr>
        <w:tc>
          <w:tcPr>
            <w:tcW w:w="6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r>
      <w:tr>
        <w:trPr>
          <w:trHeight w:val="165"/>
        </w:trPr>
        <w:tc>
          <w:tcPr>
            <w:tcW w:w="66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14"/>
        </w:trPr>
        <w:tc>
          <w:tcPr>
            <w:tcW w:w="66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b w:val="1"/>
                <w:bCs w:val="1"/>
                <w:color w:val="auto"/>
              </w:rPr>
              <w:t>(a) Ordinary shares</w:t>
            </w: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Issued and fully paid at June 30</w:t>
            </w:r>
          </w:p>
        </w:tc>
        <w:tc>
          <w:tcPr>
            <w:tcW w:w="1320" w:type="dxa"/>
            <w:vAlign w:val="bottom"/>
          </w:tcPr>
          <w:p>
            <w:pPr>
              <w:jc w:val="right"/>
              <w:spacing w:after="0"/>
              <w:rPr>
                <w:sz w:val="20"/>
                <w:szCs w:val="20"/>
                <w:color w:val="auto"/>
              </w:rPr>
            </w:pPr>
            <w:r>
              <w:rPr>
                <w:rFonts w:ascii="Arial" w:cs="Arial" w:eastAsia="Arial" w:hAnsi="Arial"/>
                <w:sz w:val="17"/>
                <w:szCs w:val="17"/>
                <w:color w:val="auto"/>
              </w:rPr>
              <w:t>234,147,526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113,852,364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80,331,016</w:t>
            </w:r>
          </w:p>
        </w:tc>
        <w:tc>
          <w:tcPr>
            <w:tcW w:w="100" w:type="dxa"/>
            <w:vAlign w:val="bottom"/>
          </w:tcPr>
          <w:p>
            <w:pPr>
              <w:spacing w:after="0"/>
              <w:rPr>
                <w:sz w:val="19"/>
                <w:szCs w:val="19"/>
                <w:color w:val="auto"/>
              </w:rPr>
            </w:pP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Movement in ordinary shares: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Opening balance</w:t>
            </w:r>
          </w:p>
        </w:tc>
        <w:tc>
          <w:tcPr>
            <w:tcW w:w="1320" w:type="dxa"/>
            <w:vAlign w:val="bottom"/>
          </w:tcPr>
          <w:p>
            <w:pPr>
              <w:jc w:val="right"/>
              <w:spacing w:after="0"/>
              <w:rPr>
                <w:sz w:val="20"/>
                <w:szCs w:val="20"/>
                <w:color w:val="auto"/>
              </w:rPr>
            </w:pPr>
            <w:r>
              <w:rPr>
                <w:rFonts w:ascii="Arial" w:cs="Arial" w:eastAsia="Arial" w:hAnsi="Arial"/>
                <w:sz w:val="17"/>
                <w:szCs w:val="17"/>
                <w:color w:val="auto"/>
              </w:rPr>
              <w:t>113,852,364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80,331,016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69,788,130</w:t>
            </w:r>
          </w:p>
        </w:tc>
        <w:tc>
          <w:tcPr>
            <w:tcW w:w="100" w:type="dxa"/>
            <w:vAlign w:val="bottom"/>
          </w:tcPr>
          <w:p>
            <w:pPr>
              <w:spacing w:after="0"/>
              <w:rPr>
                <w:sz w:val="19"/>
                <w:szCs w:val="19"/>
                <w:color w:val="auto"/>
              </w:rPr>
            </w:pP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Issue of shares on exercise of quoted options</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9,069,584</w:t>
            </w:r>
          </w:p>
        </w:tc>
        <w:tc>
          <w:tcPr>
            <w:tcW w:w="100" w:type="dxa"/>
            <w:vAlign w:val="bottom"/>
            <w:shd w:val="clear" w:color="auto" w:fill="CFF0FC"/>
          </w:tcPr>
          <w:p>
            <w:pPr>
              <w:spacing w:after="0"/>
              <w:rPr>
                <w:sz w:val="19"/>
                <w:szCs w:val="19"/>
                <w:color w:val="auto"/>
              </w:rPr>
            </w:pP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Issue of shares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33,236,520</w:t>
            </w:r>
          </w:p>
        </w:tc>
        <w:tc>
          <w:tcPr>
            <w:tcW w:w="2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Issue of shares on exercise of options granted under the LTIP</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284,828</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Issue of shares on Nasdaq listing net of issuance cost $10,126,959</w:t>
            </w:r>
          </w:p>
        </w:tc>
        <w:tc>
          <w:tcPr>
            <w:tcW w:w="1320" w:type="dxa"/>
            <w:vAlign w:val="bottom"/>
          </w:tcPr>
          <w:p>
            <w:pPr>
              <w:jc w:val="right"/>
              <w:spacing w:after="0"/>
              <w:rPr>
                <w:sz w:val="20"/>
                <w:szCs w:val="20"/>
                <w:color w:val="auto"/>
              </w:rPr>
            </w:pPr>
            <w:r>
              <w:rPr>
                <w:rFonts w:ascii="Arial" w:cs="Arial" w:eastAsia="Arial" w:hAnsi="Arial"/>
                <w:sz w:val="17"/>
                <w:szCs w:val="17"/>
                <w:color w:val="auto"/>
              </w:rPr>
              <w:t>105,477,591</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Issue of shares on exercise of pre-funded warrants net of issuance cost $1,099,412</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11,546,029</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Transfer from option reserve</w:t>
            </w:r>
          </w:p>
        </w:tc>
        <w:tc>
          <w:tcPr>
            <w:tcW w:w="1320" w:type="dxa"/>
            <w:vAlign w:val="bottom"/>
          </w:tcPr>
          <w:p>
            <w:pPr>
              <w:jc w:val="right"/>
              <w:spacing w:after="0"/>
              <w:rPr>
                <w:sz w:val="20"/>
                <w:szCs w:val="20"/>
                <w:color w:val="auto"/>
              </w:rPr>
            </w:pPr>
            <w:r>
              <w:rPr>
                <w:rFonts w:ascii="Arial" w:cs="Arial" w:eastAsia="Arial" w:hAnsi="Arial"/>
                <w:sz w:val="17"/>
                <w:szCs w:val="17"/>
                <w:color w:val="auto"/>
              </w:rPr>
              <w:t>3,271,542</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1,473,302</w:t>
            </w:r>
          </w:p>
        </w:tc>
        <w:tc>
          <w:tcPr>
            <w:tcW w:w="100" w:type="dxa"/>
            <w:vAlign w:val="bottom"/>
          </w:tcPr>
          <w:p>
            <w:pPr>
              <w:spacing w:after="0"/>
              <w:rPr>
                <w:sz w:val="19"/>
                <w:szCs w:val="19"/>
                <w:color w:val="auto"/>
              </w:rPr>
            </w:pPr>
          </w:p>
        </w:tc>
      </w:tr>
      <w:tr>
        <w:trPr>
          <w:trHeight w:val="214"/>
        </w:trPr>
        <w:tc>
          <w:tcPr>
            <w:tcW w:w="66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234,147,526</w:t>
            </w:r>
          </w:p>
        </w:tc>
        <w:tc>
          <w:tcPr>
            <w:tcW w:w="2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113,852,364</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80,331,016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680" w:type="dxa"/>
            <w:vAlign w:val="bottom"/>
          </w:tcPr>
          <w:p>
            <w:pPr>
              <w:ind w:left="360"/>
              <w:spacing w:after="0"/>
              <w:rPr>
                <w:sz w:val="20"/>
                <w:szCs w:val="20"/>
                <w:color w:val="auto"/>
              </w:rPr>
            </w:pPr>
            <w:r>
              <w:rPr>
                <w:rFonts w:ascii="Arial" w:cs="Arial" w:eastAsia="Arial" w:hAnsi="Arial"/>
                <w:sz w:val="17"/>
                <w:szCs w:val="17"/>
                <w:color w:val="auto"/>
              </w:rPr>
              <w:t>Ordinary shares on issue:</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No:</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No:</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No:</w:t>
            </w:r>
          </w:p>
        </w:tc>
        <w:tc>
          <w:tcPr>
            <w:tcW w:w="100" w:type="dxa"/>
            <w:vAlign w:val="bottom"/>
          </w:tcPr>
          <w:p>
            <w:pPr>
              <w:spacing w:after="0"/>
              <w:rPr>
                <w:sz w:val="18"/>
                <w:szCs w:val="18"/>
                <w:color w:val="auto"/>
              </w:rPr>
            </w:pP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Opening balance</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269,157,769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249,414,839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202,637,888</w:t>
            </w:r>
          </w:p>
        </w:tc>
        <w:tc>
          <w:tcPr>
            <w:tcW w:w="100" w:type="dxa"/>
            <w:vAlign w:val="bottom"/>
            <w:shd w:val="clear" w:color="auto" w:fill="CFF0FC"/>
          </w:tcPr>
          <w:p>
            <w:pPr>
              <w:spacing w:after="0"/>
              <w:rPr>
                <w:sz w:val="19"/>
                <w:szCs w:val="19"/>
                <w:color w:val="auto"/>
              </w:rPr>
            </w:pP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Issue of shares on exercise of quoted options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46,776,951</w:t>
            </w:r>
          </w:p>
        </w:tc>
        <w:tc>
          <w:tcPr>
            <w:tcW w:w="100" w:type="dxa"/>
            <w:vAlign w:val="bottom"/>
          </w:tcPr>
          <w:p>
            <w:pPr>
              <w:spacing w:after="0"/>
              <w:rPr>
                <w:sz w:val="19"/>
                <w:szCs w:val="19"/>
                <w:color w:val="auto"/>
              </w:rPr>
            </w:pP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Issue of shares</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19,742,930</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Issue of shares on exercise of options granted under the LTIP</w:t>
            </w:r>
          </w:p>
        </w:tc>
        <w:tc>
          <w:tcPr>
            <w:tcW w:w="1320" w:type="dxa"/>
            <w:vAlign w:val="bottom"/>
          </w:tcPr>
          <w:p>
            <w:pPr>
              <w:jc w:val="right"/>
              <w:spacing w:after="0"/>
              <w:rPr>
                <w:sz w:val="20"/>
                <w:szCs w:val="20"/>
                <w:color w:val="auto"/>
              </w:rPr>
            </w:pPr>
            <w:r>
              <w:rPr>
                <w:rFonts w:ascii="Arial" w:cs="Arial" w:eastAsia="Arial" w:hAnsi="Arial"/>
                <w:sz w:val="17"/>
                <w:szCs w:val="17"/>
                <w:color w:val="auto"/>
              </w:rPr>
              <w:t>5,845,804</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Issues of shares on Nasdaq listing</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68,506,400</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80" w:type="dxa"/>
            <w:vAlign w:val="bottom"/>
          </w:tcPr>
          <w:p>
            <w:pPr>
              <w:ind w:left="360"/>
              <w:spacing w:after="0"/>
              <w:rPr>
                <w:sz w:val="20"/>
                <w:szCs w:val="20"/>
                <w:color w:val="auto"/>
              </w:rPr>
            </w:pPr>
            <w:r>
              <w:rPr>
                <w:rFonts w:ascii="Arial" w:cs="Arial" w:eastAsia="Arial" w:hAnsi="Arial"/>
                <w:sz w:val="17"/>
                <w:szCs w:val="17"/>
                <w:color w:val="auto"/>
              </w:rPr>
              <w:t>Issue of share on exercise of pre-funded warrants</w:t>
            </w:r>
          </w:p>
        </w:tc>
        <w:tc>
          <w:tcPr>
            <w:tcW w:w="1320" w:type="dxa"/>
            <w:vAlign w:val="bottom"/>
          </w:tcPr>
          <w:p>
            <w:pPr>
              <w:jc w:val="right"/>
              <w:spacing w:after="0"/>
              <w:rPr>
                <w:sz w:val="20"/>
                <w:szCs w:val="20"/>
                <w:color w:val="auto"/>
              </w:rPr>
            </w:pPr>
            <w:r>
              <w:rPr>
                <w:rFonts w:ascii="Arial" w:cs="Arial" w:eastAsia="Arial" w:hAnsi="Arial"/>
                <w:sz w:val="17"/>
                <w:szCs w:val="17"/>
                <w:color w:val="auto"/>
              </w:rPr>
              <w:t>7,493,568</w:t>
            </w:r>
          </w:p>
        </w:tc>
        <w:tc>
          <w:tcPr>
            <w:tcW w:w="2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351,003,541</w:t>
            </w:r>
          </w:p>
        </w:tc>
        <w:tc>
          <w:tcPr>
            <w:tcW w:w="2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269,157,769</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249,414,839</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Fully paid ordinary shares have no par value, carry one vote per share and carry the right to dividends.</w:t>
      </w:r>
    </w:p>
    <w:p>
      <w:pPr>
        <w:spacing w:after="0" w:line="285" w:lineRule="exact"/>
        <w:rPr>
          <w:sz w:val="20"/>
          <w:szCs w:val="20"/>
          <w:color w:val="auto"/>
        </w:rPr>
      </w:pPr>
    </w:p>
    <w:p>
      <w:pPr>
        <w:jc w:val="both"/>
        <w:ind w:firstLine="706"/>
        <w:spacing w:after="0" w:line="212" w:lineRule="exact"/>
        <w:rPr>
          <w:sz w:val="20"/>
          <w:szCs w:val="20"/>
          <w:color w:val="auto"/>
        </w:rPr>
      </w:pPr>
      <w:r>
        <w:rPr>
          <w:rFonts w:ascii="Arial" w:cs="Arial" w:eastAsia="Arial" w:hAnsi="Arial"/>
          <w:sz w:val="17"/>
          <w:szCs w:val="17"/>
          <w:color w:val="auto"/>
        </w:rPr>
        <w:t>Issued capital at June 30, 2021 amounted to US$234,147,526 (351,003,541 fully paid ordinary shares) net of share issue costs and tax. During the year ended June 30, 2021 the Company issued 68,506,400 ordinary shares on Nasdaq listing for net proceeds of US$105,477,591 as well as issued 7,493,568 pre</w:t>
      </w:r>
      <w:r>
        <w:rPr>
          <w:rFonts w:ascii="MS PGothic" w:cs="MS PGothic" w:eastAsia="MS PGothic" w:hAnsi="MS PGothic"/>
          <w:sz w:val="17"/>
          <w:szCs w:val="17"/>
          <w:color w:val="auto"/>
        </w:rPr>
        <w:t>‑</w:t>
      </w:r>
      <w:r>
        <w:rPr>
          <w:rFonts w:ascii="Arial" w:cs="Arial" w:eastAsia="Arial" w:hAnsi="Arial"/>
          <w:sz w:val="17"/>
          <w:szCs w:val="17"/>
          <w:color w:val="auto"/>
        </w:rPr>
        <w:t>funded warrants for net proceeds of US$11,546,029.</w:t>
      </w:r>
    </w:p>
    <w:p>
      <w:pPr>
        <w:spacing w:after="0" w:line="27" w:lineRule="exact"/>
        <w:rPr>
          <w:sz w:val="20"/>
          <w:szCs w:val="20"/>
          <w:color w:val="auto"/>
        </w:rPr>
      </w:pPr>
    </w:p>
    <w:p>
      <w:pPr>
        <w:jc w:val="both"/>
        <w:ind w:firstLine="706"/>
        <w:spacing w:after="0" w:line="214" w:lineRule="exact"/>
        <w:rPr>
          <w:sz w:val="20"/>
          <w:szCs w:val="20"/>
          <w:color w:val="auto"/>
        </w:rPr>
      </w:pPr>
      <w:r>
        <w:rPr>
          <w:rFonts w:ascii="Arial" w:cs="Arial" w:eastAsia="Arial" w:hAnsi="Arial"/>
          <w:sz w:val="17"/>
          <w:szCs w:val="17"/>
          <w:color w:val="auto"/>
        </w:rPr>
        <w:t>At June 30, 2021, the company had 6,750,000 Non</w:t>
      </w:r>
      <w:r>
        <w:rPr>
          <w:rFonts w:ascii="MS PGothic" w:cs="MS PGothic" w:eastAsia="MS PGothic" w:hAnsi="MS PGothic"/>
          <w:sz w:val="17"/>
          <w:szCs w:val="17"/>
          <w:color w:val="auto"/>
        </w:rPr>
        <w:t>‑</w:t>
      </w:r>
      <w:r>
        <w:rPr>
          <w:rFonts w:ascii="Arial" w:cs="Arial" w:eastAsia="Arial" w:hAnsi="Arial"/>
          <w:sz w:val="17"/>
          <w:szCs w:val="17"/>
          <w:color w:val="auto"/>
        </w:rPr>
        <w:t>Executive Director options that remain unexercised with expiry of November 2022 for 1,500,000 options, October 2023 for 3,000,000 options and January 2024 for 2,250,000 options.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Options granted to directors and employees</w:t>
      </w:r>
    </w:p>
    <w:p>
      <w:pPr>
        <w:spacing w:after="0" w:line="220" w:lineRule="exact"/>
        <w:rPr>
          <w:sz w:val="20"/>
          <w:szCs w:val="20"/>
          <w:color w:val="auto"/>
        </w:rPr>
      </w:pPr>
    </w:p>
    <w:p>
      <w:pPr>
        <w:jc w:val="both"/>
        <w:ind w:firstLine="706"/>
        <w:spacing w:after="0" w:line="211" w:lineRule="exact"/>
        <w:rPr>
          <w:sz w:val="20"/>
          <w:szCs w:val="20"/>
          <w:color w:val="auto"/>
        </w:rPr>
      </w:pPr>
      <w:r>
        <w:rPr>
          <w:rFonts w:ascii="Arial" w:cs="Arial" w:eastAsia="Arial" w:hAnsi="Arial"/>
          <w:sz w:val="17"/>
          <w:szCs w:val="17"/>
          <w:color w:val="auto"/>
        </w:rPr>
        <w:t>The company has two share</w:t>
      </w:r>
      <w:r>
        <w:rPr>
          <w:rFonts w:ascii="MS PGothic" w:cs="MS PGothic" w:eastAsia="MS PGothic" w:hAnsi="MS PGothic"/>
          <w:sz w:val="17"/>
          <w:szCs w:val="17"/>
          <w:color w:val="auto"/>
        </w:rPr>
        <w:t>‑</w:t>
      </w:r>
      <w:r>
        <w:rPr>
          <w:rFonts w:ascii="Arial" w:cs="Arial" w:eastAsia="Arial" w:hAnsi="Arial"/>
          <w:sz w:val="17"/>
          <w:szCs w:val="17"/>
          <w:color w:val="auto"/>
        </w:rPr>
        <w:t>based payment schemes, the Long Term Incentive Plan (LTIP) and Non</w:t>
      </w:r>
      <w:r>
        <w:rPr>
          <w:rFonts w:ascii="MS PGothic" w:cs="MS PGothic" w:eastAsia="MS PGothic" w:hAnsi="MS PGothic"/>
          <w:sz w:val="17"/>
          <w:szCs w:val="17"/>
          <w:color w:val="auto"/>
        </w:rPr>
        <w:t>‑</w:t>
      </w:r>
      <w:r>
        <w:rPr>
          <w:rFonts w:ascii="Arial" w:cs="Arial" w:eastAsia="Arial" w:hAnsi="Arial"/>
          <w:sz w:val="17"/>
          <w:szCs w:val="17"/>
          <w:color w:val="auto"/>
        </w:rPr>
        <w:t>Executive Director Share and Option Plan. Options to subscribe for the Company’s shares have been granted under these plans to certain employees and directors. The company granted 7,000,000 options over ordinary shares under these plans during the year ended June 30, 2021 (note 31). These options had a weighted average fair value at their grant date of US$1.03 per option. During June 30, 2021 8,400,000 options granted under the LTIP and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NED Plan were exercised for US$3,271,542. No options were granted under the Plans during the year ended June 30, 2020.</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2020</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July 1, 2019</w:t>
            </w:r>
          </w:p>
        </w:tc>
      </w:tr>
      <w:tr>
        <w:trPr>
          <w:trHeight w:val="156"/>
        </w:trPr>
        <w:tc>
          <w:tcPr>
            <w:tcW w:w="6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r>
      <w:tr>
        <w:trPr>
          <w:trHeight w:val="165"/>
        </w:trPr>
        <w:tc>
          <w:tcPr>
            <w:tcW w:w="666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14"/>
        </w:trPr>
        <w:tc>
          <w:tcPr>
            <w:tcW w:w="6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b w:val="1"/>
                <w:bCs w:val="1"/>
                <w:color w:val="auto"/>
              </w:rPr>
              <w:t>(b) Pre-funded warrants</w:t>
            </w: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Movement in pre-funded warrants: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Opening balance</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Issue of pre-funded warrants in a US initial public offering</w:t>
            </w:r>
          </w:p>
        </w:tc>
        <w:tc>
          <w:tcPr>
            <w:tcW w:w="1300" w:type="dxa"/>
            <w:vAlign w:val="bottom"/>
          </w:tcPr>
          <w:p>
            <w:pPr>
              <w:jc w:val="right"/>
              <w:spacing w:after="0"/>
              <w:rPr>
                <w:sz w:val="20"/>
                <w:szCs w:val="20"/>
                <w:color w:val="auto"/>
              </w:rPr>
            </w:pPr>
            <w:r>
              <w:rPr>
                <w:rFonts w:ascii="Arial" w:cs="Arial" w:eastAsia="Arial" w:hAnsi="Arial"/>
                <w:sz w:val="17"/>
                <w:szCs w:val="17"/>
                <w:color w:val="auto"/>
              </w:rPr>
              <w:t>12,645,441</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Cost of issue of pre-funded warrants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(1,099,412)</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Issue of shares on exercise of pre-funded warrants</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(11,546,029)</w:t>
            </w: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660" w:type="dxa"/>
            <w:vAlign w:val="bottom"/>
          </w:tcPr>
          <w:p>
            <w:pPr>
              <w:ind w:left="240"/>
              <w:spacing w:after="0"/>
              <w:rPr>
                <w:sz w:val="20"/>
                <w:szCs w:val="20"/>
                <w:color w:val="auto"/>
              </w:rPr>
            </w:pPr>
            <w:r>
              <w:rPr>
                <w:rFonts w:ascii="Arial" w:cs="Arial" w:eastAsia="Arial" w:hAnsi="Arial"/>
                <w:sz w:val="17"/>
                <w:szCs w:val="17"/>
                <w:b w:val="1"/>
                <w:bCs w:val="1"/>
                <w:color w:val="auto"/>
              </w:rPr>
              <w:t>Pre-funded warrants on issue:</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No:</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No:</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No:</w:t>
            </w: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Opening balance</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Issue of pre-funded warrants in a US Initial public offering</w:t>
            </w:r>
          </w:p>
        </w:tc>
        <w:tc>
          <w:tcPr>
            <w:tcW w:w="1300" w:type="dxa"/>
            <w:vAlign w:val="bottom"/>
          </w:tcPr>
          <w:p>
            <w:pPr>
              <w:jc w:val="right"/>
              <w:spacing w:after="0"/>
              <w:rPr>
                <w:sz w:val="20"/>
                <w:szCs w:val="20"/>
                <w:color w:val="auto"/>
              </w:rPr>
            </w:pPr>
            <w:r>
              <w:rPr>
                <w:rFonts w:ascii="Arial" w:cs="Arial" w:eastAsia="Arial" w:hAnsi="Arial"/>
                <w:sz w:val="17"/>
                <w:szCs w:val="17"/>
                <w:color w:val="auto"/>
              </w:rPr>
              <w:t>7,493,600</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Exercise of pre-funded warrants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(7,493,568)</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Pr>
          <w:p>
            <w:pPr>
              <w:ind w:left="240"/>
              <w:spacing w:after="0"/>
              <w:rPr>
                <w:sz w:val="20"/>
                <w:szCs w:val="20"/>
                <w:color w:val="auto"/>
              </w:rPr>
            </w:pPr>
            <w:r>
              <w:rPr>
                <w:rFonts w:ascii="Arial" w:cs="Arial" w:eastAsia="Arial" w:hAnsi="Arial"/>
                <w:sz w:val="17"/>
                <w:szCs w:val="17"/>
                <w:color w:val="auto"/>
              </w:rPr>
              <w:t>Forfeiture on exercise</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(32)</w:t>
            </w: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6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34" w:lineRule="exact"/>
        <w:rPr>
          <w:sz w:val="20"/>
          <w:szCs w:val="20"/>
          <w:color w:val="auto"/>
        </w:rPr>
      </w:pPr>
    </w:p>
    <w:p>
      <w:pPr>
        <w:jc w:val="both"/>
        <w:ind w:firstLine="706"/>
        <w:spacing w:after="0" w:line="211" w:lineRule="exact"/>
        <w:rPr>
          <w:sz w:val="20"/>
          <w:szCs w:val="20"/>
          <w:color w:val="auto"/>
        </w:rPr>
      </w:pPr>
      <w:r>
        <w:rPr>
          <w:rFonts w:ascii="Arial" w:cs="Arial" w:eastAsia="Arial" w:hAnsi="Arial"/>
          <w:sz w:val="17"/>
          <w:szCs w:val="17"/>
          <w:color w:val="auto"/>
        </w:rPr>
        <w:t>The Company issued 7,493,600 pre</w:t>
      </w:r>
      <w:r>
        <w:rPr>
          <w:rFonts w:ascii="MS PGothic" w:cs="MS PGothic" w:eastAsia="MS PGothic" w:hAnsi="MS PGothic"/>
          <w:sz w:val="17"/>
          <w:szCs w:val="17"/>
          <w:color w:val="auto"/>
        </w:rPr>
        <w:t>‑</w:t>
      </w:r>
      <w:r>
        <w:rPr>
          <w:rFonts w:ascii="Arial" w:cs="Arial" w:eastAsia="Arial" w:hAnsi="Arial"/>
          <w:sz w:val="17"/>
          <w:szCs w:val="17"/>
          <w:color w:val="auto"/>
        </w:rPr>
        <w:t>funded warrants for US$11,546,029 net of issue costs in respect of the US initial public offering. The pre</w:t>
      </w:r>
      <w:r>
        <w:rPr>
          <w:rFonts w:ascii="MS PGothic" w:cs="MS PGothic" w:eastAsia="MS PGothic" w:hAnsi="MS PGothic"/>
          <w:sz w:val="17"/>
          <w:szCs w:val="17"/>
          <w:color w:val="auto"/>
        </w:rPr>
        <w:t>‑</w:t>
      </w:r>
      <w:r>
        <w:rPr>
          <w:rFonts w:ascii="Arial" w:cs="Arial" w:eastAsia="Arial" w:hAnsi="Arial"/>
          <w:sz w:val="17"/>
          <w:szCs w:val="17"/>
          <w:color w:val="auto"/>
        </w:rPr>
        <w:t>funded warrants were unquoted, having no voting or dividend rights and are exercisable to ADS’s at an exercise price of US$0.00001 per pre</w:t>
      </w:r>
      <w:r>
        <w:rPr>
          <w:rFonts w:ascii="MS PGothic" w:cs="MS PGothic" w:eastAsia="MS PGothic" w:hAnsi="MS PGothic"/>
          <w:sz w:val="17"/>
          <w:szCs w:val="17"/>
          <w:color w:val="auto"/>
        </w:rPr>
        <w:t>‑</w:t>
      </w:r>
      <w:r>
        <w:rPr>
          <w:rFonts w:ascii="Arial" w:cs="Arial" w:eastAsia="Arial" w:hAnsi="Arial"/>
          <w:sz w:val="17"/>
          <w:szCs w:val="17"/>
          <w:color w:val="auto"/>
        </w:rPr>
        <w:t>funded warrant on a one for one basis with no expiry date. During the year all pre</w:t>
      </w:r>
      <w:r>
        <w:rPr>
          <w:rFonts w:ascii="MS PGothic" w:cs="MS PGothic" w:eastAsia="MS PGothic" w:hAnsi="MS PGothic"/>
          <w:sz w:val="17"/>
          <w:szCs w:val="17"/>
          <w:color w:val="auto"/>
        </w:rPr>
        <w:t>‑</w:t>
      </w:r>
      <w:r>
        <w:rPr>
          <w:rFonts w:ascii="Arial" w:cs="Arial" w:eastAsia="Arial" w:hAnsi="Arial"/>
          <w:sz w:val="17"/>
          <w:szCs w:val="17"/>
          <w:color w:val="auto"/>
        </w:rPr>
        <w:t>funded warrants that were issued October 20, 2020 were exercised via two trenches, 4,147,136 warrants in March 2021 and 3,346,432 warrants in June 2021 converted to ADS’s.</w:t>
      </w:r>
    </w:p>
    <w:p>
      <w:pPr>
        <w:spacing w:after="0" w:line="29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 Capital management</w:t>
      </w:r>
    </w:p>
    <w:p>
      <w:pPr>
        <w:spacing w:after="0" w:line="122" w:lineRule="exact"/>
        <w:rPr>
          <w:sz w:val="20"/>
          <w:szCs w:val="20"/>
          <w:color w:val="auto"/>
        </w:rPr>
      </w:pPr>
    </w:p>
    <w:p>
      <w:pPr>
        <w:jc w:val="both"/>
        <w:ind w:firstLine="706"/>
        <w:spacing w:after="0" w:line="265" w:lineRule="auto"/>
        <w:rPr>
          <w:sz w:val="20"/>
          <w:szCs w:val="20"/>
          <w:color w:val="auto"/>
        </w:rPr>
      </w:pPr>
      <w:r>
        <w:rPr>
          <w:rFonts w:ascii="Arial" w:cs="Arial" w:eastAsia="Arial" w:hAnsi="Arial"/>
          <w:sz w:val="17"/>
          <w:szCs w:val="17"/>
          <w:color w:val="auto"/>
        </w:rPr>
        <w:t>The Group is not subject to any externally imposed capital requirements. When managing share capital, management’s objective is to ensure the entity continues as a going concern as well as to provide benefits to shareholders and for other stakeholders. In order to maintain or achieve an appropriate capital structure, the Company may issue new shares or reduce its share capital, subject to the provisions of the Company’s constitution. The Group only commits to significant R&amp;D expenditure when this is fully funded either by existing funds or further equity raises.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24. Accumulated Losses and Reserves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2021</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2020</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July 1, 2019</w:t>
            </w:r>
          </w:p>
        </w:tc>
      </w:tr>
      <w:tr>
        <w:trPr>
          <w:trHeight w:val="156"/>
        </w:trPr>
        <w:tc>
          <w:tcPr>
            <w:tcW w:w="6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r>
      <w:tr>
        <w:trPr>
          <w:trHeight w:val="165"/>
        </w:trPr>
        <w:tc>
          <w:tcPr>
            <w:tcW w:w="6660" w:type="dxa"/>
            <w:vAlign w:val="bottom"/>
          </w:tcPr>
          <w:p>
            <w:pPr>
              <w:spacing w:after="0"/>
              <w:rPr>
                <w:sz w:val="14"/>
                <w:szCs w:val="1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14"/>
        </w:trPr>
        <w:tc>
          <w:tcPr>
            <w:tcW w:w="666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b w:val="1"/>
                <w:bCs w:val="1"/>
                <w:color w:val="auto"/>
              </w:rPr>
              <w:t>(a) Movements in accumulated losses were as follows:</w:t>
            </w: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Balance of July 1</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(78,779,486)</w:t>
            </w:r>
          </w:p>
        </w:tc>
        <w:tc>
          <w:tcPr>
            <w:tcW w:w="1600" w:type="dxa"/>
            <w:vAlign w:val="bottom"/>
            <w:gridSpan w:val="2"/>
          </w:tcPr>
          <w:p>
            <w:pPr>
              <w:jc w:val="right"/>
              <w:ind w:right="200"/>
              <w:spacing w:after="0"/>
              <w:rPr>
                <w:sz w:val="20"/>
                <w:szCs w:val="20"/>
                <w:color w:val="auto"/>
              </w:rPr>
            </w:pPr>
            <w:r>
              <w:rPr>
                <w:rFonts w:ascii="Arial" w:cs="Arial" w:eastAsia="Arial" w:hAnsi="Arial"/>
                <w:sz w:val="17"/>
                <w:szCs w:val="17"/>
                <w:color w:val="auto"/>
              </w:rPr>
              <w:t>(67,656,287)</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(52,704,339)</w:t>
            </w: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Net loss for the period</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(45,344,496)</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(11,123,199)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(14,951,948)</w:t>
            </w:r>
          </w:p>
        </w:tc>
      </w:tr>
      <w:tr>
        <w:trPr>
          <w:trHeight w:val="214"/>
        </w:trPr>
        <w:tc>
          <w:tcPr>
            <w:tcW w:w="666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Balance of June 30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(124,123,982)</w:t>
            </w:r>
          </w:p>
        </w:tc>
        <w:tc>
          <w:tcPr>
            <w:tcW w:w="260" w:type="dxa"/>
            <w:vAlign w:val="bottom"/>
            <w:tcBorders>
              <w:bottom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(78,779,486)</w:t>
            </w:r>
          </w:p>
        </w:tc>
        <w:tc>
          <w:tcPr>
            <w:tcW w:w="260" w:type="dxa"/>
            <w:vAlign w:val="bottom"/>
            <w:tcBorders>
              <w:bottom w:val="single" w:sz="8" w:color="CFF0FC"/>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(67,656,287)</w:t>
            </w:r>
          </w:p>
        </w:tc>
        <w:tc>
          <w:tcPr>
            <w:tcW w:w="100" w:type="dxa"/>
            <w:vAlign w:val="bottom"/>
            <w:tcBorders>
              <w:bottom w:val="single" w:sz="8" w:color="CFF0FC"/>
            </w:tcBorders>
          </w:tcPr>
          <w:p>
            <w:pPr>
              <w:spacing w:after="0"/>
              <w:rPr>
                <w:sz w:val="18"/>
                <w:szCs w:val="18"/>
                <w:color w:val="auto"/>
              </w:rPr>
            </w:pPr>
          </w:p>
        </w:tc>
      </w:tr>
      <w:tr>
        <w:trPr>
          <w:trHeight w:val="214"/>
        </w:trPr>
        <w:tc>
          <w:tcPr>
            <w:tcW w:w="66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b w:val="1"/>
                <w:bCs w:val="1"/>
                <w:color w:val="auto"/>
              </w:rPr>
              <w:t>(b) Reserves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Fair value of Investments reserve (i)</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1,085,411</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551,409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517,700</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Share-based payments reserve (ii)</w:t>
            </w:r>
          </w:p>
        </w:tc>
        <w:tc>
          <w:tcPr>
            <w:tcW w:w="1300" w:type="dxa"/>
            <w:vAlign w:val="bottom"/>
          </w:tcPr>
          <w:p>
            <w:pPr>
              <w:jc w:val="right"/>
              <w:spacing w:after="0"/>
              <w:rPr>
                <w:sz w:val="20"/>
                <w:szCs w:val="20"/>
                <w:color w:val="auto"/>
              </w:rPr>
            </w:pPr>
            <w:r>
              <w:rPr>
                <w:rFonts w:ascii="Arial" w:cs="Arial" w:eastAsia="Arial" w:hAnsi="Arial"/>
                <w:sz w:val="17"/>
                <w:szCs w:val="17"/>
                <w:color w:val="auto"/>
              </w:rPr>
              <w:t>4,087,650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3,116,080</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2,401,769</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Foreign translation reserve (iii)</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20,089,163</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5,827,605</w:t>
            </w:r>
          </w:p>
        </w:tc>
        <w:tc>
          <w:tcPr>
            <w:tcW w:w="26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6,257,941</w:t>
            </w:r>
          </w:p>
        </w:tc>
        <w:tc>
          <w:tcPr>
            <w:tcW w:w="100" w:type="dxa"/>
            <w:vAlign w:val="bottom"/>
            <w:shd w:val="clear" w:color="auto" w:fill="CFF0FC"/>
          </w:tcPr>
          <w:p>
            <w:pPr>
              <w:spacing w:after="0"/>
              <w:rPr>
                <w:sz w:val="19"/>
                <w:szCs w:val="19"/>
                <w:color w:val="auto"/>
              </w:rPr>
            </w:pPr>
          </w:p>
        </w:tc>
      </w:tr>
      <w:tr>
        <w:trPr>
          <w:trHeight w:val="214"/>
        </w:trPr>
        <w:tc>
          <w:tcPr>
            <w:tcW w:w="6660" w:type="dxa"/>
            <w:vAlign w:val="bottom"/>
            <w:tcBorders>
              <w:bottom w:val="single" w:sz="8" w:color="CFF0FC"/>
            </w:tcBorders>
          </w:tcPr>
          <w:p>
            <w:pPr>
              <w:ind w:left="360"/>
              <w:spacing w:after="0"/>
              <w:rPr>
                <w:sz w:val="20"/>
                <w:szCs w:val="20"/>
                <w:color w:val="auto"/>
              </w:rPr>
            </w:pPr>
            <w:r>
              <w:rPr>
                <w:rFonts w:ascii="Arial" w:cs="Arial" w:eastAsia="Arial" w:hAnsi="Arial"/>
                <w:sz w:val="17"/>
                <w:szCs w:val="17"/>
                <w:b w:val="1"/>
                <w:bCs w:val="1"/>
                <w:color w:val="auto"/>
              </w:rPr>
              <w:t>Total reserves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25,262,224</w:t>
            </w:r>
          </w:p>
        </w:tc>
        <w:tc>
          <w:tcPr>
            <w:tcW w:w="26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9,495,094</w:t>
            </w:r>
          </w:p>
        </w:tc>
        <w:tc>
          <w:tcPr>
            <w:tcW w:w="2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9,177,410</w:t>
            </w:r>
          </w:p>
        </w:tc>
        <w:tc>
          <w:tcPr>
            <w:tcW w:w="100" w:type="dxa"/>
            <w:vAlign w:val="bottom"/>
            <w:tcBorders>
              <w:bottom w:val="single" w:sz="8" w:color="CFF0FC"/>
            </w:tcBorders>
          </w:tcPr>
          <w:p>
            <w:pPr>
              <w:spacing w:after="0"/>
              <w:rPr>
                <w:sz w:val="18"/>
                <w:szCs w:val="18"/>
                <w:color w:val="auto"/>
              </w:rPr>
            </w:pPr>
          </w:p>
        </w:tc>
      </w:tr>
      <w:tr>
        <w:trPr>
          <w:trHeight w:val="214"/>
        </w:trPr>
        <w:tc>
          <w:tcPr>
            <w:tcW w:w="66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b w:val="1"/>
                <w:bCs w:val="1"/>
                <w:color w:val="auto"/>
              </w:rPr>
              <w:t>(i) Movement in fair value of investments reserve:</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Opening balance</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551,409</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517,700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353,604</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Fair value on gains on investments in financial assets</w:t>
            </w:r>
          </w:p>
        </w:tc>
        <w:tc>
          <w:tcPr>
            <w:tcW w:w="1300" w:type="dxa"/>
            <w:vAlign w:val="bottom"/>
          </w:tcPr>
          <w:p>
            <w:pPr>
              <w:jc w:val="right"/>
              <w:spacing w:after="0"/>
              <w:rPr>
                <w:sz w:val="20"/>
                <w:szCs w:val="20"/>
                <w:color w:val="auto"/>
              </w:rPr>
            </w:pPr>
            <w:r>
              <w:rPr>
                <w:rFonts w:ascii="Arial" w:cs="Arial" w:eastAsia="Arial" w:hAnsi="Arial"/>
                <w:sz w:val="17"/>
                <w:szCs w:val="17"/>
                <w:color w:val="auto"/>
              </w:rPr>
              <w:t>469,767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41,098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181,687</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Exchange on translation</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64,235</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(7,389)</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(17,591)</w:t>
            </w:r>
          </w:p>
        </w:tc>
      </w:tr>
      <w:tr>
        <w:trPr>
          <w:trHeight w:val="214"/>
        </w:trPr>
        <w:tc>
          <w:tcPr>
            <w:tcW w:w="666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Closing balance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1,085,411</w:t>
            </w:r>
          </w:p>
        </w:tc>
        <w:tc>
          <w:tcPr>
            <w:tcW w:w="260" w:type="dxa"/>
            <w:vAlign w:val="bottom"/>
            <w:tcBorders>
              <w:bottom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551,409</w:t>
            </w:r>
          </w:p>
        </w:tc>
        <w:tc>
          <w:tcPr>
            <w:tcW w:w="260" w:type="dxa"/>
            <w:vAlign w:val="bottom"/>
            <w:tcBorders>
              <w:bottom w:val="single" w:sz="8" w:color="CFF0FC"/>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517,700</w:t>
            </w:r>
          </w:p>
        </w:tc>
        <w:tc>
          <w:tcPr>
            <w:tcW w:w="100" w:type="dxa"/>
            <w:vAlign w:val="bottom"/>
            <w:tcBorders>
              <w:bottom w:val="single" w:sz="8" w:color="CFF0FC"/>
            </w:tcBorders>
          </w:tcPr>
          <w:p>
            <w:pPr>
              <w:spacing w:after="0"/>
              <w:rPr>
                <w:sz w:val="18"/>
                <w:szCs w:val="18"/>
                <w:color w:val="auto"/>
              </w:rPr>
            </w:pPr>
          </w:p>
        </w:tc>
      </w:tr>
      <w:tr>
        <w:trPr>
          <w:trHeight w:val="214"/>
        </w:trPr>
        <w:tc>
          <w:tcPr>
            <w:tcW w:w="66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b w:val="1"/>
                <w:bCs w:val="1"/>
                <w:color w:val="auto"/>
              </w:rPr>
              <w:t>(ii) Movement in share-based payments reserve:</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Opening balance</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3,116,080</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2,401,769</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1,816,817</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Share-based payments expense</w:t>
            </w:r>
          </w:p>
        </w:tc>
        <w:tc>
          <w:tcPr>
            <w:tcW w:w="1300" w:type="dxa"/>
            <w:vAlign w:val="bottom"/>
          </w:tcPr>
          <w:p>
            <w:pPr>
              <w:jc w:val="right"/>
              <w:spacing w:after="0"/>
              <w:rPr>
                <w:sz w:val="20"/>
                <w:szCs w:val="20"/>
                <w:color w:val="auto"/>
              </w:rPr>
            </w:pPr>
            <w:r>
              <w:rPr>
                <w:rFonts w:ascii="Arial" w:cs="Arial" w:eastAsia="Arial" w:hAnsi="Arial"/>
                <w:sz w:val="17"/>
                <w:szCs w:val="17"/>
                <w:color w:val="auto"/>
              </w:rPr>
              <w:t>3,897,638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732,688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685,409</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Exercise of options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(3,271,542)</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(284,828)</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Exchange on translation</w:t>
            </w:r>
          </w:p>
        </w:tc>
        <w:tc>
          <w:tcPr>
            <w:tcW w:w="1300" w:type="dxa"/>
            <w:vAlign w:val="bottom"/>
          </w:tcPr>
          <w:p>
            <w:pPr>
              <w:jc w:val="right"/>
              <w:spacing w:after="0"/>
              <w:rPr>
                <w:sz w:val="20"/>
                <w:szCs w:val="20"/>
                <w:color w:val="auto"/>
              </w:rPr>
            </w:pPr>
            <w:r>
              <w:rPr>
                <w:rFonts w:ascii="Arial" w:cs="Arial" w:eastAsia="Arial" w:hAnsi="Arial"/>
                <w:sz w:val="17"/>
                <w:szCs w:val="17"/>
                <w:color w:val="auto"/>
              </w:rPr>
              <w:t>345,474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266,451</w:t>
            </w: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(100,457)</w:t>
            </w:r>
          </w:p>
        </w:tc>
      </w:tr>
      <w:tr>
        <w:trPr>
          <w:trHeight w:val="214"/>
        </w:trPr>
        <w:tc>
          <w:tcPr>
            <w:tcW w:w="666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Closing balance</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4,087,650</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3,116,080</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2,401,769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4"/>
        </w:trPr>
        <w:tc>
          <w:tcPr>
            <w:tcW w:w="6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b w:val="1"/>
                <w:bCs w:val="1"/>
                <w:color w:val="auto"/>
              </w:rPr>
              <w:t>(iii) Movement in foreign translation reserve:</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Opening balance</w:t>
            </w:r>
          </w:p>
        </w:tc>
        <w:tc>
          <w:tcPr>
            <w:tcW w:w="1300" w:type="dxa"/>
            <w:vAlign w:val="bottom"/>
          </w:tcPr>
          <w:p>
            <w:pPr>
              <w:jc w:val="right"/>
              <w:spacing w:after="0"/>
              <w:rPr>
                <w:sz w:val="20"/>
                <w:szCs w:val="20"/>
                <w:color w:val="auto"/>
              </w:rPr>
            </w:pPr>
            <w:r>
              <w:rPr>
                <w:rFonts w:ascii="Arial" w:cs="Arial" w:eastAsia="Arial" w:hAnsi="Arial"/>
                <w:sz w:val="17"/>
                <w:szCs w:val="17"/>
                <w:color w:val="auto"/>
              </w:rPr>
              <w:t>5,827,605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6,257,941</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7,530,571</w:t>
            </w: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(Gains)/loss on translation</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14,261,558</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(430,336)</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(1,272,630)</w:t>
            </w:r>
          </w:p>
        </w:tc>
      </w:tr>
      <w:tr>
        <w:trPr>
          <w:trHeight w:val="214"/>
        </w:trPr>
        <w:tc>
          <w:tcPr>
            <w:tcW w:w="666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Closing balance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20,089,163</w:t>
            </w:r>
          </w:p>
        </w:tc>
        <w:tc>
          <w:tcPr>
            <w:tcW w:w="260" w:type="dxa"/>
            <w:vAlign w:val="bottom"/>
            <w:tcBorders>
              <w:bottom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5,827,605</w:t>
            </w:r>
          </w:p>
        </w:tc>
        <w:tc>
          <w:tcPr>
            <w:tcW w:w="260" w:type="dxa"/>
            <w:vAlign w:val="bottom"/>
            <w:tcBorders>
              <w:bottom w:val="single" w:sz="8" w:color="CFF0FC"/>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6,257,941</w:t>
            </w:r>
          </w:p>
        </w:tc>
        <w:tc>
          <w:tcPr>
            <w:tcW w:w="100" w:type="dxa"/>
            <w:vAlign w:val="bottom"/>
            <w:tcBorders>
              <w:bottom w:val="single" w:sz="8" w:color="CFF0FC"/>
            </w:tcBorders>
          </w:tcPr>
          <w:p>
            <w:pPr>
              <w:spacing w:after="0"/>
              <w:rPr>
                <w:sz w:val="18"/>
                <w:szCs w:val="18"/>
                <w:color w:val="auto"/>
              </w:rPr>
            </w:pPr>
          </w:p>
        </w:tc>
      </w:tr>
      <w:tr>
        <w:trPr>
          <w:trHeight w:val="214"/>
        </w:trPr>
        <w:tc>
          <w:tcPr>
            <w:tcW w:w="66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b w:val="1"/>
                <w:bCs w:val="1"/>
                <w:color w:val="auto"/>
              </w:rPr>
              <w:t>(iv) Movement in option reserve</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Opening balance</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1,473,302</w:t>
            </w: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Transfer to contributed equity</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(1,473,302)</w:t>
            </w:r>
          </w:p>
        </w:tc>
      </w:tr>
      <w:tr>
        <w:trPr>
          <w:trHeight w:val="214"/>
        </w:trPr>
        <w:tc>
          <w:tcPr>
            <w:tcW w:w="666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Closing balance</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33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 Nature and purpose of reserves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Fair value of investments reserve</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This reserve records fair value changes on listed investments.</w:t>
      </w:r>
    </w:p>
    <w:p>
      <w:pPr>
        <w:spacing w:after="0" w:line="116"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 reserve</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This reserve is used to record the value of equity benefits provided to executives and employees as part of their remuneration.</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Foreign currency translation reserve</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reserve records the value of foreign currency movements on translation of financial statements from A$ to US$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Option reserve</w:t>
      </w:r>
    </w:p>
    <w:p>
      <w:pPr>
        <w:spacing w:after="0" w:line="116" w:lineRule="exact"/>
        <w:rPr>
          <w:sz w:val="20"/>
          <w:szCs w:val="20"/>
          <w:color w:val="auto"/>
        </w:rPr>
      </w:pPr>
    </w:p>
    <w:p>
      <w:pPr>
        <w:jc w:val="both"/>
        <w:ind w:firstLine="706"/>
        <w:spacing w:after="0" w:line="270" w:lineRule="auto"/>
        <w:rPr>
          <w:sz w:val="20"/>
          <w:szCs w:val="20"/>
          <w:color w:val="auto"/>
        </w:rPr>
      </w:pPr>
      <w:r>
        <w:rPr>
          <w:rFonts w:ascii="Arial" w:cs="Arial" w:eastAsia="Arial" w:hAnsi="Arial"/>
          <w:sz w:val="17"/>
          <w:szCs w:val="17"/>
          <w:color w:val="auto"/>
        </w:rPr>
        <w:t>On 25 November 2014 the company issued options to purchase 49,726,672 ordinary shares with an exercise price of $0.19 expiring on 25 November 2018. The fair value of the options at their issue date of $1,473,302 was recognized in the option reserve. The same amount, US$1,473,302, was transferred to contributed equity on 25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November 2018 following the exercise and expiry of all quoted options. The balance on the option reserve at 30 June 2021, 2020 and 2019 was nil.</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25. Financial Risk Management Objectives and Policies</w:t>
      </w:r>
    </w:p>
    <w:p>
      <w:pPr>
        <w:spacing w:after="0" w:line="226"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color w:val="auto"/>
        </w:rPr>
        <w:t>The Group’s principal financial assets comprise cash, receivables, short</w:t>
      </w:r>
      <w:r>
        <w:rPr>
          <w:rFonts w:ascii="MS PGothic" w:cs="MS PGothic" w:eastAsia="MS PGothic" w:hAnsi="MS PGothic"/>
          <w:sz w:val="17"/>
          <w:szCs w:val="17"/>
          <w:color w:val="auto"/>
        </w:rPr>
        <w:t>‑</w:t>
      </w:r>
      <w:r>
        <w:rPr>
          <w:rFonts w:ascii="Arial" w:cs="Arial" w:eastAsia="Arial" w:hAnsi="Arial"/>
          <w:sz w:val="17"/>
          <w:szCs w:val="17"/>
          <w:color w:val="auto"/>
        </w:rPr>
        <w:t>term deposits and investments in listed shares.</w:t>
      </w:r>
    </w:p>
    <w:p>
      <w:pPr>
        <w:spacing w:after="0" w:line="220"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The Group manages its exposure to key financial risks, including interest rate and currency risk in accordance with the Group’s financial risk management practices. The objective is to support the delivery of the Group’s financial targets whilst protecting future financial security.</w:t>
      </w:r>
    </w:p>
    <w:p>
      <w:pPr>
        <w:spacing w:after="0" w:line="159"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The Group’s other various financial assets and liabilities, such as receivables and payables, arise directly from its operations. The main risks arising from the Group’s financial assets and liabilities are interest rate risk, foreign currency risk, equity securities price risk and liquidity risk.</w:t>
      </w:r>
    </w:p>
    <w:p>
      <w:pPr>
        <w:spacing w:after="0" w:line="159" w:lineRule="exact"/>
        <w:rPr>
          <w:sz w:val="20"/>
          <w:szCs w:val="20"/>
          <w:color w:val="auto"/>
        </w:rPr>
      </w:pPr>
    </w:p>
    <w:p>
      <w:pPr>
        <w:jc w:val="both"/>
        <w:ind w:firstLine="706"/>
        <w:spacing w:after="0" w:line="294" w:lineRule="auto"/>
        <w:rPr>
          <w:sz w:val="20"/>
          <w:szCs w:val="20"/>
          <w:color w:val="auto"/>
        </w:rPr>
      </w:pPr>
      <w:r>
        <w:rPr>
          <w:rFonts w:ascii="Arial" w:cs="Arial" w:eastAsia="Arial" w:hAnsi="Arial"/>
          <w:sz w:val="16"/>
          <w:szCs w:val="16"/>
          <w:color w:val="auto"/>
        </w:rPr>
        <w:t>The Group uses different methods to measure and manage different types of risks to which it is exposed. These include monitoring levels of exposure to interest rate and foreign exchange risk and assessments of market forecasts for interest rates and foreign exchange rates. Liquidity risk is monitored through future rolling cash flow forecasts. The board reviews and agrees policies for managing each of these risks as summarized below.</w:t>
      </w:r>
    </w:p>
    <w:p>
      <w:pPr>
        <w:spacing w:after="0" w:line="253"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Risk exposures and responses</w:t>
      </w:r>
    </w:p>
    <w:p>
      <w:pPr>
        <w:spacing w:after="0" w:line="226"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The Group has investigated the main financial risk areas which could impact on its financial assets and determined the impact on post tax (losses) or profits for a range of sensitivities. These can be seen in the post tax (loss)/profit impact for each risk area.</w:t>
      </w:r>
    </w:p>
    <w:p>
      <w:pPr>
        <w:spacing w:after="0" w:line="159"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For each risk area, the equity impact relates solely to reserve movements and excludes movements in accumulated losses as the impact of these can be seen within the post tax (loss)/profit impact.</w:t>
      </w:r>
    </w:p>
    <w:p>
      <w:pPr>
        <w:spacing w:after="0" w:line="159" w:lineRule="exact"/>
        <w:rPr>
          <w:sz w:val="20"/>
          <w:szCs w:val="20"/>
          <w:color w:val="auto"/>
        </w:rPr>
      </w:pPr>
    </w:p>
    <w:p>
      <w:pPr>
        <w:ind w:left="1580" w:hanging="887"/>
        <w:spacing w:after="0"/>
        <w:tabs>
          <w:tab w:leader="none" w:pos="15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Interest rate risk</w:t>
      </w:r>
    </w:p>
    <w:p>
      <w:pPr>
        <w:spacing w:after="0" w:line="220" w:lineRule="exact"/>
        <w:rPr>
          <w:sz w:val="20"/>
          <w:szCs w:val="20"/>
          <w:color w:val="auto"/>
        </w:rPr>
      </w:pPr>
    </w:p>
    <w:p>
      <w:pPr>
        <w:ind w:left="700"/>
        <w:spacing w:after="0" w:line="173" w:lineRule="exact"/>
        <w:rPr>
          <w:sz w:val="20"/>
          <w:szCs w:val="20"/>
          <w:color w:val="auto"/>
        </w:rPr>
      </w:pPr>
      <w:r>
        <w:rPr>
          <w:rFonts w:ascii="Arial" w:cs="Arial" w:eastAsia="Arial" w:hAnsi="Arial"/>
          <w:sz w:val="15"/>
          <w:szCs w:val="15"/>
          <w:color w:val="auto"/>
        </w:rPr>
        <w:t>The Group’s exposure to market interest rates relates primarily to the short</w:t>
      </w:r>
      <w:r>
        <w:rPr>
          <w:rFonts w:ascii="MS PGothic" w:cs="MS PGothic" w:eastAsia="MS PGothic" w:hAnsi="MS PGothic"/>
          <w:sz w:val="15"/>
          <w:szCs w:val="15"/>
          <w:color w:val="auto"/>
        </w:rPr>
        <w:t>‑</w:t>
      </w:r>
      <w:r>
        <w:rPr>
          <w:rFonts w:ascii="Arial" w:cs="Arial" w:eastAsia="Arial" w:hAnsi="Arial"/>
          <w:sz w:val="15"/>
          <w:szCs w:val="15"/>
          <w:color w:val="auto"/>
        </w:rPr>
        <w:t>term deposits. The deposits are held with two of Australia’s largest banks.</w:t>
      </w:r>
    </w:p>
    <w:p>
      <w:pPr>
        <w:spacing w:after="0" w:line="243" w:lineRule="exact"/>
        <w:rPr>
          <w:sz w:val="20"/>
          <w:szCs w:val="20"/>
          <w:color w:val="auto"/>
        </w:rPr>
      </w:pPr>
    </w:p>
    <w:p>
      <w:pPr>
        <w:jc w:val="both"/>
        <w:ind w:firstLine="706"/>
        <w:spacing w:after="0" w:line="211" w:lineRule="exact"/>
        <w:rPr>
          <w:sz w:val="20"/>
          <w:szCs w:val="20"/>
          <w:color w:val="auto"/>
        </w:rPr>
      </w:pPr>
      <w:r>
        <w:rPr>
          <w:rFonts w:ascii="Arial" w:cs="Arial" w:eastAsia="Arial" w:hAnsi="Arial"/>
          <w:sz w:val="16"/>
          <w:szCs w:val="16"/>
          <w:color w:val="auto"/>
        </w:rPr>
        <w:t>The objective of managing interest rate risk is to minimize the Group’s exposure to fluctuations in interest rates that might impact its interest income and cash flow. To manage interest rate risk, the Group invests the majority of its cash in short</w:t>
      </w:r>
      <w:r>
        <w:rPr>
          <w:rFonts w:ascii="MS PGothic" w:cs="MS PGothic" w:eastAsia="MS PGothic" w:hAnsi="MS PGothic"/>
          <w:sz w:val="16"/>
          <w:szCs w:val="16"/>
          <w:color w:val="auto"/>
        </w:rPr>
        <w:t>‑</w:t>
      </w:r>
      <w:r>
        <w:rPr>
          <w:rFonts w:ascii="Arial" w:cs="Arial" w:eastAsia="Arial" w:hAnsi="Arial"/>
          <w:sz w:val="16"/>
          <w:szCs w:val="16"/>
          <w:color w:val="auto"/>
        </w:rPr>
        <w:t>term deposits for varying periods of between 30 days and 90 days, depending on the short and long</w:t>
      </w:r>
      <w:r>
        <w:rPr>
          <w:rFonts w:ascii="MS PGothic" w:cs="MS PGothic" w:eastAsia="MS PGothic" w:hAnsi="MS PGothic"/>
          <w:sz w:val="16"/>
          <w:szCs w:val="16"/>
          <w:color w:val="auto"/>
        </w:rPr>
        <w:t>‑</w:t>
      </w:r>
      <w:r>
        <w:rPr>
          <w:rFonts w:ascii="Arial" w:cs="Arial" w:eastAsia="Arial" w:hAnsi="Arial"/>
          <w:sz w:val="16"/>
          <w:szCs w:val="16"/>
          <w:color w:val="auto"/>
        </w:rPr>
        <w:t>term cash requirements of the Group which is determined based on the Group’s cash flow forecast. This consideration also takes into account the costs associated with recalling a term deposit should early access to cash and cash equivalents be required. Cash is not locked into long</w:t>
      </w:r>
      <w:r>
        <w:rPr>
          <w:rFonts w:ascii="MS PGothic" w:cs="MS PGothic" w:eastAsia="MS PGothic" w:hAnsi="MS PGothic"/>
          <w:sz w:val="16"/>
          <w:szCs w:val="16"/>
          <w:color w:val="auto"/>
        </w:rPr>
        <w:t>‑</w:t>
      </w:r>
      <w:r>
        <w:rPr>
          <w:rFonts w:ascii="Arial" w:cs="Arial" w:eastAsia="Arial" w:hAnsi="Arial"/>
          <w:sz w:val="16"/>
          <w:szCs w:val="16"/>
          <w:color w:val="auto"/>
        </w:rPr>
        <w:t>term deposits at fixed rates so as to mitigate the risk of earning interest below the current floating rate.</w:t>
      </w:r>
    </w:p>
    <w:p>
      <w:pPr>
        <w:spacing w:after="0" w:line="197"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The Group does not have any borrowings (2020: nil). The following sensitivity analysis (an annual effect) is based on the interest rate risk exposures at June 30, 2021 and 2020.</w:t>
      </w:r>
    </w:p>
    <w:p>
      <w:pPr>
        <w:spacing w:after="0" w:line="159"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At June 30, 2021, if interest rates moved, with all variables held constant, post tax (loss)/profit and equity would have been affected as illustrated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Post tax (loss)/profit impact</w:t>
            </w: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00" w:type="dxa"/>
            <w:vAlign w:val="bottom"/>
          </w:tcPr>
          <w:p>
            <w:pPr>
              <w:jc w:val="right"/>
              <w:ind w:right="451"/>
              <w:spacing w:after="0" w:line="13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500" w:type="dxa"/>
            <w:vAlign w:val="bottom"/>
            <w:gridSpan w:val="2"/>
          </w:tcPr>
          <w:p>
            <w:pPr>
              <w:jc w:val="center"/>
              <w:ind w:left="62"/>
              <w:spacing w:after="0" w:line="139"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2"/>
                <w:szCs w:val="12"/>
                <w:color w:val="auto"/>
              </w:rPr>
            </w:pPr>
          </w:p>
        </w:tc>
      </w:tr>
      <w:tr>
        <w:trPr>
          <w:trHeight w:val="156"/>
        </w:trPr>
        <w:tc>
          <w:tcPr>
            <w:tcW w:w="4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r>
      <w:tr>
        <w:trPr>
          <w:trHeight w:val="165"/>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14"/>
        </w:trPr>
        <w:tc>
          <w:tcPr>
            <w:tcW w:w="45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b w:val="1"/>
                <w:bCs w:val="1"/>
                <w:color w:val="auto"/>
              </w:rPr>
              <w:t>Judgments of reasonably possible movements</w:t>
            </w:r>
          </w:p>
        </w:tc>
        <w:tc>
          <w:tcPr>
            <w:tcW w:w="20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1"/>
        </w:trPr>
        <w:tc>
          <w:tcPr>
            <w:tcW w:w="4580" w:type="dxa"/>
            <w:vAlign w:val="bottom"/>
          </w:tcPr>
          <w:p>
            <w:pPr>
              <w:ind w:left="360"/>
              <w:spacing w:after="0"/>
              <w:rPr>
                <w:sz w:val="20"/>
                <w:szCs w:val="20"/>
                <w:color w:val="auto"/>
              </w:rPr>
            </w:pPr>
            <w:r>
              <w:rPr>
                <w:rFonts w:ascii="Arial" w:cs="Arial" w:eastAsia="Arial" w:hAnsi="Arial"/>
                <w:sz w:val="17"/>
                <w:szCs w:val="17"/>
                <w:color w:val="auto"/>
              </w:rPr>
              <w:t>+0.50% (50 basis points) (2020:+0.50%)</w:t>
            </w:r>
          </w:p>
        </w:tc>
        <w:tc>
          <w:tcPr>
            <w:tcW w:w="3380" w:type="dxa"/>
            <w:vAlign w:val="bottom"/>
            <w:gridSpan w:val="2"/>
          </w:tcPr>
          <w:p>
            <w:pPr>
              <w:jc w:val="right"/>
              <w:spacing w:after="0"/>
              <w:rPr>
                <w:sz w:val="20"/>
                <w:szCs w:val="20"/>
                <w:color w:val="auto"/>
              </w:rPr>
            </w:pPr>
            <w:r>
              <w:rPr>
                <w:rFonts w:ascii="Arial" w:cs="Arial" w:eastAsia="Arial" w:hAnsi="Arial"/>
                <w:sz w:val="17"/>
                <w:szCs w:val="17"/>
                <w:color w:val="auto"/>
              </w:rPr>
              <w:t>359,442</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137,676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50,490</w:t>
            </w:r>
          </w:p>
        </w:tc>
        <w:tc>
          <w:tcPr>
            <w:tcW w:w="100" w:type="dxa"/>
            <w:vAlign w:val="bottom"/>
          </w:tcPr>
          <w:p>
            <w:pPr>
              <w:spacing w:after="0"/>
              <w:rPr>
                <w:sz w:val="19"/>
                <w:szCs w:val="19"/>
                <w:color w:val="auto"/>
              </w:rPr>
            </w:pPr>
          </w:p>
        </w:tc>
      </w:tr>
      <w:tr>
        <w:trPr>
          <w:trHeight w:val="221"/>
        </w:trPr>
        <w:tc>
          <w:tcPr>
            <w:tcW w:w="4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-0.50% (50 basis points) (2020:-0.50%)</w:t>
            </w:r>
          </w:p>
        </w:tc>
        <w:tc>
          <w:tcPr>
            <w:tcW w:w="34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(359,442)</w:t>
            </w:r>
          </w:p>
        </w:tc>
        <w:tc>
          <w:tcPr>
            <w:tcW w:w="176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(137,676)</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(50,490)</w:t>
            </w:r>
          </w:p>
        </w:tc>
      </w:tr>
      <w:tr>
        <w:trPr>
          <w:trHeight w:val="624"/>
        </w:trPr>
        <w:tc>
          <w:tcPr>
            <w:tcW w:w="4580" w:type="dxa"/>
            <w:vAlign w:val="bottom"/>
          </w:tcPr>
          <w:p>
            <w:pPr>
              <w:spacing w:after="0"/>
              <w:rPr>
                <w:sz w:val="24"/>
                <w:szCs w:val="24"/>
                <w:color w:val="auto"/>
              </w:rPr>
            </w:pPr>
          </w:p>
        </w:tc>
        <w:tc>
          <w:tcPr>
            <w:tcW w:w="3480" w:type="dxa"/>
            <w:vAlign w:val="bottom"/>
            <w:gridSpan w:val="3"/>
          </w:tcPr>
          <w:p>
            <w:pPr>
              <w:jc w:val="right"/>
              <w:ind w:right="2280"/>
              <w:spacing w:after="0"/>
              <w:rPr>
                <w:sz w:val="20"/>
                <w:szCs w:val="20"/>
                <w:color w:val="auto"/>
              </w:rPr>
            </w:pPr>
            <w:r>
              <w:rPr>
                <w:rFonts w:ascii="Arial" w:cs="Arial" w:eastAsia="Arial" w:hAnsi="Arial"/>
                <w:sz w:val="17"/>
                <w:szCs w:val="17"/>
                <w:color w:val="auto"/>
              </w:rPr>
              <w:t>F-29</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45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4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post tax figures include an offset for unrecognized tax losses (bringing the tax effect to nil) for the year ended June 30, 2021 (2020: nil ,2019: nil).</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Significant assumptions used in the interest rate sensitivity analysis include:</w:t>
      </w:r>
    </w:p>
    <w:p>
      <w:pPr>
        <w:spacing w:after="0" w:line="220" w:lineRule="exact"/>
        <w:rPr>
          <w:sz w:val="20"/>
          <w:szCs w:val="20"/>
          <w:color w:val="auto"/>
        </w:rPr>
      </w:pPr>
    </w:p>
    <w:p>
      <w:pPr>
        <w:ind w:left="1600" w:hanging="440"/>
        <w:spacing w:after="0" w:line="214" w:lineRule="exact"/>
        <w:tabs>
          <w:tab w:leader="none" w:pos="16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reasonably possible movement of 0.5% was calculated by taking the interest rates as of balance date, moving these by plus and minus 0.5% and then re</w:t>
      </w:r>
      <w:r>
        <w:rPr>
          <w:rFonts w:ascii="MS PGothic" w:cs="MS PGothic" w:eastAsia="MS PGothic" w:hAnsi="MS PGothic"/>
          <w:sz w:val="17"/>
          <w:szCs w:val="17"/>
          <w:color w:val="auto"/>
        </w:rPr>
        <w:t>‑</w:t>
      </w:r>
      <w:r>
        <w:rPr>
          <w:rFonts w:ascii="Arial" w:cs="Arial" w:eastAsia="Arial" w:hAnsi="Arial"/>
          <w:sz w:val="17"/>
          <w:szCs w:val="17"/>
          <w:color w:val="auto"/>
        </w:rPr>
        <w:t>calculating the interest on term deposits with the ‘new</w:t>
      </w:r>
      <w:r>
        <w:rPr>
          <w:rFonts w:ascii="MS PGothic" w:cs="MS PGothic" w:eastAsia="MS PGothic" w:hAnsi="MS PGothic"/>
          <w:sz w:val="17"/>
          <w:szCs w:val="17"/>
          <w:color w:val="auto"/>
        </w:rPr>
        <w:t>‑</w:t>
      </w:r>
      <w:r>
        <w:rPr>
          <w:rFonts w:ascii="Arial" w:cs="Arial" w:eastAsia="Arial" w:hAnsi="Arial"/>
          <w:sz w:val="17"/>
          <w:szCs w:val="17"/>
          <w:color w:val="auto"/>
        </w:rPr>
        <w:t>interest</w:t>
      </w:r>
      <w:r>
        <w:rPr>
          <w:rFonts w:ascii="MS PGothic" w:cs="MS PGothic" w:eastAsia="MS PGothic" w:hAnsi="MS PGothic"/>
          <w:sz w:val="17"/>
          <w:szCs w:val="17"/>
          <w:color w:val="auto"/>
        </w:rPr>
        <w:t>‑</w:t>
      </w:r>
      <w:r>
        <w:rPr>
          <w:rFonts w:ascii="Arial" w:cs="Arial" w:eastAsia="Arial" w:hAnsi="Arial"/>
          <w:sz w:val="17"/>
          <w:szCs w:val="17"/>
          <w:color w:val="auto"/>
        </w:rPr>
        <w:t>rate’.</w:t>
      </w:r>
    </w:p>
    <w:p>
      <w:pPr>
        <w:spacing w:after="0" w:line="1" w:lineRule="exact"/>
        <w:rPr>
          <w:rFonts w:ascii="Arial" w:cs="Arial" w:eastAsia="Arial" w:hAnsi="Arial"/>
          <w:sz w:val="17"/>
          <w:szCs w:val="17"/>
          <w:color w:val="auto"/>
        </w:rPr>
      </w:pPr>
    </w:p>
    <w:p>
      <w:pPr>
        <w:ind w:left="1580" w:hanging="433"/>
        <w:spacing w:after="0" w:line="237" w:lineRule="auto"/>
        <w:tabs>
          <w:tab w:leader="none" w:pos="1580" w:val="left"/>
        </w:tabs>
        <w:numPr>
          <w:ilvl w:val="1"/>
          <w:numId w:val="104"/>
        </w:numPr>
        <w:rPr>
          <w:rFonts w:ascii="Arial" w:cs="Arial" w:eastAsia="Arial" w:hAnsi="Arial"/>
          <w:sz w:val="19"/>
          <w:szCs w:val="19"/>
          <w:color w:val="auto"/>
        </w:rPr>
      </w:pPr>
      <w:r>
        <w:rPr>
          <w:rFonts w:ascii="Arial" w:cs="Arial" w:eastAsia="Arial" w:hAnsi="Arial"/>
          <w:sz w:val="17"/>
          <w:szCs w:val="17"/>
          <w:color w:val="auto"/>
        </w:rPr>
        <w:t>The net exposure at balance date is representative of what the Group was and is expecting to be exposed to in the next twelve months from balance date</w:t>
      </w:r>
      <w:r>
        <w:rPr>
          <w:rFonts w:ascii="Arial" w:cs="Arial" w:eastAsia="Arial" w:hAnsi="Arial"/>
          <w:sz w:val="19"/>
          <w:szCs w:val="19"/>
          <w:color w:val="auto"/>
        </w:rPr>
        <w:t>.</w:t>
      </w:r>
    </w:p>
    <w:p>
      <w:pPr>
        <w:spacing w:after="0" w:line="192" w:lineRule="exact"/>
        <w:rPr>
          <w:rFonts w:ascii="Arial" w:cs="Arial" w:eastAsia="Arial" w:hAnsi="Arial"/>
          <w:sz w:val="19"/>
          <w:szCs w:val="19"/>
          <w:color w:val="auto"/>
        </w:rPr>
      </w:pPr>
    </w:p>
    <w:p>
      <w:pPr>
        <w:ind w:left="1580" w:hanging="874"/>
        <w:spacing w:after="0"/>
        <w:tabs>
          <w:tab w:leader="none" w:pos="15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Price risk</w:t>
      </w:r>
    </w:p>
    <w:p>
      <w:pPr>
        <w:spacing w:after="0" w:line="220"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The Group’s investment in listed shares is exposed to equity securities price risk and as such their fair values are exposed to fluctuations as a result of changes in market prices.</w:t>
      </w:r>
    </w:p>
    <w:p>
      <w:pPr>
        <w:spacing w:after="0" w:line="159"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Equity price risk is the risk that the fair value of equities will decrease as a result of share price movements. The Group’s equity investments are publicly traded on the ASX and are designated and accounted for as investments in financial assets.</w:t>
      </w:r>
    </w:p>
    <w:p>
      <w:pPr>
        <w:spacing w:after="0" w:line="159" w:lineRule="exact"/>
        <w:rPr>
          <w:sz w:val="20"/>
          <w:szCs w:val="20"/>
          <w:color w:val="auto"/>
        </w:rPr>
      </w:pPr>
    </w:p>
    <w:p>
      <w:pPr>
        <w:jc w:val="both"/>
        <w:ind w:firstLine="706"/>
        <w:spacing w:after="0" w:line="212" w:lineRule="exact"/>
        <w:rPr>
          <w:sz w:val="20"/>
          <w:szCs w:val="20"/>
          <w:color w:val="auto"/>
        </w:rPr>
      </w:pPr>
      <w:r>
        <w:rPr>
          <w:rFonts w:ascii="Arial" w:cs="Arial" w:eastAsia="Arial" w:hAnsi="Arial"/>
          <w:sz w:val="17"/>
          <w:szCs w:val="17"/>
          <w:color w:val="auto"/>
        </w:rPr>
        <w:t>The investments in listed shares are not held for short</w:t>
      </w:r>
      <w:r>
        <w:rPr>
          <w:rFonts w:ascii="MS PGothic" w:cs="MS PGothic" w:eastAsia="MS PGothic" w:hAnsi="MS PGothic"/>
          <w:sz w:val="17"/>
          <w:szCs w:val="17"/>
          <w:color w:val="auto"/>
        </w:rPr>
        <w:t>‑</w:t>
      </w:r>
      <w:r>
        <w:rPr>
          <w:rFonts w:ascii="Arial" w:cs="Arial" w:eastAsia="Arial" w:hAnsi="Arial"/>
          <w:sz w:val="17"/>
          <w:szCs w:val="17"/>
          <w:color w:val="auto"/>
        </w:rPr>
        <w:t>term trading. Their values are reviewed regularly by management and the board. The strategy for realizing any part of these investments is determined based on the liquidity of the respective stocks, potential off</w:t>
      </w:r>
      <w:r>
        <w:rPr>
          <w:rFonts w:ascii="MS PGothic" w:cs="MS PGothic" w:eastAsia="MS PGothic" w:hAnsi="MS PGothic"/>
          <w:sz w:val="17"/>
          <w:szCs w:val="17"/>
          <w:color w:val="auto"/>
        </w:rPr>
        <w:t>‑</w:t>
      </w:r>
      <w:r>
        <w:rPr>
          <w:rFonts w:ascii="Arial" w:cs="Arial" w:eastAsia="Arial" w:hAnsi="Arial"/>
          <w:sz w:val="17"/>
          <w:szCs w:val="17"/>
          <w:color w:val="auto"/>
        </w:rPr>
        <w:t>market acquirers and likely developments in their values based on publicly available information.</w:t>
      </w:r>
    </w:p>
    <w:p>
      <w:pPr>
        <w:spacing w:after="0" w:line="196"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At June 30, 2021 and 2020, had the share price moved with all other variables held constant, post tax (loss)/profit and equity would have been affected as illustrated in the table below:</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1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left="741"/>
              <w:spacing w:after="0" w:line="159" w:lineRule="exact"/>
              <w:rPr>
                <w:sz w:val="20"/>
                <w:szCs w:val="20"/>
                <w:color w:val="auto"/>
              </w:rPr>
            </w:pPr>
            <w:r>
              <w:rPr>
                <w:rFonts w:ascii="Arial" w:cs="Arial" w:eastAsia="Arial" w:hAnsi="Arial"/>
                <w:sz w:val="14"/>
                <w:szCs w:val="14"/>
                <w:b w:val="1"/>
                <w:bCs w:val="1"/>
                <w:color w:val="auto"/>
                <w:w w:val="83"/>
              </w:rPr>
              <w:t>2020</w:t>
            </w: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Borders>
              <w:top w:val="single" w:sz="8" w:color="auto"/>
            </w:tcBorders>
          </w:tcPr>
          <w:p>
            <w:pPr>
              <w:jc w:val="center"/>
              <w:ind w:left="681"/>
              <w:spacing w:after="0" w:line="159" w:lineRule="exact"/>
              <w:rPr>
                <w:sz w:val="20"/>
                <w:szCs w:val="20"/>
                <w:color w:val="auto"/>
              </w:rPr>
            </w:pPr>
            <w:r>
              <w:rPr>
                <w:rFonts w:ascii="Arial" w:cs="Arial" w:eastAsia="Arial" w:hAnsi="Arial"/>
                <w:sz w:val="14"/>
                <w:szCs w:val="14"/>
                <w:b w:val="1"/>
                <w:bCs w:val="1"/>
                <w:color w:val="auto"/>
                <w:w w:val="89"/>
              </w:rPr>
              <w:t>2019</w:t>
            </w: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84"/>
              </w:rPr>
              <w:t>Restated</w:t>
            </w:r>
          </w:p>
        </w:tc>
        <w:tc>
          <w:tcPr>
            <w:tcW w:w="1280" w:type="dxa"/>
            <w:vAlign w:val="bottom"/>
          </w:tcPr>
          <w:p>
            <w:pPr>
              <w:jc w:val="center"/>
              <w:ind w:left="681"/>
              <w:spacing w:after="0" w:line="156" w:lineRule="exact"/>
              <w:rPr>
                <w:sz w:val="20"/>
                <w:szCs w:val="20"/>
                <w:color w:val="auto"/>
              </w:rPr>
            </w:pPr>
            <w:r>
              <w:rPr>
                <w:rFonts w:ascii="Arial" w:cs="Arial" w:eastAsia="Arial" w:hAnsi="Arial"/>
                <w:sz w:val="14"/>
                <w:szCs w:val="14"/>
                <w:b w:val="1"/>
                <w:bCs w:val="1"/>
                <w:color w:val="auto"/>
                <w:w w:val="87"/>
              </w:rPr>
              <w:t>Restated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center"/>
              <w:ind w:left="741"/>
              <w:spacing w:after="0"/>
              <w:rPr>
                <w:sz w:val="20"/>
                <w:szCs w:val="20"/>
                <w:color w:val="auto"/>
              </w:rPr>
            </w:pPr>
            <w:r>
              <w:rPr>
                <w:rFonts w:ascii="Arial" w:cs="Arial" w:eastAsia="Arial" w:hAnsi="Arial"/>
                <w:sz w:val="14"/>
                <w:szCs w:val="14"/>
                <w:b w:val="1"/>
                <w:bCs w:val="1"/>
                <w:color w:val="auto"/>
                <w:w w:val="95"/>
              </w:rPr>
              <w:t>US$</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ind w:left="681"/>
              <w:spacing w:after="0"/>
              <w:rPr>
                <w:sz w:val="20"/>
                <w:szCs w:val="20"/>
                <w:color w:val="auto"/>
              </w:rPr>
            </w:pPr>
            <w:r>
              <w:rPr>
                <w:rFonts w:ascii="Arial" w:cs="Arial" w:eastAsia="Arial" w:hAnsi="Arial"/>
                <w:sz w:val="14"/>
                <w:szCs w:val="14"/>
                <w:b w:val="1"/>
                <w:bCs w:val="1"/>
                <w:color w:val="auto"/>
                <w:w w:val="87"/>
              </w:rPr>
              <w:t>US$</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416"/>
        </w:trPr>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180" w:type="dxa"/>
            <w:vAlign w:val="bottom"/>
          </w:tcPr>
          <w:p>
            <w:pPr>
              <w:jc w:val="right"/>
              <w:ind w:right="219"/>
              <w:spacing w:after="0"/>
              <w:rPr>
                <w:sz w:val="20"/>
                <w:szCs w:val="20"/>
                <w:color w:val="auto"/>
              </w:rPr>
            </w:pPr>
            <w:r>
              <w:rPr>
                <w:rFonts w:ascii="Arial" w:cs="Arial" w:eastAsia="Arial" w:hAnsi="Arial"/>
                <w:sz w:val="17"/>
                <w:szCs w:val="17"/>
                <w:b w:val="1"/>
                <w:bCs w:val="1"/>
                <w:color w:val="auto"/>
              </w:rPr>
              <w:t>Impact of</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7"/>
              </w:rPr>
              <w:t>Impact on</w:t>
            </w:r>
          </w:p>
        </w:tc>
        <w:tc>
          <w:tcPr>
            <w:tcW w:w="1200" w:type="dxa"/>
            <w:vAlign w:val="bottom"/>
          </w:tcPr>
          <w:p>
            <w:pPr>
              <w:jc w:val="right"/>
              <w:ind w:right="221"/>
              <w:spacing w:after="0"/>
              <w:rPr>
                <w:sz w:val="20"/>
                <w:szCs w:val="20"/>
                <w:color w:val="auto"/>
              </w:rPr>
            </w:pPr>
            <w:r>
              <w:rPr>
                <w:rFonts w:ascii="Arial" w:cs="Arial" w:eastAsia="Arial" w:hAnsi="Arial"/>
                <w:sz w:val="17"/>
                <w:szCs w:val="17"/>
                <w:b w:val="1"/>
                <w:bCs w:val="1"/>
                <w:color w:val="auto"/>
              </w:rPr>
              <w:t>Impact of</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9"/>
              </w:rPr>
              <w:t>Impact on</w:t>
            </w:r>
          </w:p>
        </w:tc>
        <w:tc>
          <w:tcPr>
            <w:tcW w:w="1280" w:type="dxa"/>
            <w:vAlign w:val="bottom"/>
          </w:tcPr>
          <w:p>
            <w:pPr>
              <w:jc w:val="right"/>
              <w:ind w:right="301"/>
              <w:spacing w:after="0"/>
              <w:rPr>
                <w:sz w:val="20"/>
                <w:szCs w:val="20"/>
                <w:color w:val="auto"/>
              </w:rPr>
            </w:pPr>
            <w:r>
              <w:rPr>
                <w:rFonts w:ascii="Arial" w:cs="Arial" w:eastAsia="Arial" w:hAnsi="Arial"/>
                <w:sz w:val="17"/>
                <w:szCs w:val="17"/>
                <w:b w:val="1"/>
                <w:bCs w:val="1"/>
                <w:color w:val="auto"/>
              </w:rPr>
              <w:t>Impact of</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2"/>
              </w:rPr>
              <w:t>Impact on</w:t>
            </w:r>
          </w:p>
        </w:tc>
      </w:tr>
      <w:tr>
        <w:trPr>
          <w:trHeight w:val="226"/>
        </w:trPr>
        <w:tc>
          <w:tcPr>
            <w:tcW w:w="4760" w:type="dxa"/>
            <w:vAlign w:val="bottom"/>
            <w:gridSpan w:val="2"/>
          </w:tcPr>
          <w:p>
            <w:pPr>
              <w:ind w:left="360"/>
              <w:spacing w:after="0"/>
              <w:rPr>
                <w:sz w:val="20"/>
                <w:szCs w:val="20"/>
                <w:color w:val="auto"/>
              </w:rPr>
            </w:pPr>
            <w:r>
              <w:rPr>
                <w:rFonts w:ascii="Arial" w:cs="Arial" w:eastAsia="Arial" w:hAnsi="Arial"/>
                <w:sz w:val="17"/>
                <w:szCs w:val="17"/>
                <w:b w:val="1"/>
                <w:bCs w:val="1"/>
                <w:color w:val="auto"/>
              </w:rPr>
              <w:t>Judgments of reasonably possible movements</w:t>
            </w:r>
          </w:p>
        </w:tc>
        <w:tc>
          <w:tcPr>
            <w:tcW w:w="1180" w:type="dxa"/>
            <w:vAlign w:val="bottom"/>
          </w:tcPr>
          <w:p>
            <w:pPr>
              <w:jc w:val="right"/>
              <w:ind w:right="219"/>
              <w:spacing w:after="0"/>
              <w:rPr>
                <w:sz w:val="20"/>
                <w:szCs w:val="20"/>
                <w:color w:val="auto"/>
              </w:rPr>
            </w:pPr>
            <w:r>
              <w:rPr>
                <w:rFonts w:ascii="Arial" w:cs="Arial" w:eastAsia="Arial" w:hAnsi="Arial"/>
                <w:sz w:val="17"/>
                <w:szCs w:val="17"/>
                <w:b w:val="1"/>
                <w:bCs w:val="1"/>
                <w:color w:val="auto"/>
              </w:rPr>
              <w:t>loss</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equity</w:t>
            </w:r>
          </w:p>
        </w:tc>
        <w:tc>
          <w:tcPr>
            <w:tcW w:w="1200" w:type="dxa"/>
            <w:vAlign w:val="bottom"/>
          </w:tcPr>
          <w:p>
            <w:pPr>
              <w:jc w:val="right"/>
              <w:ind w:right="221"/>
              <w:spacing w:after="0"/>
              <w:rPr>
                <w:sz w:val="20"/>
                <w:szCs w:val="20"/>
                <w:color w:val="auto"/>
              </w:rPr>
            </w:pPr>
            <w:r>
              <w:rPr>
                <w:rFonts w:ascii="Arial" w:cs="Arial" w:eastAsia="Arial" w:hAnsi="Arial"/>
                <w:sz w:val="17"/>
                <w:szCs w:val="17"/>
                <w:b w:val="1"/>
                <w:bCs w:val="1"/>
                <w:color w:val="auto"/>
              </w:rPr>
              <w:t>loss</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equity</w:t>
            </w:r>
          </w:p>
        </w:tc>
        <w:tc>
          <w:tcPr>
            <w:tcW w:w="1280" w:type="dxa"/>
            <w:vAlign w:val="bottom"/>
          </w:tcPr>
          <w:p>
            <w:pPr>
              <w:jc w:val="right"/>
              <w:ind w:right="301"/>
              <w:spacing w:after="0"/>
              <w:rPr>
                <w:sz w:val="20"/>
                <w:szCs w:val="20"/>
                <w:color w:val="auto"/>
              </w:rPr>
            </w:pPr>
            <w:r>
              <w:rPr>
                <w:rFonts w:ascii="Arial" w:cs="Arial" w:eastAsia="Arial" w:hAnsi="Arial"/>
                <w:sz w:val="17"/>
                <w:szCs w:val="17"/>
                <w:b w:val="1"/>
                <w:bCs w:val="1"/>
                <w:color w:val="auto"/>
              </w:rPr>
              <w:t>loss</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equity</w:t>
            </w:r>
          </w:p>
        </w:tc>
      </w:tr>
      <w:tr>
        <w:trPr>
          <w:trHeight w:val="221"/>
        </w:trPr>
        <w:tc>
          <w:tcPr>
            <w:tcW w:w="47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Change in variables</w:t>
            </w:r>
          </w:p>
        </w:tc>
        <w:tc>
          <w:tcPr>
            <w:tcW w:w="1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1"/>
        </w:trPr>
        <w:tc>
          <w:tcPr>
            <w:tcW w:w="4760" w:type="dxa"/>
            <w:vAlign w:val="bottom"/>
            <w:gridSpan w:val="2"/>
          </w:tcPr>
          <w:p>
            <w:pPr>
              <w:ind w:left="360"/>
              <w:spacing w:after="0"/>
              <w:rPr>
                <w:sz w:val="20"/>
                <w:szCs w:val="20"/>
                <w:color w:val="auto"/>
              </w:rPr>
            </w:pPr>
            <w:r>
              <w:rPr>
                <w:rFonts w:ascii="Arial" w:cs="Arial" w:eastAsia="Arial" w:hAnsi="Arial"/>
                <w:sz w:val="17"/>
                <w:szCs w:val="17"/>
                <w:color w:val="auto"/>
              </w:rPr>
              <w:t>10% increase in listed share price</w:t>
            </w:r>
          </w:p>
        </w:tc>
        <w:tc>
          <w:tcPr>
            <w:tcW w:w="1180" w:type="dxa"/>
            <w:vAlign w:val="bottom"/>
          </w:tcPr>
          <w:p>
            <w:pPr>
              <w:jc w:val="right"/>
              <w:ind w:right="219"/>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21"/>
              <w:spacing w:after="0"/>
              <w:rPr>
                <w:sz w:val="20"/>
                <w:szCs w:val="20"/>
                <w:color w:val="auto"/>
              </w:rPr>
            </w:pPr>
            <w:r>
              <w:rPr>
                <w:rFonts w:ascii="Arial" w:cs="Arial" w:eastAsia="Arial" w:hAnsi="Arial"/>
                <w:sz w:val="17"/>
                <w:szCs w:val="17"/>
                <w:color w:val="auto"/>
              </w:rPr>
              <w:t>13,450</w:t>
            </w:r>
          </w:p>
        </w:tc>
        <w:tc>
          <w:tcPr>
            <w:tcW w:w="820" w:type="dxa"/>
            <w:vAlign w:val="bottom"/>
          </w:tcPr>
          <w:p>
            <w:pPr>
              <w:jc w:val="right"/>
              <w:spacing w:after="0"/>
              <w:rPr>
                <w:sz w:val="20"/>
                <w:szCs w:val="20"/>
                <w:color w:val="auto"/>
              </w:rPr>
            </w:pPr>
            <w:r>
              <w:rPr>
                <w:rFonts w:ascii="Arial" w:cs="Arial" w:eastAsia="Arial" w:hAnsi="Arial"/>
                <w:sz w:val="17"/>
                <w:szCs w:val="17"/>
                <w:color w:val="auto"/>
              </w:rPr>
              <w:t>13,450</w:t>
            </w:r>
          </w:p>
        </w:tc>
        <w:tc>
          <w:tcPr>
            <w:tcW w:w="100" w:type="dxa"/>
            <w:vAlign w:val="bottom"/>
          </w:tcPr>
          <w:p>
            <w:pPr>
              <w:spacing w:after="0"/>
              <w:rPr>
                <w:sz w:val="19"/>
                <w:szCs w:val="19"/>
                <w:color w:val="auto"/>
              </w:rPr>
            </w:pPr>
          </w:p>
        </w:tc>
        <w:tc>
          <w:tcPr>
            <w:tcW w:w="1280" w:type="dxa"/>
            <w:vAlign w:val="bottom"/>
          </w:tcPr>
          <w:p>
            <w:pPr>
              <w:jc w:val="right"/>
              <w:ind w:right="301"/>
              <w:spacing w:after="0"/>
              <w:rPr>
                <w:sz w:val="20"/>
                <w:szCs w:val="20"/>
                <w:color w:val="auto"/>
              </w:rPr>
            </w:pPr>
            <w:r>
              <w:rPr>
                <w:rFonts w:ascii="Arial" w:cs="Arial" w:eastAsia="Arial" w:hAnsi="Arial"/>
                <w:sz w:val="17"/>
                <w:szCs w:val="17"/>
                <w:color w:val="auto"/>
              </w:rPr>
              <w:t>35,102</w:t>
            </w:r>
          </w:p>
        </w:tc>
        <w:tc>
          <w:tcPr>
            <w:tcW w:w="760" w:type="dxa"/>
            <w:vAlign w:val="bottom"/>
          </w:tcPr>
          <w:p>
            <w:pPr>
              <w:jc w:val="right"/>
              <w:spacing w:after="0"/>
              <w:rPr>
                <w:sz w:val="20"/>
                <w:szCs w:val="20"/>
                <w:color w:val="auto"/>
              </w:rPr>
            </w:pPr>
            <w:r>
              <w:rPr>
                <w:rFonts w:ascii="Arial" w:cs="Arial" w:eastAsia="Arial" w:hAnsi="Arial"/>
                <w:sz w:val="17"/>
                <w:szCs w:val="17"/>
                <w:color w:val="auto"/>
              </w:rPr>
              <w:t>35,102</w:t>
            </w:r>
          </w:p>
        </w:tc>
        <w:tc>
          <w:tcPr>
            <w:tcW w:w="120" w:type="dxa"/>
            <w:vAlign w:val="bottom"/>
          </w:tcPr>
          <w:p>
            <w:pPr>
              <w:spacing w:after="0"/>
              <w:rPr>
                <w:sz w:val="19"/>
                <w:szCs w:val="19"/>
                <w:color w:val="auto"/>
              </w:rPr>
            </w:pPr>
          </w:p>
        </w:tc>
      </w:tr>
      <w:tr>
        <w:trPr>
          <w:trHeight w:val="221"/>
        </w:trPr>
        <w:tc>
          <w:tcPr>
            <w:tcW w:w="47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10% decrease in listed share price</w:t>
            </w:r>
          </w:p>
        </w:tc>
        <w:tc>
          <w:tcPr>
            <w:tcW w:w="1180" w:type="dxa"/>
            <w:vAlign w:val="bottom"/>
            <w:shd w:val="clear" w:color="auto" w:fill="CFF0FC"/>
          </w:tcPr>
          <w:p>
            <w:pPr>
              <w:jc w:val="right"/>
              <w:ind w:right="219"/>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ind w:right="161"/>
              <w:spacing w:after="0"/>
              <w:rPr>
                <w:sz w:val="20"/>
                <w:szCs w:val="20"/>
                <w:color w:val="auto"/>
              </w:rPr>
            </w:pPr>
            <w:r>
              <w:rPr>
                <w:rFonts w:ascii="Arial" w:cs="Arial" w:eastAsia="Arial" w:hAnsi="Arial"/>
                <w:sz w:val="17"/>
                <w:szCs w:val="17"/>
                <w:color w:val="auto"/>
              </w:rPr>
              <w:t>(13,450)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(13,450)</w:t>
            </w:r>
          </w:p>
        </w:tc>
        <w:tc>
          <w:tcPr>
            <w:tcW w:w="1280" w:type="dxa"/>
            <w:vAlign w:val="bottom"/>
            <w:shd w:val="clear" w:color="auto" w:fill="CFF0FC"/>
          </w:tcPr>
          <w:p>
            <w:pPr>
              <w:jc w:val="right"/>
              <w:ind w:right="221"/>
              <w:spacing w:after="0"/>
              <w:rPr>
                <w:sz w:val="20"/>
                <w:szCs w:val="20"/>
                <w:color w:val="auto"/>
              </w:rPr>
            </w:pPr>
            <w:r>
              <w:rPr>
                <w:rFonts w:ascii="Arial" w:cs="Arial" w:eastAsia="Arial" w:hAnsi="Arial"/>
                <w:sz w:val="17"/>
                <w:szCs w:val="17"/>
                <w:color w:val="auto"/>
              </w:rPr>
              <w:t>(35,102)</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(35,102)</w:t>
            </w:r>
          </w:p>
        </w:tc>
      </w:tr>
      <w:tr>
        <w:trPr>
          <w:trHeight w:val="442"/>
        </w:trPr>
        <w:tc>
          <w:tcPr>
            <w:tcW w:w="1280" w:type="dxa"/>
            <w:vAlign w:val="bottom"/>
          </w:tcPr>
          <w:p>
            <w:pPr>
              <w:ind w:left="700"/>
              <w:spacing w:after="0"/>
              <w:rPr>
                <w:sz w:val="20"/>
                <w:szCs w:val="20"/>
                <w:color w:val="auto"/>
              </w:rPr>
            </w:pPr>
            <w:r>
              <w:rPr>
                <w:rFonts w:ascii="Arial" w:cs="Arial" w:eastAsia="Arial" w:hAnsi="Arial"/>
                <w:sz w:val="17"/>
                <w:szCs w:val="17"/>
                <w:color w:val="auto"/>
              </w:rPr>
              <w:t>(iii)</w:t>
            </w:r>
          </w:p>
        </w:tc>
        <w:tc>
          <w:tcPr>
            <w:tcW w:w="3480" w:type="dxa"/>
            <w:vAlign w:val="bottom"/>
          </w:tcPr>
          <w:p>
            <w:pPr>
              <w:ind w:left="300"/>
              <w:spacing w:after="0"/>
              <w:rPr>
                <w:sz w:val="20"/>
                <w:szCs w:val="20"/>
                <w:color w:val="auto"/>
              </w:rPr>
            </w:pPr>
            <w:r>
              <w:rPr>
                <w:rFonts w:ascii="Arial" w:cs="Arial" w:eastAsia="Arial" w:hAnsi="Arial"/>
                <w:sz w:val="17"/>
                <w:szCs w:val="17"/>
                <w:color w:val="auto"/>
              </w:rPr>
              <w:t>Foreign currency risk</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8" w:lineRule="exact"/>
        <w:rPr>
          <w:sz w:val="20"/>
          <w:szCs w:val="20"/>
          <w:color w:val="auto"/>
        </w:rPr>
      </w:pPr>
    </w:p>
    <w:p>
      <w:pPr>
        <w:jc w:val="both"/>
        <w:ind w:firstLine="706"/>
        <w:spacing w:after="0" w:line="214" w:lineRule="exact"/>
        <w:rPr>
          <w:sz w:val="20"/>
          <w:szCs w:val="20"/>
          <w:color w:val="auto"/>
        </w:rPr>
      </w:pPr>
      <w:r>
        <w:rPr>
          <w:rFonts w:ascii="Arial" w:cs="Arial" w:eastAsia="Arial" w:hAnsi="Arial"/>
          <w:sz w:val="17"/>
          <w:szCs w:val="17"/>
          <w:color w:val="auto"/>
        </w:rPr>
        <w:t>As a result of services provided by non</w:t>
      </w:r>
      <w:r>
        <w:rPr>
          <w:rFonts w:ascii="MS PGothic" w:cs="MS PGothic" w:eastAsia="MS PGothic" w:hAnsi="MS PGothic"/>
          <w:sz w:val="17"/>
          <w:szCs w:val="17"/>
          <w:color w:val="auto"/>
        </w:rPr>
        <w:t>‑</w:t>
      </w:r>
      <w:r>
        <w:rPr>
          <w:rFonts w:ascii="Arial" w:cs="Arial" w:eastAsia="Arial" w:hAnsi="Arial"/>
          <w:sz w:val="17"/>
          <w:szCs w:val="17"/>
          <w:color w:val="auto"/>
        </w:rPr>
        <w:t>related entities in the United States, Canada, United Kingdom and Europe, part of the Group’s monetary assets and liabilities are affected by movements in the exchange rate.</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Group does not enter into any hedging transactions.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At the reporting date, the Group has the following exposure to foreign currencies. The functional currency of the Group changed during the year ended</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June 30, 2021. Accordingly, the 2021 table illustrates the Group’s exposure to Australian dollars and the 2020 table illustrates the Group’s exposure to US dollars: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ind w:left="88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60"/>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AUD</w:t>
            </w:r>
          </w:p>
        </w:tc>
        <w:tc>
          <w:tcPr>
            <w:tcW w:w="1820" w:type="dxa"/>
            <w:vAlign w:val="bottom"/>
            <w:gridSpan w:val="3"/>
          </w:tcPr>
          <w:p>
            <w:pPr>
              <w:ind w:left="740"/>
              <w:spacing w:after="0"/>
              <w:rPr>
                <w:sz w:val="20"/>
                <w:szCs w:val="20"/>
                <w:color w:val="auto"/>
              </w:rPr>
            </w:pPr>
            <w:r>
              <w:rPr>
                <w:rFonts w:ascii="Arial" w:cs="Arial" w:eastAsia="Arial" w:hAnsi="Arial"/>
                <w:sz w:val="14"/>
                <w:szCs w:val="14"/>
                <w:b w:val="1"/>
                <w:bCs w:val="1"/>
                <w:color w:val="auto"/>
              </w:rPr>
              <w:t>EURO</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GBP</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CAD</w:t>
            </w:r>
          </w:p>
        </w:tc>
        <w:tc>
          <w:tcPr>
            <w:tcW w:w="0" w:type="dxa"/>
            <w:vAlign w:val="bottom"/>
          </w:tcPr>
          <w:p>
            <w:pPr>
              <w:spacing w:after="0"/>
              <w:rPr>
                <w:sz w:val="1"/>
                <w:szCs w:val="1"/>
                <w:color w:val="auto"/>
              </w:rPr>
            </w:pPr>
          </w:p>
        </w:tc>
      </w:tr>
      <w:tr>
        <w:trPr>
          <w:trHeight w:val="149"/>
        </w:trPr>
        <w:tc>
          <w:tcPr>
            <w:tcW w:w="5860" w:type="dxa"/>
            <w:vAlign w:val="bottom"/>
            <w:tcBorders>
              <w:top w:val="single" w:sz="8" w:color="CFF0FC"/>
            </w:tcBorders>
            <w:shd w:val="clear" w:color="auto" w:fill="CFF0FC"/>
          </w:tcPr>
          <w:p>
            <w:pPr>
              <w:ind w:left="360"/>
              <w:spacing w:after="0" w:line="149" w:lineRule="exact"/>
              <w:rPr>
                <w:sz w:val="20"/>
                <w:szCs w:val="20"/>
                <w:color w:val="auto"/>
              </w:rPr>
            </w:pPr>
            <w:r>
              <w:rPr>
                <w:rFonts w:ascii="Arial" w:cs="Arial" w:eastAsia="Arial" w:hAnsi="Arial"/>
                <w:sz w:val="14"/>
                <w:szCs w:val="14"/>
                <w:b w:val="1"/>
                <w:bCs w:val="1"/>
                <w:color w:val="auto"/>
              </w:rPr>
              <w:t>Financial assets</w:t>
            </w:r>
          </w:p>
        </w:tc>
        <w:tc>
          <w:tcPr>
            <w:tcW w:w="11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360"/>
              <w:spacing w:after="0"/>
              <w:rPr>
                <w:sz w:val="20"/>
                <w:szCs w:val="20"/>
                <w:color w:val="auto"/>
              </w:rPr>
            </w:pPr>
            <w:r>
              <w:rPr>
                <w:rFonts w:ascii="Arial" w:cs="Arial" w:eastAsia="Arial" w:hAnsi="Arial"/>
                <w:sz w:val="17"/>
                <w:szCs w:val="17"/>
                <w:color w:val="auto"/>
              </w:rPr>
              <w:t>Cash</w:t>
            </w:r>
          </w:p>
        </w:tc>
        <w:tc>
          <w:tcPr>
            <w:tcW w:w="1140" w:type="dxa"/>
            <w:vAlign w:val="bottom"/>
          </w:tcPr>
          <w:p>
            <w:pPr>
              <w:jc w:val="right"/>
              <w:spacing w:after="0"/>
              <w:rPr>
                <w:sz w:val="20"/>
                <w:szCs w:val="20"/>
                <w:color w:val="auto"/>
              </w:rPr>
            </w:pPr>
            <w:r>
              <w:rPr>
                <w:rFonts w:ascii="Arial" w:cs="Arial" w:eastAsia="Arial" w:hAnsi="Arial"/>
                <w:sz w:val="17"/>
                <w:szCs w:val="17"/>
                <w:color w:val="auto"/>
              </w:rPr>
              <w:t>35,646,457</w:t>
            </w:r>
          </w:p>
        </w:tc>
        <w:tc>
          <w:tcPr>
            <w:tcW w:w="220" w:type="dxa"/>
            <w:vAlign w:val="bottom"/>
          </w:tcPr>
          <w:p>
            <w:pPr>
              <w:spacing w:after="0"/>
              <w:rPr>
                <w:sz w:val="19"/>
                <w:szCs w:val="19"/>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Receivables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5,513,541</w:t>
            </w:r>
          </w:p>
        </w:tc>
        <w:tc>
          <w:tcPr>
            <w:tcW w:w="2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6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360"/>
              <w:spacing w:after="0"/>
              <w:rPr>
                <w:sz w:val="20"/>
                <w:szCs w:val="20"/>
                <w:color w:val="auto"/>
              </w:rPr>
            </w:pPr>
            <w:r>
              <w:rPr>
                <w:rFonts w:ascii="Arial" w:cs="Arial" w:eastAsia="Arial" w:hAnsi="Arial"/>
                <w:sz w:val="17"/>
                <w:szCs w:val="17"/>
                <w:b w:val="1"/>
                <w:bCs w:val="1"/>
                <w:color w:val="auto"/>
              </w:rPr>
              <w:t>Financial liabilities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Payables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(1,276,164)</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(41,872)</w:t>
            </w:r>
          </w:p>
        </w:tc>
        <w:tc>
          <w:tcPr>
            <w:tcW w:w="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(1,290)</w:t>
            </w:r>
          </w:p>
        </w:tc>
        <w:tc>
          <w:tcPr>
            <w:tcW w:w="0" w:type="dxa"/>
            <w:vAlign w:val="bottom"/>
          </w:tcPr>
          <w:p>
            <w:pPr>
              <w:spacing w:after="0"/>
              <w:rPr>
                <w:sz w:val="1"/>
                <w:szCs w:val="1"/>
                <w:color w:val="auto"/>
              </w:rPr>
            </w:pPr>
          </w:p>
        </w:tc>
      </w:tr>
      <w:tr>
        <w:trPr>
          <w:trHeight w:val="221"/>
        </w:trPr>
        <w:tc>
          <w:tcPr>
            <w:tcW w:w="586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Other financial liabilities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60" w:type="dxa"/>
            <w:vAlign w:val="bottom"/>
            <w:shd w:val="clear" w:color="auto" w:fill="CFF0FC"/>
          </w:tcPr>
          <w:p>
            <w:pPr>
              <w:ind w:left="360"/>
              <w:spacing w:after="0"/>
              <w:rPr>
                <w:sz w:val="20"/>
                <w:szCs w:val="20"/>
                <w:color w:val="auto"/>
              </w:rPr>
            </w:pPr>
            <w:r>
              <w:rPr>
                <w:rFonts w:ascii="Arial" w:cs="Arial" w:eastAsia="Arial" w:hAnsi="Arial"/>
                <w:sz w:val="17"/>
                <w:szCs w:val="17"/>
                <w:b w:val="1"/>
                <w:bCs w:val="1"/>
                <w:color w:val="auto"/>
              </w:rPr>
              <w:t>Net exposure</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39,883,834</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(41,872)</w:t>
            </w:r>
          </w:p>
        </w:tc>
        <w:tc>
          <w:tcPr>
            <w:tcW w:w="4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(1,290)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880"/>
              <w:spacing w:after="0"/>
              <w:rPr>
                <w:sz w:val="20"/>
                <w:szCs w:val="20"/>
                <w:color w:val="auto"/>
              </w:rPr>
            </w:pPr>
            <w:r>
              <w:rPr>
                <w:rFonts w:ascii="Arial" w:cs="Arial" w:eastAsia="Arial" w:hAnsi="Arial"/>
                <w:sz w:val="14"/>
                <w:szCs w:val="14"/>
                <w:b w:val="1"/>
                <w:bCs w:val="1"/>
                <w:color w:val="auto"/>
              </w:rPr>
              <w:t>Consolidated</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860" w:type="dxa"/>
            <w:vAlign w:val="bottom"/>
          </w:tcPr>
          <w:p>
            <w:pPr>
              <w:ind w:left="360"/>
              <w:spacing w:after="0"/>
              <w:rPr>
                <w:sz w:val="20"/>
                <w:szCs w:val="20"/>
                <w:color w:val="auto"/>
              </w:rPr>
            </w:pPr>
            <w:r>
              <w:rPr>
                <w:rFonts w:ascii="Arial" w:cs="Arial" w:eastAsia="Arial" w:hAnsi="Arial"/>
                <w:sz w:val="14"/>
                <w:szCs w:val="14"/>
                <w:b w:val="1"/>
                <w:bCs w:val="1"/>
                <w:color w:val="auto"/>
              </w:rPr>
              <w:t>2020</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USD</w:t>
            </w:r>
          </w:p>
        </w:tc>
        <w:tc>
          <w:tcPr>
            <w:tcW w:w="1820" w:type="dxa"/>
            <w:vAlign w:val="bottom"/>
            <w:gridSpan w:val="3"/>
          </w:tcPr>
          <w:p>
            <w:pPr>
              <w:ind w:left="740"/>
              <w:spacing w:after="0"/>
              <w:rPr>
                <w:sz w:val="20"/>
                <w:szCs w:val="20"/>
                <w:color w:val="auto"/>
              </w:rPr>
            </w:pPr>
            <w:r>
              <w:rPr>
                <w:rFonts w:ascii="Arial" w:cs="Arial" w:eastAsia="Arial" w:hAnsi="Arial"/>
                <w:sz w:val="14"/>
                <w:szCs w:val="14"/>
                <w:b w:val="1"/>
                <w:bCs w:val="1"/>
                <w:color w:val="auto"/>
              </w:rPr>
              <w:t>EURO</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GBP</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CAD</w:t>
            </w:r>
          </w:p>
        </w:tc>
        <w:tc>
          <w:tcPr>
            <w:tcW w:w="0" w:type="dxa"/>
            <w:vAlign w:val="bottom"/>
          </w:tcPr>
          <w:p>
            <w:pPr>
              <w:spacing w:after="0"/>
              <w:rPr>
                <w:sz w:val="1"/>
                <w:szCs w:val="1"/>
                <w:color w:val="auto"/>
              </w:rPr>
            </w:pPr>
          </w:p>
        </w:tc>
      </w:tr>
      <w:tr>
        <w:trPr>
          <w:trHeight w:val="214"/>
        </w:trPr>
        <w:tc>
          <w:tcPr>
            <w:tcW w:w="586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b w:val="1"/>
                <w:bCs w:val="1"/>
                <w:color w:val="auto"/>
              </w:rPr>
              <w:t>Financial assets</w:t>
            </w: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tcPr>
          <w:p>
            <w:pPr>
              <w:ind w:left="360"/>
              <w:spacing w:after="0"/>
              <w:rPr>
                <w:sz w:val="20"/>
                <w:szCs w:val="20"/>
                <w:color w:val="auto"/>
              </w:rPr>
            </w:pPr>
            <w:r>
              <w:rPr>
                <w:rFonts w:ascii="Arial" w:cs="Arial" w:eastAsia="Arial" w:hAnsi="Arial"/>
                <w:sz w:val="17"/>
                <w:szCs w:val="17"/>
                <w:color w:val="auto"/>
              </w:rPr>
              <w:t>Cash</w:t>
            </w:r>
          </w:p>
        </w:tc>
        <w:tc>
          <w:tcPr>
            <w:tcW w:w="1140" w:type="dxa"/>
            <w:vAlign w:val="bottom"/>
          </w:tcPr>
          <w:p>
            <w:pPr>
              <w:jc w:val="right"/>
              <w:spacing w:after="0"/>
              <w:rPr>
                <w:sz w:val="20"/>
                <w:szCs w:val="20"/>
                <w:color w:val="auto"/>
              </w:rPr>
            </w:pPr>
            <w:r>
              <w:rPr>
                <w:rFonts w:ascii="Arial" w:cs="Arial" w:eastAsia="Arial" w:hAnsi="Arial"/>
                <w:sz w:val="17"/>
                <w:szCs w:val="17"/>
                <w:color w:val="auto"/>
              </w:rPr>
              <w:t>42,417</w:t>
            </w:r>
          </w:p>
        </w:tc>
        <w:tc>
          <w:tcPr>
            <w:tcW w:w="220" w:type="dxa"/>
            <w:vAlign w:val="bottom"/>
          </w:tcPr>
          <w:p>
            <w:pPr>
              <w:spacing w:after="0"/>
              <w:rPr>
                <w:sz w:val="19"/>
                <w:szCs w:val="19"/>
                <w:color w:val="auto"/>
              </w:rPr>
            </w:pPr>
          </w:p>
        </w:tc>
        <w:tc>
          <w:tcPr>
            <w:tcW w:w="182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Receivables</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25,821</w:t>
            </w:r>
          </w:p>
        </w:tc>
        <w:tc>
          <w:tcPr>
            <w:tcW w:w="220" w:type="dxa"/>
            <w:vAlign w:val="bottom"/>
            <w:shd w:val="clear" w:color="auto" w:fill="CFF0FC"/>
          </w:tcPr>
          <w:p>
            <w:pPr>
              <w:spacing w:after="0"/>
              <w:rPr>
                <w:sz w:val="19"/>
                <w:szCs w:val="19"/>
                <w:color w:val="auto"/>
              </w:rPr>
            </w:pPr>
          </w:p>
        </w:tc>
        <w:tc>
          <w:tcPr>
            <w:tcW w:w="1820" w:type="dxa"/>
            <w:vAlign w:val="bottom"/>
            <w:gridSpan w:val="3"/>
            <w:shd w:val="clear" w:color="auto" w:fill="CFF0FC"/>
          </w:tcPr>
          <w:p>
            <w:pPr>
              <w:jc w:val="right"/>
              <w:ind w:right="6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360"/>
              <w:spacing w:after="0"/>
              <w:rPr>
                <w:sz w:val="20"/>
                <w:szCs w:val="20"/>
                <w:color w:val="auto"/>
              </w:rPr>
            </w:pPr>
            <w:r>
              <w:rPr>
                <w:rFonts w:ascii="Arial" w:cs="Arial" w:eastAsia="Arial" w:hAnsi="Arial"/>
                <w:sz w:val="17"/>
                <w:szCs w:val="17"/>
                <w:b w:val="1"/>
                <w:bCs w:val="1"/>
                <w:color w:val="auto"/>
              </w:rPr>
              <w:t>Financial liabilities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Payables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(3,355,050)</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(10,238)</w:t>
            </w: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(23,481)</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360"/>
              <w:spacing w:after="0"/>
              <w:rPr>
                <w:sz w:val="20"/>
                <w:szCs w:val="20"/>
                <w:color w:val="auto"/>
              </w:rPr>
            </w:pPr>
            <w:r>
              <w:rPr>
                <w:rFonts w:ascii="Arial" w:cs="Arial" w:eastAsia="Arial" w:hAnsi="Arial"/>
                <w:sz w:val="17"/>
                <w:szCs w:val="17"/>
                <w:color w:val="auto"/>
              </w:rPr>
              <w:t>Other financial liabilities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(163,547)</w:t>
            </w:r>
          </w:p>
        </w:tc>
        <w:tc>
          <w:tcPr>
            <w:tcW w:w="1820" w:type="dxa"/>
            <w:vAlign w:val="bottom"/>
            <w:gridSpan w:val="3"/>
          </w:tcPr>
          <w:p>
            <w:pPr>
              <w:jc w:val="right"/>
              <w:ind w:right="6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360"/>
              <w:spacing w:after="0"/>
              <w:rPr>
                <w:sz w:val="20"/>
                <w:szCs w:val="20"/>
                <w:color w:val="auto"/>
              </w:rPr>
            </w:pPr>
            <w:r>
              <w:rPr>
                <w:rFonts w:ascii="Arial" w:cs="Arial" w:eastAsia="Arial" w:hAnsi="Arial"/>
                <w:sz w:val="17"/>
                <w:szCs w:val="17"/>
                <w:b w:val="1"/>
                <w:bCs w:val="1"/>
                <w:color w:val="auto"/>
              </w:rPr>
              <w:t>Net exposure</w:t>
            </w: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6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(3,450,359)</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(10,238)</w:t>
            </w:r>
          </w:p>
        </w:tc>
        <w:tc>
          <w:tcPr>
            <w:tcW w:w="4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(23,481)</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sensitivity is based on the foreign currency risk exposures in existence at June 30, 2021 and 2020.</w:t>
      </w:r>
    </w:p>
    <w:p>
      <w:pPr>
        <w:spacing w:after="0" w:line="220"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At June 30, 2021 and 2020, had the United States dollar (2020: Australian dollar) moved with all other variables held constant, post tax (loss) profit and equity would have been affected as illustrated in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Post tax (loss)/profit impact</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6660" w:type="dxa"/>
            <w:vAlign w:val="bottom"/>
          </w:tcPr>
          <w:p>
            <w:pPr>
              <w:spacing w:after="0"/>
              <w:rPr>
                <w:sz w:val="12"/>
                <w:szCs w:val="12"/>
                <w:color w:val="auto"/>
              </w:rPr>
            </w:pPr>
          </w:p>
        </w:tc>
        <w:tc>
          <w:tcPr>
            <w:tcW w:w="1300" w:type="dxa"/>
            <w:vAlign w:val="bottom"/>
          </w:tcPr>
          <w:p>
            <w:pPr>
              <w:jc w:val="right"/>
              <w:ind w:right="442"/>
              <w:spacing w:after="0" w:line="13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500" w:type="dxa"/>
            <w:vAlign w:val="bottom"/>
            <w:gridSpan w:val="2"/>
          </w:tcPr>
          <w:p>
            <w:pPr>
              <w:jc w:val="center"/>
              <w:ind w:left="62"/>
              <w:spacing w:after="0" w:line="139"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65"/>
        </w:trPr>
        <w:tc>
          <w:tcPr>
            <w:tcW w:w="666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Judgments of reasonably possible movements</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14"/>
        </w:trPr>
        <w:tc>
          <w:tcPr>
            <w:tcW w:w="6660" w:type="dxa"/>
            <w:vAlign w:val="bottom"/>
            <w:vMerge w:val="continue"/>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Consolidated</w:t>
            </w: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AUD/USD +10% (2020:+10%)</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(2,538,062)</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219,569</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200,257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AUD/USD -10% (2020:-10%)</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3,102,076</w:t>
            </w:r>
          </w:p>
        </w:tc>
        <w:tc>
          <w:tcPr>
            <w:tcW w:w="10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(268,361)</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(244,759)</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706"/>
        <w:spacing w:after="0" w:line="270" w:lineRule="auto"/>
        <w:rPr>
          <w:sz w:val="20"/>
          <w:szCs w:val="20"/>
          <w:color w:val="auto"/>
        </w:rPr>
      </w:pPr>
      <w:r>
        <w:rPr>
          <w:rFonts w:ascii="Arial" w:cs="Arial" w:eastAsia="Arial" w:hAnsi="Arial"/>
          <w:sz w:val="17"/>
          <w:szCs w:val="17"/>
          <w:color w:val="auto"/>
        </w:rPr>
        <w:t>The reasonably possible movements at June 30, 2021 are higher than at June 30, 2020 and June 30, 2019 due mainly to the higher net exposure to the Australian dollar due to significant cash at bank deposits. There was minimum or insignificant exposure to the GBP, Euro and CAD during the current financial year.</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Significant assumptions used in the foreign currency exposure sensitivity analysis include:</w:t>
      </w:r>
    </w:p>
    <w:p>
      <w:pPr>
        <w:spacing w:after="0" w:line="25" w:lineRule="exact"/>
        <w:rPr>
          <w:sz w:val="20"/>
          <w:szCs w:val="20"/>
          <w:color w:val="auto"/>
        </w:rPr>
      </w:pPr>
    </w:p>
    <w:p>
      <w:pPr>
        <w:jc w:val="both"/>
        <w:ind w:left="1580" w:hanging="887"/>
        <w:spacing w:after="0" w:line="208" w:lineRule="exact"/>
        <w:tabs>
          <w:tab w:leader="none" w:pos="15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reasonably possible movement of 10% was calculated by taking the currency spot rates as of balance date, moving these by 10% and then re</w:t>
      </w:r>
      <w:r>
        <w:rPr>
          <w:rFonts w:ascii="MS PGothic" w:cs="MS PGothic" w:eastAsia="MS PGothic" w:hAnsi="MS PGothic"/>
          <w:sz w:val="17"/>
          <w:szCs w:val="17"/>
          <w:color w:val="auto"/>
        </w:rPr>
        <w:t>‑</w:t>
      </w:r>
      <w:r>
        <w:rPr>
          <w:rFonts w:ascii="Arial" w:cs="Arial" w:eastAsia="Arial" w:hAnsi="Arial"/>
          <w:sz w:val="17"/>
          <w:szCs w:val="17"/>
          <w:color w:val="auto"/>
        </w:rPr>
        <w:t>converting the currencies into US with the ‘new</w:t>
      </w:r>
      <w:r>
        <w:rPr>
          <w:rFonts w:ascii="MS PGothic" w:cs="MS PGothic" w:eastAsia="MS PGothic" w:hAnsi="MS PGothic"/>
          <w:sz w:val="17"/>
          <w:szCs w:val="17"/>
          <w:color w:val="auto"/>
        </w:rPr>
        <w:t>‑</w:t>
      </w:r>
      <w:r>
        <w:rPr>
          <w:rFonts w:ascii="Arial" w:cs="Arial" w:eastAsia="Arial" w:hAnsi="Arial"/>
          <w:sz w:val="17"/>
          <w:szCs w:val="17"/>
          <w:color w:val="auto"/>
        </w:rPr>
        <w:t>spot</w:t>
      </w:r>
      <w:r>
        <w:rPr>
          <w:rFonts w:ascii="MS PGothic" w:cs="MS PGothic" w:eastAsia="MS PGothic" w:hAnsi="MS PGothic"/>
          <w:sz w:val="17"/>
          <w:szCs w:val="17"/>
          <w:color w:val="auto"/>
        </w:rPr>
        <w:t>‑</w:t>
      </w:r>
      <w:r>
        <w:rPr>
          <w:rFonts w:ascii="Arial" w:cs="Arial" w:eastAsia="Arial" w:hAnsi="Arial"/>
          <w:sz w:val="17"/>
          <w:szCs w:val="17"/>
          <w:color w:val="auto"/>
        </w:rPr>
        <w:t>rate’. This methodology reflects the translation methodology undertaken by the Group.</w:t>
      </w:r>
    </w:p>
    <w:p>
      <w:pPr>
        <w:ind w:left="1580" w:hanging="887"/>
        <w:spacing w:after="0" w:line="255" w:lineRule="auto"/>
        <w:tabs>
          <w:tab w:leader="none" w:pos="15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net exposure at balance date is representative of what the Group was and is expecting to be exposed to in the next twelve months from balance date.</w:t>
      </w:r>
    </w:p>
    <w:p>
      <w:pPr>
        <w:ind w:left="1580" w:hanging="887"/>
        <w:spacing w:after="0"/>
        <w:tabs>
          <w:tab w:leader="none" w:pos="1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Management believes the balance date risk exposures are representative of the risk exposure inherent in the financial instruments.</w:t>
      </w:r>
    </w:p>
    <w:p>
      <w:pPr>
        <w:spacing w:after="0" w:line="323" w:lineRule="exact"/>
        <w:rPr>
          <w:sz w:val="20"/>
          <w:szCs w:val="20"/>
          <w:color w:val="auto"/>
        </w:rPr>
      </w:pPr>
    </w:p>
    <w:p>
      <w:pPr>
        <w:ind w:left="1580" w:hanging="874"/>
        <w:spacing w:after="0"/>
        <w:tabs>
          <w:tab w:leader="none" w:pos="15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Credit risk</w:t>
      </w:r>
    </w:p>
    <w:p>
      <w:pPr>
        <w:spacing w:after="0" w:line="220" w:lineRule="exact"/>
        <w:rPr>
          <w:sz w:val="20"/>
          <w:szCs w:val="20"/>
          <w:color w:val="auto"/>
        </w:rPr>
      </w:pPr>
    </w:p>
    <w:p>
      <w:pPr>
        <w:jc w:val="both"/>
        <w:ind w:firstLine="706"/>
        <w:spacing w:after="0" w:line="270" w:lineRule="auto"/>
        <w:rPr>
          <w:sz w:val="20"/>
          <w:szCs w:val="20"/>
          <w:color w:val="auto"/>
        </w:rPr>
      </w:pPr>
      <w:r>
        <w:rPr>
          <w:rFonts w:ascii="Arial" w:cs="Arial" w:eastAsia="Arial" w:hAnsi="Arial"/>
          <w:sz w:val="17"/>
          <w:szCs w:val="17"/>
          <w:color w:val="auto"/>
        </w:rPr>
        <w:t>Credit risk is associated with those financial assets of the Group which comprise cash and cash equivalents, receivables and listed investments. The Group’s exposure to credit risk arises from default of the counter party, with a maximum exposure equal to the carrying amount of these investments. Credit risk is considered minimal as the Group transacts with reputable recognized Australian banks.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1580" w:hanging="887"/>
        <w:spacing w:after="0"/>
        <w:tabs>
          <w:tab w:leader="none" w:pos="15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Liquidity risk</w:t>
      </w:r>
    </w:p>
    <w:p>
      <w:pPr>
        <w:spacing w:after="0" w:line="220" w:lineRule="exact"/>
        <w:rPr>
          <w:sz w:val="20"/>
          <w:szCs w:val="20"/>
          <w:color w:val="auto"/>
        </w:rPr>
      </w:pPr>
    </w:p>
    <w:p>
      <w:pPr>
        <w:jc w:val="both"/>
        <w:ind w:firstLine="706"/>
        <w:spacing w:after="0" w:line="287" w:lineRule="auto"/>
        <w:rPr>
          <w:sz w:val="20"/>
          <w:szCs w:val="20"/>
          <w:color w:val="auto"/>
        </w:rPr>
      </w:pPr>
      <w:r>
        <w:rPr>
          <w:rFonts w:ascii="Arial" w:cs="Arial" w:eastAsia="Arial" w:hAnsi="Arial"/>
          <w:sz w:val="16"/>
          <w:szCs w:val="16"/>
          <w:color w:val="auto"/>
        </w:rPr>
        <w:t>Liquidity risk arises from the financial liabilities of the Group and the Group’s subsequent ability to meet their obligations to repay their financial liabilities as and when they fall due. The Group has minimal liquidity risk because of the high balances of cash and cash equivalents; however, the Group manages liquidity risk by maintaining adequate reserves and by monitoring forecast and actual cash flows and by matching the maturity profiles of financial assets and liabilities. The financial liabilities of the Group relate to trade payables that are all expected to be paid within 12 months.</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Group’s objective is to maintain an appropriate cash asset balance to fund its operations.</w:t>
      </w:r>
    </w:p>
    <w:p>
      <w:pPr>
        <w:spacing w:after="0" w:line="220" w:lineRule="exact"/>
        <w:rPr>
          <w:sz w:val="20"/>
          <w:szCs w:val="20"/>
          <w:color w:val="auto"/>
        </w:rPr>
      </w:pPr>
    </w:p>
    <w:p>
      <w:pPr>
        <w:ind w:left="1580" w:hanging="874"/>
        <w:spacing w:after="0"/>
        <w:tabs>
          <w:tab w:leader="none" w:pos="15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Fair value</w:t>
      </w:r>
    </w:p>
    <w:p>
      <w:pPr>
        <w:spacing w:after="0" w:line="220" w:lineRule="exact"/>
        <w:rPr>
          <w:sz w:val="20"/>
          <w:szCs w:val="20"/>
          <w:color w:val="auto"/>
        </w:rPr>
      </w:pPr>
    </w:p>
    <w:p>
      <w:pPr>
        <w:jc w:val="both"/>
        <w:ind w:firstLine="706"/>
        <w:spacing w:after="0" w:line="287" w:lineRule="auto"/>
        <w:rPr>
          <w:sz w:val="20"/>
          <w:szCs w:val="20"/>
          <w:color w:val="auto"/>
        </w:rPr>
      </w:pPr>
      <w:r>
        <w:rPr>
          <w:rFonts w:ascii="Arial" w:cs="Arial" w:eastAsia="Arial" w:hAnsi="Arial"/>
          <w:sz w:val="16"/>
          <w:szCs w:val="16"/>
          <w:color w:val="auto"/>
        </w:rPr>
        <w:t>The Group has investments in listed equities which are calculated using the quoted prices in an active market and are considered level 1 fair value measurements. The Group does not have any derivative investments where the fair value is estimated using inputs other than quoted prices that are observable for the asset or liability, either directly (as prices) or indirectly (i.e. derived from prices). The Group also does not hold any financial instruments where fair value measurement uses observable inputs that require significant adjustments based on observable inputs to estimate its value.</w:t>
      </w:r>
    </w:p>
    <w:p>
      <w:pPr>
        <w:spacing w:after="0" w:line="159" w:lineRule="exact"/>
        <w:rPr>
          <w:sz w:val="20"/>
          <w:szCs w:val="20"/>
          <w:color w:val="auto"/>
        </w:rPr>
      </w:pPr>
    </w:p>
    <w:p>
      <w:pPr>
        <w:jc w:val="both"/>
        <w:ind w:firstLine="706"/>
        <w:spacing w:after="0" w:line="280" w:lineRule="auto"/>
        <w:rPr>
          <w:sz w:val="20"/>
          <w:szCs w:val="20"/>
          <w:color w:val="auto"/>
        </w:rPr>
      </w:pPr>
      <w:r>
        <w:rPr>
          <w:rFonts w:ascii="Arial" w:cs="Arial" w:eastAsia="Arial" w:hAnsi="Arial"/>
          <w:sz w:val="16"/>
          <w:szCs w:val="16"/>
          <w:color w:val="auto"/>
        </w:rPr>
        <w:t>Shortly after the Company’s US IPO where the Company raised USD 128 million, the Company entered into an Australian dollar denominated term deposit worth USD 100 million (AUD 141.9 million), maturing on 3 February 2021. The Company simultaneously entered into a foreign currency exchange contract under which the term deposit would be converted back to US dollars at effectively the same foreign exchange rate as when the term deposit was entered into. The financial liability represents the marked to market value of this foreign currency exchange contract held at 31 December 2020. Subsequent to 31 December 2020, upon maturity and settlement of the term deposit and foreign exchange contract on 3 February 2021, the Australian dollar denominated term deposit was converted back to US dollars for a value of USD 100 million plus interest earned of AUD 116 thousand.</w:t>
      </w:r>
    </w:p>
    <w:p>
      <w:pPr>
        <w:spacing w:after="0" w:line="167"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Details of the fair value of the investment in financial assets are disclosed in note 17 of the financial statements. The fair value of financial assets and financial liabilities in the consolidated statement of financial position at June 30, 2021 and 2020 is the same as their carrying amounts.</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methods for estimating fair value are also outlined in the relevant notes to the financial statements.</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26. Related Party Disclosures</w:t>
      </w:r>
    </w:p>
    <w:p>
      <w:pPr>
        <w:spacing w:after="0" w:line="220" w:lineRule="exact"/>
        <w:rPr>
          <w:sz w:val="20"/>
          <w:szCs w:val="20"/>
          <w:color w:val="auto"/>
        </w:rPr>
      </w:pPr>
    </w:p>
    <w:p>
      <w:pPr>
        <w:ind w:left="1140" w:hanging="434"/>
        <w:spacing w:after="0"/>
        <w:tabs>
          <w:tab w:leader="none" w:pos="114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Subsidiarie</w:t>
      </w:r>
      <w:r>
        <w:rPr>
          <w:rFonts w:ascii="Arial" w:cs="Arial" w:eastAsia="Arial" w:hAnsi="Arial"/>
          <w:sz w:val="17"/>
          <w:szCs w:val="17"/>
          <w:color w:val="auto"/>
        </w:rPr>
        <w:t>s</w:t>
      </w:r>
    </w:p>
    <w:p>
      <w:pPr>
        <w:spacing w:after="0" w:line="22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consolidated financial statements include the financial statements of Opthea Limited and its subsidiaries in the following table: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gridSpan w:val="4"/>
          </w:tcPr>
          <w:p>
            <w:pPr>
              <w:ind w:left="340"/>
              <w:spacing w:after="0"/>
              <w:rPr>
                <w:sz w:val="20"/>
                <w:szCs w:val="20"/>
                <w:color w:val="auto"/>
              </w:rPr>
            </w:pPr>
            <w:r>
              <w:rPr>
                <w:rFonts w:ascii="Arial" w:cs="Arial" w:eastAsia="Arial" w:hAnsi="Arial"/>
                <w:sz w:val="14"/>
                <w:szCs w:val="14"/>
                <w:b w:val="1"/>
                <w:bCs w:val="1"/>
                <w:color w:val="auto"/>
                <w:w w:val="95"/>
              </w:rPr>
              <w:t>Parent entity % equity interest</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00" w:type="dxa"/>
            <w:vAlign w:val="bottom"/>
            <w:gridSpan w:val="2"/>
          </w:tcPr>
          <w:p>
            <w:pPr>
              <w:jc w:val="right"/>
              <w:ind w:right="120"/>
              <w:spacing w:after="0" w:line="156"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462"/>
              <w:spacing w:after="0" w:line="156"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140" w:type="dxa"/>
            <w:vAlign w:val="bottom"/>
          </w:tcPr>
          <w:p>
            <w:pPr>
              <w:jc w:val="right"/>
              <w:ind w:right="362"/>
              <w:spacing w:after="0" w:line="156"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65"/>
        </w:trPr>
        <w:tc>
          <w:tcPr>
            <w:tcW w:w="7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54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14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14"/>
        </w:trPr>
        <w:tc>
          <w:tcPr>
            <w:tcW w:w="67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Vegenics Pty Ltd</w:t>
            </w:r>
            <w:r>
              <w:rPr>
                <w:rFonts w:ascii="Arial" w:cs="Arial" w:eastAsia="Arial" w:hAnsi="Arial"/>
                <w:sz w:val="14"/>
                <w:szCs w:val="14"/>
                <w:color w:val="auto"/>
              </w:rPr>
              <w:t>1</w:t>
            </w: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7700" w:type="dxa"/>
            <w:vAlign w:val="bottom"/>
            <w:gridSpan w:val="2"/>
          </w:tcPr>
          <w:p>
            <w:pPr>
              <w:ind w:left="360"/>
              <w:spacing w:after="0"/>
              <w:rPr>
                <w:sz w:val="20"/>
                <w:szCs w:val="20"/>
                <w:color w:val="auto"/>
              </w:rPr>
            </w:pPr>
            <w:r>
              <w:rPr>
                <w:rFonts w:ascii="Arial" w:cs="Arial" w:eastAsia="Arial" w:hAnsi="Arial"/>
                <w:sz w:val="17"/>
                <w:szCs w:val="17"/>
                <w:color w:val="auto"/>
              </w:rPr>
              <w:t>Opthea US Inc</w:t>
            </w:r>
            <w:r>
              <w:rPr>
                <w:rFonts w:ascii="Arial" w:cs="Arial" w:eastAsia="Arial" w:hAnsi="Arial"/>
                <w:sz w:val="14"/>
                <w:szCs w:val="14"/>
                <w:color w:val="auto"/>
              </w:rPr>
              <w:t>2</w:t>
            </w:r>
          </w:p>
        </w:tc>
        <w:tc>
          <w:tcPr>
            <w:tcW w:w="42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bl>
    <w:p>
      <w:pPr>
        <w:spacing w:after="0" w:line="234" w:lineRule="exact"/>
        <w:rPr>
          <w:sz w:val="20"/>
          <w:szCs w:val="20"/>
          <w:color w:val="auto"/>
        </w:rPr>
      </w:pPr>
    </w:p>
    <w:p>
      <w:pPr>
        <w:ind w:left="960" w:hanging="250"/>
        <w:spacing w:after="0"/>
        <w:tabs>
          <w:tab w:leader="none" w:pos="9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Opthea Limited is the ultimate parent entity. Vegenics Pty Ltd is incorporated in Australia and has the same financial year as Opthea Limited.</w:t>
      </w:r>
    </w:p>
    <w:p>
      <w:pPr>
        <w:spacing w:after="0" w:line="231" w:lineRule="exact"/>
        <w:rPr>
          <w:rFonts w:ascii="Arial" w:cs="Arial" w:eastAsia="Arial" w:hAnsi="Arial"/>
          <w:sz w:val="16"/>
          <w:szCs w:val="16"/>
          <w:color w:val="auto"/>
        </w:rPr>
      </w:pPr>
    </w:p>
    <w:p>
      <w:pPr>
        <w:ind w:firstLine="710"/>
        <w:spacing w:after="0" w:line="285" w:lineRule="auto"/>
        <w:tabs>
          <w:tab w:leader="none" w:pos="95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Opthea Limited is the ultimate parent entity. Opthea US Inc was incorporated in the United States in May 2021 and has the same financial year as Opthea Limited.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ind w:left="1140" w:hanging="434"/>
        <w:spacing w:after="0"/>
        <w:tabs>
          <w:tab w:leader="none" w:pos="114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Transactions with related parties</w:t>
      </w:r>
    </w:p>
    <w:p>
      <w:pPr>
        <w:spacing w:after="0" w:line="226" w:lineRule="exact"/>
        <w:rPr>
          <w:sz w:val="20"/>
          <w:szCs w:val="20"/>
          <w:color w:val="auto"/>
        </w:rPr>
      </w:pPr>
    </w:p>
    <w:p>
      <w:pPr>
        <w:ind w:firstLine="706"/>
        <w:spacing w:after="0" w:line="285" w:lineRule="auto"/>
        <w:rPr>
          <w:sz w:val="20"/>
          <w:szCs w:val="20"/>
          <w:color w:val="auto"/>
        </w:rPr>
      </w:pPr>
      <w:r>
        <w:rPr>
          <w:rFonts w:ascii="Arial" w:cs="Arial" w:eastAsia="Arial" w:hAnsi="Arial"/>
          <w:sz w:val="17"/>
          <w:szCs w:val="17"/>
          <w:color w:val="auto"/>
        </w:rPr>
        <w:t>Balances and transactions between the Company and its subsidiaries, a related party of the Company, have been eliminated on consolidation and are not disclosed in this note.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27. Commitments</w:t>
      </w:r>
    </w:p>
    <w:p>
      <w:pPr>
        <w:spacing w:after="0" w:line="116" w:lineRule="exact"/>
        <w:rPr>
          <w:sz w:val="20"/>
          <w:szCs w:val="20"/>
          <w:color w:val="auto"/>
        </w:rPr>
      </w:pPr>
    </w:p>
    <w:p>
      <w:pPr>
        <w:ind w:left="1140" w:hanging="434"/>
        <w:spacing w:after="0"/>
        <w:tabs>
          <w:tab w:leader="none" w:pos="11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Lease commitments – Group as lessee</w:t>
      </w:r>
    </w:p>
    <w:p>
      <w:pPr>
        <w:spacing w:after="0" w:line="122" w:lineRule="exact"/>
        <w:rPr>
          <w:sz w:val="20"/>
          <w:szCs w:val="20"/>
          <w:color w:val="auto"/>
        </w:rPr>
      </w:pPr>
    </w:p>
    <w:p>
      <w:pPr>
        <w:ind w:firstLine="706"/>
        <w:spacing w:after="0" w:line="214" w:lineRule="exact"/>
        <w:rPr>
          <w:sz w:val="20"/>
          <w:szCs w:val="20"/>
          <w:color w:val="auto"/>
        </w:rPr>
      </w:pPr>
      <w:r>
        <w:rPr>
          <w:rFonts w:ascii="Arial" w:cs="Arial" w:eastAsia="Arial" w:hAnsi="Arial"/>
          <w:sz w:val="17"/>
          <w:szCs w:val="17"/>
          <w:color w:val="auto"/>
        </w:rPr>
        <w:t>Lease commitments are in respect of low value leases which have not been recognized in the Statement of Financial Position. These leases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term of the lease.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tcPr>
          <w:p>
            <w:pPr>
              <w:spacing w:after="0"/>
              <w:rPr>
                <w:sz w:val="13"/>
                <w:szCs w:val="13"/>
                <w:color w:val="auto"/>
              </w:rPr>
            </w:pPr>
          </w:p>
        </w:tc>
        <w:tc>
          <w:tcPr>
            <w:tcW w:w="1260" w:type="dxa"/>
            <w:vAlign w:val="bottom"/>
            <w:tcBorders>
              <w:top w:val="single" w:sz="8" w:color="auto"/>
            </w:tcBorders>
          </w:tcPr>
          <w:p>
            <w:pPr>
              <w:jc w:val="right"/>
              <w:ind w:right="420"/>
              <w:spacing w:after="0" w:line="15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6"/>
        </w:trPr>
        <w:tc>
          <w:tcPr>
            <w:tcW w:w="6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4"/>
              </w:rPr>
              <w:t>Restated</w:t>
            </w:r>
          </w:p>
        </w:tc>
        <w:tc>
          <w:tcPr>
            <w:tcW w:w="13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68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US$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68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Within one year</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5,304</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4,497</w:t>
            </w: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6880" w:type="dxa"/>
            <w:vAlign w:val="bottom"/>
          </w:tcPr>
          <w:p>
            <w:pPr>
              <w:ind w:left="360"/>
              <w:spacing w:after="0"/>
              <w:rPr>
                <w:sz w:val="20"/>
                <w:szCs w:val="20"/>
                <w:color w:val="auto"/>
              </w:rPr>
            </w:pPr>
            <w:r>
              <w:rPr>
                <w:rFonts w:ascii="Arial" w:cs="Arial" w:eastAsia="Arial" w:hAnsi="Arial"/>
                <w:sz w:val="17"/>
                <w:szCs w:val="17"/>
                <w:color w:val="auto"/>
              </w:rPr>
              <w:t>After one year but not more than five years</w:t>
            </w:r>
          </w:p>
        </w:tc>
        <w:tc>
          <w:tcPr>
            <w:tcW w:w="1260" w:type="dxa"/>
            <w:vAlign w:val="bottom"/>
          </w:tcPr>
          <w:p>
            <w:pPr>
              <w:jc w:val="right"/>
              <w:spacing w:after="0"/>
              <w:rPr>
                <w:sz w:val="20"/>
                <w:szCs w:val="20"/>
                <w:color w:val="auto"/>
              </w:rPr>
            </w:pPr>
            <w:r>
              <w:rPr>
                <w:rFonts w:ascii="Arial" w:cs="Arial" w:eastAsia="Arial" w:hAnsi="Arial"/>
                <w:sz w:val="17"/>
                <w:szCs w:val="17"/>
                <w:color w:val="auto"/>
              </w:rPr>
              <w:t>8,398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11,619</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4"/>
        </w:trPr>
        <w:tc>
          <w:tcPr>
            <w:tcW w:w="68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13,702</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16,116</w:t>
            </w: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4,936</w:t>
            </w:r>
          </w:p>
        </w:tc>
        <w:tc>
          <w:tcPr>
            <w:tcW w:w="120" w:type="dxa"/>
            <w:vAlign w:val="bottom"/>
            <w:tcBorders>
              <w:top w:val="single" w:sz="8" w:color="CFF0FC"/>
            </w:tcBorders>
            <w:shd w:val="clear" w:color="auto" w:fill="CFF0FC"/>
          </w:tcPr>
          <w:p>
            <w:pPr>
              <w:spacing w:after="0"/>
              <w:rPr>
                <w:sz w:val="18"/>
                <w:szCs w:val="18"/>
                <w:color w:val="auto"/>
              </w:rPr>
            </w:pPr>
          </w:p>
        </w:tc>
      </w:tr>
    </w:tbl>
    <w:p>
      <w:pPr>
        <w:spacing w:after="0" w:line="332" w:lineRule="exact"/>
        <w:rPr>
          <w:sz w:val="20"/>
          <w:szCs w:val="20"/>
          <w:color w:val="auto"/>
        </w:rPr>
      </w:pPr>
    </w:p>
    <w:p>
      <w:pPr>
        <w:ind w:left="1140" w:hanging="434"/>
        <w:spacing w:after="0"/>
        <w:tabs>
          <w:tab w:leader="none" w:pos="114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Research projects and license commitments</w:t>
      </w:r>
    </w:p>
    <w:p>
      <w:pPr>
        <w:spacing w:after="0" w:line="122" w:lineRule="exact"/>
        <w:rPr>
          <w:sz w:val="20"/>
          <w:szCs w:val="20"/>
          <w:color w:val="auto"/>
        </w:rPr>
      </w:pPr>
    </w:p>
    <w:p>
      <w:pPr>
        <w:jc w:val="both"/>
        <w:ind w:firstLine="706"/>
        <w:spacing w:after="0" w:line="212" w:lineRule="exact"/>
        <w:rPr>
          <w:sz w:val="20"/>
          <w:szCs w:val="20"/>
          <w:color w:val="auto"/>
        </w:rPr>
      </w:pPr>
      <w:r>
        <w:rPr>
          <w:rFonts w:ascii="Arial" w:cs="Arial" w:eastAsia="Arial" w:hAnsi="Arial"/>
          <w:sz w:val="17"/>
          <w:szCs w:val="17"/>
          <w:color w:val="auto"/>
        </w:rPr>
        <w:t>The Group has entered into research and development contracts and intellectual property license agreements with various third parties in respect of services for the Phase 3 DME clinical trial and the clinical grade manufacture of OPT</w:t>
      </w:r>
      <w:r>
        <w:rPr>
          <w:rFonts w:ascii="MS PGothic" w:cs="MS PGothic" w:eastAsia="MS PGothic" w:hAnsi="MS PGothic"/>
          <w:sz w:val="17"/>
          <w:szCs w:val="17"/>
          <w:color w:val="auto"/>
        </w:rPr>
        <w:t>‑</w:t>
      </w:r>
      <w:r>
        <w:rPr>
          <w:rFonts w:ascii="Arial" w:cs="Arial" w:eastAsia="Arial" w:hAnsi="Arial"/>
          <w:sz w:val="17"/>
          <w:szCs w:val="17"/>
          <w:color w:val="auto"/>
        </w:rPr>
        <w:t>302. Expenditure commitments relating to these and intellectual property license agreements are payable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tcPr>
          <w:p>
            <w:pPr>
              <w:spacing w:after="0"/>
              <w:rPr>
                <w:sz w:val="13"/>
                <w:szCs w:val="13"/>
                <w:color w:val="auto"/>
              </w:rPr>
            </w:pPr>
          </w:p>
        </w:tc>
        <w:tc>
          <w:tcPr>
            <w:tcW w:w="1260" w:type="dxa"/>
            <w:vAlign w:val="bottom"/>
            <w:tcBorders>
              <w:top w:val="single" w:sz="8" w:color="auto"/>
            </w:tcBorders>
          </w:tcPr>
          <w:p>
            <w:pPr>
              <w:jc w:val="right"/>
              <w:ind w:right="419"/>
              <w:spacing w:after="0" w:line="159"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6"/>
        </w:trPr>
        <w:tc>
          <w:tcPr>
            <w:tcW w:w="6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4"/>
              </w:rPr>
              <w:t>Restated</w:t>
            </w:r>
          </w:p>
        </w:tc>
        <w:tc>
          <w:tcPr>
            <w:tcW w:w="138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auto"/>
                <w:w w:val="87"/>
              </w:rPr>
              <w:t>Restated</w:t>
            </w:r>
          </w:p>
        </w:tc>
      </w:tr>
      <w:tr>
        <w:trPr>
          <w:trHeight w:val="165"/>
        </w:trPr>
        <w:tc>
          <w:tcPr>
            <w:tcW w:w="68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US$</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US$</w:t>
            </w:r>
          </w:p>
        </w:tc>
      </w:tr>
      <w:tr>
        <w:trPr>
          <w:trHeight w:val="214"/>
        </w:trPr>
        <w:tc>
          <w:tcPr>
            <w:tcW w:w="68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Within one year</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26,377,778</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7,660,325</w:t>
            </w: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5,460,972</w:t>
            </w:r>
          </w:p>
        </w:tc>
        <w:tc>
          <w:tcPr>
            <w:tcW w:w="120" w:type="dxa"/>
            <w:vAlign w:val="bottom"/>
            <w:tcBorders>
              <w:top w:val="single" w:sz="8" w:color="CFF0FC"/>
            </w:tcBorders>
            <w:shd w:val="clear" w:color="auto" w:fill="CFF0FC"/>
          </w:tcPr>
          <w:p>
            <w:pPr>
              <w:spacing w:after="0"/>
              <w:rPr>
                <w:sz w:val="18"/>
                <w:szCs w:val="18"/>
                <w:color w:val="auto"/>
              </w:rPr>
            </w:pPr>
          </w:p>
        </w:tc>
      </w:tr>
      <w:tr>
        <w:trPr>
          <w:trHeight w:val="221"/>
        </w:trPr>
        <w:tc>
          <w:tcPr>
            <w:tcW w:w="6880" w:type="dxa"/>
            <w:vAlign w:val="bottom"/>
          </w:tcPr>
          <w:p>
            <w:pPr>
              <w:ind w:left="360"/>
              <w:spacing w:after="0"/>
              <w:rPr>
                <w:sz w:val="20"/>
                <w:szCs w:val="20"/>
                <w:color w:val="auto"/>
              </w:rPr>
            </w:pPr>
            <w:r>
              <w:rPr>
                <w:rFonts w:ascii="Arial" w:cs="Arial" w:eastAsia="Arial" w:hAnsi="Arial"/>
                <w:sz w:val="17"/>
                <w:szCs w:val="17"/>
                <w:color w:val="auto"/>
              </w:rPr>
              <w:t>After one year but not more than five years</w:t>
            </w:r>
          </w:p>
        </w:tc>
        <w:tc>
          <w:tcPr>
            <w:tcW w:w="1260" w:type="dxa"/>
            <w:vAlign w:val="bottom"/>
          </w:tcPr>
          <w:p>
            <w:pPr>
              <w:jc w:val="right"/>
              <w:spacing w:after="0"/>
              <w:rPr>
                <w:sz w:val="20"/>
                <w:szCs w:val="20"/>
                <w:color w:val="auto"/>
              </w:rPr>
            </w:pPr>
            <w:r>
              <w:rPr>
                <w:rFonts w:ascii="Arial" w:cs="Arial" w:eastAsia="Arial" w:hAnsi="Arial"/>
                <w:sz w:val="17"/>
                <w:szCs w:val="17"/>
                <w:color w:val="auto"/>
              </w:rPr>
              <w:t>2,347,060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293,815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60,000</w:t>
            </w:r>
          </w:p>
        </w:tc>
        <w:tc>
          <w:tcPr>
            <w:tcW w:w="120" w:type="dxa"/>
            <w:vAlign w:val="bottom"/>
          </w:tcPr>
          <w:p>
            <w:pPr>
              <w:spacing w:after="0"/>
              <w:rPr>
                <w:sz w:val="19"/>
                <w:szCs w:val="19"/>
                <w:color w:val="auto"/>
              </w:rPr>
            </w:pPr>
          </w:p>
        </w:tc>
      </w:tr>
      <w:tr>
        <w:trPr>
          <w:trHeight w:val="221"/>
        </w:trPr>
        <w:tc>
          <w:tcPr>
            <w:tcW w:w="68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After more than five years</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75,000</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90,000</w:t>
            </w:r>
          </w:p>
        </w:tc>
        <w:tc>
          <w:tcPr>
            <w:tcW w:w="120" w:type="dxa"/>
            <w:vAlign w:val="bottom"/>
            <w:shd w:val="clear" w:color="auto" w:fill="CFF0FC"/>
          </w:tcPr>
          <w:p>
            <w:pPr>
              <w:spacing w:after="0"/>
              <w:rPr>
                <w:sz w:val="19"/>
                <w:szCs w:val="19"/>
                <w:color w:val="auto"/>
              </w:rPr>
            </w:pPr>
          </w:p>
        </w:tc>
      </w:tr>
      <w:tr>
        <w:trPr>
          <w:trHeight w:val="214"/>
        </w:trPr>
        <w:tc>
          <w:tcPr>
            <w:tcW w:w="68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28,724,838</w:t>
            </w: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8,029,140</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5,610,972</w:t>
            </w:r>
          </w:p>
        </w:tc>
        <w:tc>
          <w:tcPr>
            <w:tcW w:w="120" w:type="dxa"/>
            <w:vAlign w:val="bottom"/>
          </w:tcPr>
          <w:p>
            <w:pPr>
              <w:spacing w:after="0"/>
              <w:rPr>
                <w:sz w:val="18"/>
                <w:szCs w:val="18"/>
                <w:color w:val="auto"/>
              </w:rPr>
            </w:pPr>
          </w:p>
        </w:tc>
      </w:tr>
    </w:tbl>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Currently, the biggest Research contract has a 60 day termination clause and all commitments have been limited to a six month commitment.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28. Contingencies</w:t>
      </w:r>
    </w:p>
    <w:p>
      <w:pPr>
        <w:spacing w:after="0" w:line="122" w:lineRule="exact"/>
        <w:rPr>
          <w:sz w:val="20"/>
          <w:szCs w:val="20"/>
          <w:color w:val="auto"/>
        </w:rPr>
      </w:pPr>
    </w:p>
    <w:p>
      <w:pPr>
        <w:jc w:val="both"/>
        <w:ind w:firstLine="706"/>
        <w:spacing w:after="0" w:line="212" w:lineRule="exact"/>
        <w:rPr>
          <w:sz w:val="20"/>
          <w:szCs w:val="20"/>
          <w:color w:val="auto"/>
        </w:rPr>
      </w:pPr>
      <w:r>
        <w:rPr>
          <w:rFonts w:ascii="Arial" w:cs="Arial" w:eastAsia="Arial" w:hAnsi="Arial"/>
          <w:sz w:val="16"/>
          <w:szCs w:val="16"/>
          <w:color w:val="auto"/>
        </w:rPr>
        <w:t>The Group is party to various research agreements with respect to which a commitment to pay is contingent on the achievement of research milestones. Assuming all milestones are achieved within the time</w:t>
      </w:r>
      <w:r>
        <w:rPr>
          <w:rFonts w:ascii="MS PGothic" w:cs="MS PGothic" w:eastAsia="MS PGothic" w:hAnsi="MS PGothic"/>
          <w:sz w:val="16"/>
          <w:szCs w:val="16"/>
          <w:color w:val="auto"/>
        </w:rPr>
        <w:t>‑</w:t>
      </w:r>
      <w:r>
        <w:rPr>
          <w:rFonts w:ascii="Arial" w:cs="Arial" w:eastAsia="Arial" w:hAnsi="Arial"/>
          <w:sz w:val="16"/>
          <w:szCs w:val="16"/>
          <w:color w:val="auto"/>
        </w:rPr>
        <w:t>frames stipulated in the contracts, those which could become payable in less than one year total US$nil (2020: US$263,241) and those which could become payable in more than one year total US$11,548,205 (2020: US$11,518,745).</w:t>
      </w:r>
    </w:p>
    <w:p>
      <w:pPr>
        <w:spacing w:after="0" w:line="93" w:lineRule="exact"/>
        <w:rPr>
          <w:sz w:val="20"/>
          <w:szCs w:val="20"/>
          <w:color w:val="auto"/>
        </w:rPr>
      </w:pPr>
    </w:p>
    <w:p>
      <w:pPr>
        <w:jc w:val="both"/>
        <w:ind w:firstLine="706"/>
        <w:spacing w:after="0" w:line="285" w:lineRule="auto"/>
        <w:rPr>
          <w:sz w:val="20"/>
          <w:szCs w:val="20"/>
          <w:color w:val="auto"/>
        </w:rPr>
      </w:pPr>
      <w:r>
        <w:rPr>
          <w:rFonts w:ascii="Arial" w:cs="Arial" w:eastAsia="Arial" w:hAnsi="Arial"/>
          <w:sz w:val="17"/>
          <w:szCs w:val="17"/>
          <w:color w:val="auto"/>
        </w:rPr>
        <w:t>Under these license/collaboration agreements, payments are to be made only if certain research and clinical development milestones are achieved and royalties may become payable on any eventual sales of products developed under these agreements.</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group had a bank guarantee outstanding at June 30, 2021 in respect of a rental deposit for its office premises of US$43,000 (2020: US$39,391).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29 Cash Flow Statement Reconciliation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38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4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jc w:val="right"/>
              <w:ind w:right="640"/>
              <w:spacing w:after="0" w:line="156" w:lineRule="exact"/>
              <w:rPr>
                <w:sz w:val="20"/>
                <w:szCs w:val="20"/>
                <w:color w:val="auto"/>
              </w:rPr>
            </w:pPr>
            <w:r>
              <w:rPr>
                <w:rFonts w:ascii="Arial" w:cs="Arial" w:eastAsia="Arial" w:hAnsi="Arial"/>
                <w:sz w:val="14"/>
                <w:szCs w:val="14"/>
                <w:b w:val="1"/>
                <w:bCs w:val="1"/>
                <w:color w:val="auto"/>
              </w:rPr>
              <w:t>Restated</w:t>
            </w:r>
          </w:p>
        </w:tc>
        <w:tc>
          <w:tcPr>
            <w:tcW w:w="134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65"/>
        </w:trPr>
        <w:tc>
          <w:tcPr>
            <w:tcW w:w="6580" w:type="dxa"/>
            <w:vAlign w:val="bottom"/>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US$</w:t>
            </w: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US$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14"/>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 Reconciliation to cash at the end of the year</w:t>
            </w: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8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Cash at bank and in hand (note 14)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118,193,177</w:t>
            </w:r>
          </w:p>
        </w:tc>
        <w:tc>
          <w:tcPr>
            <w:tcW w:w="26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42,650,858</w:t>
            </w: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15,121,820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118,193,177</w:t>
            </w:r>
          </w:p>
        </w:tc>
        <w:tc>
          <w:tcPr>
            <w:tcW w:w="2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42,650,858</w:t>
            </w:r>
          </w:p>
        </w:tc>
        <w:tc>
          <w:tcPr>
            <w:tcW w:w="2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15,121,820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7"/>
                <w:szCs w:val="17"/>
                <w:b w:val="1"/>
                <w:bCs w:val="1"/>
                <w:color w:val="auto"/>
              </w:rPr>
              <w:t>(b) Reconciliation of net loss after tax to net cash flows from operations</w:t>
            </w: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Net loss for the year</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(45,344,496)</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(11,123,199)</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(14,951,948)</w:t>
            </w:r>
          </w:p>
        </w:tc>
        <w:tc>
          <w:tcPr>
            <w:tcW w:w="0" w:type="dxa"/>
            <w:vAlign w:val="bottom"/>
          </w:tcPr>
          <w:p>
            <w:pPr>
              <w:spacing w:after="0"/>
              <w:rPr>
                <w:sz w:val="1"/>
                <w:szCs w:val="1"/>
                <w:color w:val="auto"/>
              </w:rPr>
            </w:pPr>
          </w:p>
        </w:tc>
      </w:tr>
      <w:tr>
        <w:trPr>
          <w:trHeight w:val="221"/>
        </w:trPr>
        <w:tc>
          <w:tcPr>
            <w:tcW w:w="6580" w:type="dxa"/>
            <w:vAlign w:val="bottom"/>
          </w:tcPr>
          <w:p>
            <w:pPr>
              <w:ind w:left="360"/>
              <w:spacing w:after="0"/>
              <w:rPr>
                <w:sz w:val="20"/>
                <w:szCs w:val="20"/>
                <w:color w:val="auto"/>
              </w:rPr>
            </w:pPr>
            <w:r>
              <w:rPr>
                <w:rFonts w:ascii="Arial" w:cs="Arial" w:eastAsia="Arial" w:hAnsi="Arial"/>
                <w:sz w:val="17"/>
                <w:szCs w:val="17"/>
                <w:color w:val="auto"/>
              </w:rPr>
              <w:t>Adjustments for:</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Income tax benefit recognized in profit or loss</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(4,938,846)</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(5,708,767)</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(10,474,432)</w:t>
            </w:r>
          </w:p>
        </w:tc>
        <w:tc>
          <w:tcPr>
            <w:tcW w:w="0" w:type="dxa"/>
            <w:vAlign w:val="bottom"/>
          </w:tcPr>
          <w:p>
            <w:pPr>
              <w:spacing w:after="0"/>
              <w:rPr>
                <w:sz w:val="1"/>
                <w:szCs w:val="1"/>
                <w:color w:val="auto"/>
              </w:rPr>
            </w:pPr>
          </w:p>
        </w:tc>
      </w:tr>
      <w:tr>
        <w:trPr>
          <w:trHeight w:val="221"/>
        </w:trPr>
        <w:tc>
          <w:tcPr>
            <w:tcW w:w="6580" w:type="dxa"/>
            <w:vAlign w:val="bottom"/>
          </w:tcPr>
          <w:p>
            <w:pPr>
              <w:ind w:left="360"/>
              <w:spacing w:after="0"/>
              <w:rPr>
                <w:sz w:val="20"/>
                <w:szCs w:val="20"/>
                <w:color w:val="auto"/>
              </w:rPr>
            </w:pPr>
            <w:r>
              <w:rPr>
                <w:rFonts w:ascii="Arial" w:cs="Arial" w:eastAsia="Arial" w:hAnsi="Arial"/>
                <w:sz w:val="17"/>
                <w:szCs w:val="17"/>
                <w:color w:val="auto"/>
              </w:rPr>
              <w:t>Depreciation of non-current assets</w:t>
            </w:r>
          </w:p>
        </w:tc>
        <w:tc>
          <w:tcPr>
            <w:tcW w:w="1380" w:type="dxa"/>
            <w:vAlign w:val="bottom"/>
          </w:tcPr>
          <w:p>
            <w:pPr>
              <w:jc w:val="right"/>
              <w:spacing w:after="0"/>
              <w:rPr>
                <w:sz w:val="20"/>
                <w:szCs w:val="20"/>
                <w:color w:val="auto"/>
              </w:rPr>
            </w:pPr>
            <w:r>
              <w:rPr>
                <w:rFonts w:ascii="Arial" w:cs="Arial" w:eastAsia="Arial" w:hAnsi="Arial"/>
                <w:sz w:val="17"/>
                <w:szCs w:val="17"/>
                <w:color w:val="auto"/>
              </w:rPr>
              <w:t>15,012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14,926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Depreciation of right-of-use assets</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91,656</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81,611</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tcPr>
          <w:p>
            <w:pPr>
              <w:ind w:left="360"/>
              <w:spacing w:after="0"/>
              <w:rPr>
                <w:sz w:val="20"/>
                <w:szCs w:val="20"/>
                <w:color w:val="auto"/>
              </w:rPr>
            </w:pPr>
            <w:r>
              <w:rPr>
                <w:rFonts w:ascii="Arial" w:cs="Arial" w:eastAsia="Arial" w:hAnsi="Arial"/>
                <w:sz w:val="17"/>
                <w:szCs w:val="17"/>
                <w:color w:val="auto"/>
              </w:rPr>
              <w:t>Share-based payments</w:t>
            </w:r>
          </w:p>
        </w:tc>
        <w:tc>
          <w:tcPr>
            <w:tcW w:w="1380" w:type="dxa"/>
            <w:vAlign w:val="bottom"/>
          </w:tcPr>
          <w:p>
            <w:pPr>
              <w:jc w:val="right"/>
              <w:spacing w:after="0"/>
              <w:rPr>
                <w:sz w:val="20"/>
                <w:szCs w:val="20"/>
                <w:color w:val="auto"/>
              </w:rPr>
            </w:pPr>
            <w:r>
              <w:rPr>
                <w:rFonts w:ascii="Arial" w:cs="Arial" w:eastAsia="Arial" w:hAnsi="Arial"/>
                <w:sz w:val="17"/>
                <w:szCs w:val="17"/>
                <w:color w:val="auto"/>
              </w:rPr>
              <w:t>3,897,638</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732,688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685,409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Net exchange differences</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11,011,961</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265,989</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(241,814)</w:t>
            </w:r>
          </w:p>
        </w:tc>
        <w:tc>
          <w:tcPr>
            <w:tcW w:w="0" w:type="dxa"/>
            <w:vAlign w:val="bottom"/>
          </w:tcPr>
          <w:p>
            <w:pPr>
              <w:spacing w:after="0"/>
              <w:rPr>
                <w:sz w:val="1"/>
                <w:szCs w:val="1"/>
                <w:color w:val="auto"/>
              </w:rPr>
            </w:pPr>
          </w:p>
        </w:tc>
      </w:tr>
      <w:tr>
        <w:trPr>
          <w:trHeight w:val="221"/>
        </w:trPr>
        <w:tc>
          <w:tcPr>
            <w:tcW w:w="6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Changes in:</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tcPr>
          <w:p>
            <w:pPr>
              <w:ind w:left="360"/>
              <w:spacing w:after="0"/>
              <w:rPr>
                <w:sz w:val="20"/>
                <w:szCs w:val="20"/>
                <w:color w:val="auto"/>
              </w:rPr>
            </w:pPr>
            <w:r>
              <w:rPr>
                <w:rFonts w:ascii="Arial" w:cs="Arial" w:eastAsia="Arial" w:hAnsi="Arial"/>
                <w:sz w:val="17"/>
                <w:szCs w:val="17"/>
                <w:color w:val="auto"/>
              </w:rPr>
              <w:t>Payables</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(1,552,443)</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(125,492)</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(1,209,513)</w:t>
            </w: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Receivables</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(369,712)</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12,127</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580" w:type="dxa"/>
            <w:vAlign w:val="bottom"/>
          </w:tcPr>
          <w:p>
            <w:pPr>
              <w:ind w:left="360"/>
              <w:spacing w:after="0"/>
              <w:rPr>
                <w:sz w:val="20"/>
                <w:szCs w:val="20"/>
                <w:color w:val="auto"/>
              </w:rPr>
            </w:pPr>
            <w:r>
              <w:rPr>
                <w:rFonts w:ascii="Arial" w:cs="Arial" w:eastAsia="Arial" w:hAnsi="Arial"/>
                <w:sz w:val="17"/>
                <w:szCs w:val="17"/>
                <w:color w:val="auto"/>
              </w:rPr>
              <w:t>Prepayments</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(14,231,546)</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(30,994)</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(81,681)</w:t>
            </w:r>
          </w:p>
        </w:tc>
        <w:tc>
          <w:tcPr>
            <w:tcW w:w="0" w:type="dxa"/>
            <w:vAlign w:val="bottom"/>
          </w:tcPr>
          <w:p>
            <w:pPr>
              <w:spacing w:after="0"/>
              <w:rPr>
                <w:sz w:val="1"/>
                <w:szCs w:val="1"/>
                <w:color w:val="auto"/>
              </w:rPr>
            </w:pPr>
          </w:p>
        </w:tc>
      </w:tr>
      <w:tr>
        <w:trPr>
          <w:trHeight w:val="221"/>
        </w:trPr>
        <w:tc>
          <w:tcPr>
            <w:tcW w:w="6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Provisions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40,510</w:t>
            </w:r>
          </w:p>
        </w:tc>
        <w:tc>
          <w:tcPr>
            <w:tcW w:w="2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72,794</w:t>
            </w:r>
          </w:p>
        </w:tc>
        <w:tc>
          <w:tcPr>
            <w:tcW w:w="26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580" w:type="dxa"/>
            <w:vAlign w:val="bottom"/>
          </w:tcPr>
          <w:p>
            <w:pPr>
              <w:ind w:left="360"/>
              <w:spacing w:after="0"/>
              <w:rPr>
                <w:sz w:val="20"/>
                <w:szCs w:val="20"/>
                <w:color w:val="auto"/>
              </w:rPr>
            </w:pPr>
            <w:r>
              <w:rPr>
                <w:rFonts w:ascii="Arial" w:cs="Arial" w:eastAsia="Arial" w:hAnsi="Arial"/>
                <w:sz w:val="17"/>
                <w:szCs w:val="17"/>
                <w:color w:val="auto"/>
              </w:rPr>
              <w:t>Net cash flows used in operating activities before tax</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(51,380,266)</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(15,808,317)</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(26,139,613)</w:t>
            </w:r>
          </w:p>
        </w:tc>
        <w:tc>
          <w:tcPr>
            <w:tcW w:w="0" w:type="dxa"/>
            <w:vAlign w:val="bottom"/>
          </w:tcPr>
          <w:p>
            <w:pPr>
              <w:spacing w:after="0"/>
              <w:rPr>
                <w:sz w:val="1"/>
                <w:szCs w:val="1"/>
                <w:color w:val="auto"/>
              </w:rPr>
            </w:pPr>
          </w:p>
        </w:tc>
      </w:tr>
      <w:tr>
        <w:trPr>
          <w:trHeight w:val="214"/>
        </w:trPr>
        <w:tc>
          <w:tcPr>
            <w:tcW w:w="65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R&amp;D tax incentive received</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5,834,099</w:t>
            </w:r>
          </w:p>
        </w:tc>
        <w:tc>
          <w:tcPr>
            <w:tcW w:w="2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10,118,697</w:t>
            </w:r>
          </w:p>
        </w:tc>
        <w:tc>
          <w:tcPr>
            <w:tcW w:w="2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9,097,526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80" w:type="dxa"/>
            <w:vAlign w:val="bottom"/>
          </w:tcPr>
          <w:p>
            <w:pPr>
              <w:ind w:left="360"/>
              <w:spacing w:after="0"/>
              <w:rPr>
                <w:sz w:val="20"/>
                <w:szCs w:val="20"/>
                <w:color w:val="auto"/>
              </w:rPr>
            </w:pPr>
            <w:r>
              <w:rPr>
                <w:rFonts w:ascii="Arial" w:cs="Arial" w:eastAsia="Arial" w:hAnsi="Arial"/>
                <w:sz w:val="17"/>
                <w:szCs w:val="17"/>
                <w:b w:val="1"/>
                <w:bCs w:val="1"/>
                <w:color w:val="auto"/>
              </w:rPr>
              <w:t>Net cash flows used in operating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(45,546,167)</w:t>
            </w:r>
          </w:p>
        </w:tc>
        <w:tc>
          <w:tcPr>
            <w:tcW w:w="2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(5,689,620)</w:t>
            </w:r>
          </w:p>
        </w:tc>
        <w:tc>
          <w:tcPr>
            <w:tcW w:w="26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(17,042,087)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9" w:lineRule="exact"/>
        <w:rPr>
          <w:sz w:val="20"/>
          <w:szCs w:val="20"/>
          <w:color w:val="auto"/>
        </w:rPr>
      </w:pPr>
    </w:p>
    <w:tbl>
      <w:tblPr>
        <w:tblLayout w:type="fixed"/>
        <w:tblInd w:w="360" w:type="dxa"/>
        <w:tblCellMar>
          <w:top w:w="0" w:type="dxa"/>
          <w:left w:w="0" w:type="dxa"/>
          <w:bottom w:w="0" w:type="dxa"/>
          <w:right w:w="0" w:type="dxa"/>
        </w:tblCellMar>
      </w:tblPr>
      <w:tr>
        <w:trPr>
          <w:trHeight w:val="179"/>
        </w:trPr>
        <w:tc>
          <w:tcPr>
            <w:tcW w:w="6220" w:type="dxa"/>
            <w:vAlign w:val="bottom"/>
          </w:tcPr>
          <w:p>
            <w:pPr>
              <w:spacing w:after="0"/>
              <w:rPr>
                <w:sz w:val="15"/>
                <w:szCs w:val="15"/>
                <w:color w:val="auto"/>
              </w:rPr>
            </w:pPr>
          </w:p>
        </w:tc>
        <w:tc>
          <w:tcPr>
            <w:tcW w:w="1380" w:type="dxa"/>
            <w:vAlign w:val="bottom"/>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21"/>
        </w:trPr>
        <w:tc>
          <w:tcPr>
            <w:tcW w:w="622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5"/>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(c) Reconciliation of borrowings arising from financing activities</w:t>
            </w:r>
          </w:p>
        </w:tc>
        <w:tc>
          <w:tcPr>
            <w:tcW w:w="1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Balance at July 1</w:t>
            </w:r>
          </w:p>
        </w:tc>
        <w:tc>
          <w:tcPr>
            <w:tcW w:w="1380" w:type="dxa"/>
            <w:vAlign w:val="bottom"/>
          </w:tcPr>
          <w:p>
            <w:pPr>
              <w:jc w:val="right"/>
              <w:spacing w:after="0"/>
              <w:rPr>
                <w:sz w:val="20"/>
                <w:szCs w:val="20"/>
                <w:color w:val="auto"/>
              </w:rPr>
            </w:pPr>
            <w:r>
              <w:rPr>
                <w:rFonts w:ascii="Arial" w:cs="Arial" w:eastAsia="Arial" w:hAnsi="Arial"/>
                <w:sz w:val="17"/>
                <w:szCs w:val="17"/>
                <w:color w:val="auto"/>
              </w:rPr>
              <w:t>167,460</w:t>
            </w:r>
          </w:p>
        </w:tc>
        <w:tc>
          <w:tcPr>
            <w:tcW w:w="2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Non-cash addition</w:t>
            </w:r>
            <w:r>
              <w:rPr>
                <w:rFonts w:ascii="Arial" w:cs="Arial" w:eastAsia="Arial" w:hAnsi="Arial"/>
                <w:sz w:val="14"/>
                <w:szCs w:val="14"/>
                <w:color w:val="auto"/>
              </w:rPr>
              <w:t>1</w:t>
            </w:r>
          </w:p>
        </w:tc>
        <w:tc>
          <w:tcPr>
            <w:tcW w:w="1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251,189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Payment of lease liabilities</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(87,373)</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(66,781)</w:t>
            </w: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7"/>
                <w:szCs w:val="17"/>
                <w:color w:val="auto"/>
              </w:rPr>
              <w:t>Exchange on translation</w:t>
            </w:r>
          </w:p>
        </w:tc>
        <w:tc>
          <w:tcPr>
            <w:tcW w:w="1380" w:type="dxa"/>
            <w:vAlign w:val="bottom"/>
          </w:tcPr>
          <w:p>
            <w:pPr>
              <w:jc w:val="right"/>
              <w:spacing w:after="0"/>
              <w:rPr>
                <w:sz w:val="20"/>
                <w:szCs w:val="20"/>
                <w:color w:val="auto"/>
              </w:rPr>
            </w:pPr>
            <w:r>
              <w:rPr>
                <w:rFonts w:ascii="Arial" w:cs="Arial" w:eastAsia="Arial" w:hAnsi="Arial"/>
                <w:sz w:val="17"/>
                <w:szCs w:val="17"/>
                <w:color w:val="auto"/>
              </w:rPr>
              <w:t>13,765</w:t>
            </w:r>
          </w:p>
        </w:tc>
        <w:tc>
          <w:tcPr>
            <w:tcW w:w="2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(16,948)</w:t>
            </w:r>
          </w:p>
        </w:tc>
        <w:tc>
          <w:tcPr>
            <w:tcW w:w="0" w:type="dxa"/>
            <w:vAlign w:val="bottom"/>
          </w:tcPr>
          <w:p>
            <w:pPr>
              <w:spacing w:after="0"/>
              <w:rPr>
                <w:sz w:val="1"/>
                <w:szCs w:val="1"/>
                <w:color w:val="auto"/>
              </w:rPr>
            </w:pPr>
          </w:p>
        </w:tc>
      </w:tr>
      <w:tr>
        <w:trPr>
          <w:trHeight w:val="214"/>
        </w:trPr>
        <w:tc>
          <w:tcPr>
            <w:tcW w:w="6220" w:type="dxa"/>
            <w:vAlign w:val="bottom"/>
          </w:tcPr>
          <w:p>
            <w:pPr>
              <w:spacing w:after="0"/>
              <w:rPr>
                <w:sz w:val="20"/>
                <w:szCs w:val="20"/>
                <w:color w:val="auto"/>
              </w:rPr>
            </w:pPr>
            <w:r>
              <w:rPr>
                <w:rFonts w:ascii="Arial" w:cs="Arial" w:eastAsia="Arial" w:hAnsi="Arial"/>
                <w:sz w:val="17"/>
                <w:szCs w:val="17"/>
                <w:color w:val="auto"/>
              </w:rPr>
              <w:t>Balance at June 30</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93,852</w:t>
            </w:r>
          </w:p>
        </w:tc>
        <w:tc>
          <w:tcPr>
            <w:tcW w:w="2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167,460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-733425</wp:posOffset>
            </wp:positionV>
            <wp:extent cx="7137400" cy="140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-453390</wp:posOffset>
            </wp:positionV>
            <wp:extent cx="7137400" cy="140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-172720</wp:posOffset>
            </wp:positionV>
            <wp:extent cx="7137400" cy="156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7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1 Non</w:t>
      </w:r>
      <w:r>
        <w:rPr>
          <w:rFonts w:ascii="MS PGothic" w:cs="MS PGothic" w:eastAsia="MS PGothic" w:hAnsi="MS PGothic"/>
          <w:sz w:val="15"/>
          <w:szCs w:val="15"/>
          <w:color w:val="auto"/>
        </w:rPr>
        <w:t>‑</w:t>
      </w:r>
      <w:r>
        <w:rPr>
          <w:rFonts w:ascii="Arial" w:cs="Arial" w:eastAsia="Arial" w:hAnsi="Arial"/>
          <w:sz w:val="15"/>
          <w:szCs w:val="15"/>
          <w:color w:val="auto"/>
        </w:rPr>
        <w:t>cash addition represents the new lease on the Company’s office premises in Melbourne, Australia that commenced on July 15,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30. Key Management Personnel</w:t>
      </w:r>
    </w:p>
    <w:p>
      <w:pPr>
        <w:spacing w:after="0" w:line="116" w:lineRule="exact"/>
        <w:rPr>
          <w:sz w:val="20"/>
          <w:szCs w:val="20"/>
          <w:color w:val="auto"/>
        </w:rPr>
      </w:pPr>
    </w:p>
    <w:p>
      <w:pPr>
        <w:ind w:left="700"/>
        <w:spacing w:after="0"/>
        <w:tabs>
          <w:tab w:leader="none" w:pos="1120" w:val="left"/>
        </w:tabs>
        <w:rPr>
          <w:sz w:val="20"/>
          <w:szCs w:val="20"/>
          <w:color w:val="auto"/>
        </w:rPr>
      </w:pPr>
      <w:r>
        <w:rPr>
          <w:rFonts w:ascii="Arial" w:cs="Arial" w:eastAsia="Arial" w:hAnsi="Arial"/>
          <w:sz w:val="17"/>
          <w:szCs w:val="17"/>
          <w:b w:val="1"/>
          <w:bCs w:val="1"/>
          <w:color w:val="auto"/>
        </w:rPr>
        <w:t>(a)</w:t>
        <w:tab/>
        <w:t>Compensation of Key Management Personnel</w:t>
      </w:r>
    </w:p>
    <w:p>
      <w:pPr>
        <w:spacing w:after="0" w:line="35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0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56"/>
        </w:trPr>
        <w:tc>
          <w:tcPr>
            <w:tcW w:w="6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5"/>
        </w:trPr>
        <w:tc>
          <w:tcPr>
            <w:tcW w:w="6300" w:type="dxa"/>
            <w:vAlign w:val="bottom"/>
            <w:vMerge w:val="restart"/>
          </w:tcPr>
          <w:p>
            <w:pPr>
              <w:spacing w:after="0"/>
              <w:rPr>
                <w:sz w:val="20"/>
                <w:szCs w:val="20"/>
                <w:color w:val="auto"/>
              </w:rPr>
            </w:pPr>
            <w:r>
              <w:rPr>
                <w:rFonts w:ascii="Arial" w:cs="Arial" w:eastAsia="Arial" w:hAnsi="Arial"/>
                <w:sz w:val="17"/>
                <w:szCs w:val="17"/>
                <w:color w:val="auto"/>
              </w:rPr>
              <w:t>Short-term employee benefits</w:t>
            </w: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r>
        <w:trPr>
          <w:trHeight w:val="214"/>
        </w:trPr>
        <w:tc>
          <w:tcPr>
            <w:tcW w:w="6300" w:type="dxa"/>
            <w:vAlign w:val="bottom"/>
            <w:vMerge w:val="continue"/>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1,099,081</w:t>
            </w:r>
          </w:p>
        </w:tc>
        <w:tc>
          <w:tcPr>
            <w:tcW w:w="2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680,954</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Post-employment benefits</w:t>
            </w:r>
          </w:p>
        </w:tc>
        <w:tc>
          <w:tcPr>
            <w:tcW w:w="1300" w:type="dxa"/>
            <w:vAlign w:val="bottom"/>
          </w:tcPr>
          <w:p>
            <w:pPr>
              <w:jc w:val="right"/>
              <w:spacing w:after="0"/>
              <w:rPr>
                <w:sz w:val="20"/>
                <w:szCs w:val="20"/>
                <w:color w:val="auto"/>
              </w:rPr>
            </w:pPr>
            <w:r>
              <w:rPr>
                <w:rFonts w:ascii="Arial" w:cs="Arial" w:eastAsia="Arial" w:hAnsi="Arial"/>
                <w:sz w:val="17"/>
                <w:szCs w:val="17"/>
                <w:color w:val="auto"/>
              </w:rPr>
              <w:t>79,550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64,632</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Share-based payments expense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3,897,638</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420,751</w:t>
            </w: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5,076,269</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1,166,337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137400" cy="140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-585470</wp:posOffset>
            </wp:positionV>
            <wp:extent cx="7137400" cy="148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2019</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Restated</w:t>
      </w:r>
    </w:p>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27305</wp:posOffset>
            </wp:positionV>
            <wp:extent cx="7918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58"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w:t>
      </w:r>
    </w:p>
    <w:p>
      <w:pPr>
        <w:spacing w:after="0" w:line="25"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w:t>
      </w:r>
    </w:p>
    <w:p>
      <w:pPr>
        <w:spacing w:after="0" w:line="32"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36195</wp:posOffset>
            </wp:positionV>
            <wp:extent cx="7918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2019</w:t>
      </w:r>
    </w:p>
    <w:p>
      <w:pPr>
        <w:spacing w:after="0" w:line="11"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Restated</w:t>
      </w:r>
    </w:p>
    <w:p>
      <w:pPr>
        <w:spacing w:after="0" w:line="6"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US$</w:t>
      </w:r>
    </w:p>
    <w:p>
      <w:pPr>
        <w:spacing w:after="0" w:line="2"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715,027</w:t>
      </w:r>
    </w:p>
    <w:p>
      <w:pPr>
        <w:spacing w:after="0" w:line="25"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67,928</w:t>
      </w:r>
    </w:p>
    <w:p>
      <w:pPr>
        <w:spacing w:after="0" w:line="25" w:lineRule="exact"/>
        <w:rPr>
          <w:sz w:val="20"/>
          <w:szCs w:val="20"/>
          <w:color w:val="auto"/>
        </w:rPr>
      </w:pPr>
    </w:p>
    <w:p>
      <w:pPr>
        <w:jc w:val="right"/>
        <w:ind w:right="120"/>
        <w:spacing w:after="0"/>
        <w:rPr>
          <w:sz w:val="20"/>
          <w:szCs w:val="20"/>
          <w:color w:val="auto"/>
        </w:rPr>
      </w:pPr>
      <w:r>
        <w:rPr>
          <w:rFonts w:ascii="Arial" w:cs="Arial" w:eastAsia="Arial" w:hAnsi="Arial"/>
          <w:sz w:val="17"/>
          <w:szCs w:val="17"/>
          <w:color w:val="auto"/>
        </w:rPr>
        <w:t>532,952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15875</wp:posOffset>
            </wp:positionV>
            <wp:extent cx="8413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7"/>
          <w:szCs w:val="17"/>
          <w:b w:val="1"/>
          <w:bCs w:val="1"/>
          <w:color w:val="auto"/>
        </w:rPr>
        <w:t>1,315,907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19685</wp:posOffset>
            </wp:positionV>
            <wp:extent cx="8413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9700" w:space="480"/>
            <w:col w:w="1060"/>
          </w:cols>
          <w:pgMar w:left="320" w:top="121" w:right="339" w:bottom="1440" w:gutter="0" w:footer="0" w:header="0"/>
          <w:type w:val="continuous"/>
        </w:sectPr>
      </w:pP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83820</wp:posOffset>
            </wp:positionV>
            <wp:extent cx="716280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45" w:lineRule="exact"/>
        <w:rPr>
          <w:sz w:val="20"/>
          <w:szCs w:val="20"/>
          <w:color w:val="auto"/>
        </w:rPr>
      </w:pPr>
    </w:p>
    <w:p>
      <w:pPr>
        <w:ind w:right="2480" w:firstLine="706"/>
        <w:spacing w:after="0" w:line="364" w:lineRule="auto"/>
        <w:tabs>
          <w:tab w:leader="none" w:pos="1143"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transactions and balances with director and key management personnel and their related parties </w:t>
      </w:r>
      <w:r>
        <w:rPr>
          <w:rFonts w:ascii="Arial" w:cs="Arial" w:eastAsia="Arial" w:hAnsi="Arial"/>
          <w:sz w:val="15"/>
          <w:szCs w:val="15"/>
          <w:color w:val="auto"/>
        </w:rPr>
        <w:t>There were no director and key management personnel related party transactions during the current or prior financial year.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31. Share-Based Payments</w:t>
      </w:r>
    </w:p>
    <w:p>
      <w:pPr>
        <w:spacing w:after="0" w:line="116" w:lineRule="exact"/>
        <w:rPr>
          <w:sz w:val="20"/>
          <w:szCs w:val="20"/>
          <w:color w:val="auto"/>
        </w:rPr>
      </w:pPr>
    </w:p>
    <w:p>
      <w:pPr>
        <w:ind w:left="1540" w:hanging="830"/>
        <w:spacing w:after="0"/>
        <w:tabs>
          <w:tab w:leader="none" w:pos="15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Recognized share-based payment expenses</w:t>
      </w:r>
    </w:p>
    <w:p>
      <w:pPr>
        <w:spacing w:after="0" w:line="12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The expense recognized for share</w:t>
      </w:r>
      <w:r>
        <w:rPr>
          <w:rFonts w:ascii="MS PGothic" w:cs="MS PGothic" w:eastAsia="MS PGothic" w:hAnsi="MS PGothic"/>
          <w:sz w:val="17"/>
          <w:szCs w:val="17"/>
          <w:color w:val="auto"/>
        </w:rPr>
        <w:t>‑</w:t>
      </w:r>
      <w:r>
        <w:rPr>
          <w:rFonts w:ascii="Arial" w:cs="Arial" w:eastAsia="Arial" w:hAnsi="Arial"/>
          <w:sz w:val="17"/>
          <w:szCs w:val="17"/>
          <w:color w:val="auto"/>
        </w:rPr>
        <w:t>based payments during the year is shown in the table below:</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0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4"/>
                <w:szCs w:val="14"/>
                <w:color w:val="auto"/>
              </w:rPr>
            </w:pPr>
          </w:p>
        </w:tc>
      </w:tr>
      <w:tr>
        <w:trPr>
          <w:trHeight w:val="156"/>
        </w:trPr>
        <w:tc>
          <w:tcPr>
            <w:tcW w:w="6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87"/>
              </w:rPr>
              <w:t>Restated</w:t>
            </w:r>
          </w:p>
        </w:tc>
        <w:tc>
          <w:tcPr>
            <w:tcW w:w="142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4"/>
              </w:rPr>
              <w:t>Restated</w:t>
            </w:r>
          </w:p>
        </w:tc>
      </w:tr>
      <w:tr>
        <w:trPr>
          <w:trHeight w:val="165"/>
        </w:trPr>
        <w:tc>
          <w:tcPr>
            <w:tcW w:w="6660" w:type="dxa"/>
            <w:vAlign w:val="bottom"/>
          </w:tcPr>
          <w:p>
            <w:pPr>
              <w:spacing w:after="0"/>
              <w:rPr>
                <w:sz w:val="14"/>
                <w:szCs w:val="14"/>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US$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US$</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w:t>
            </w:r>
          </w:p>
        </w:tc>
      </w:tr>
      <w:tr>
        <w:trPr>
          <w:trHeight w:val="201"/>
        </w:trPr>
        <w:tc>
          <w:tcPr>
            <w:tcW w:w="666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Expense arising from equity-settled share-based payment</w:t>
            </w: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0"/>
        </w:trPr>
        <w:tc>
          <w:tcPr>
            <w:tcW w:w="66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transactions:</w:t>
            </w: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1"/>
        </w:trPr>
        <w:tc>
          <w:tcPr>
            <w:tcW w:w="6660" w:type="dxa"/>
            <w:vAlign w:val="bottom"/>
          </w:tcPr>
          <w:p>
            <w:pPr>
              <w:ind w:left="360"/>
              <w:spacing w:after="0"/>
              <w:rPr>
                <w:sz w:val="20"/>
                <w:szCs w:val="20"/>
                <w:color w:val="auto"/>
              </w:rPr>
            </w:pPr>
            <w:r>
              <w:rPr>
                <w:rFonts w:ascii="Arial" w:cs="Arial" w:eastAsia="Arial" w:hAnsi="Arial"/>
                <w:sz w:val="17"/>
                <w:szCs w:val="17"/>
                <w:color w:val="auto"/>
              </w:rPr>
              <w:t>Director and employee services received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3,897,638</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732,688</w:t>
            </w:r>
          </w:p>
        </w:tc>
        <w:tc>
          <w:tcPr>
            <w:tcW w:w="2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685,409</w:t>
            </w:r>
          </w:p>
        </w:tc>
        <w:tc>
          <w:tcPr>
            <w:tcW w:w="100" w:type="dxa"/>
            <w:vAlign w:val="bottom"/>
          </w:tcPr>
          <w:p>
            <w:pPr>
              <w:spacing w:after="0"/>
              <w:rPr>
                <w:sz w:val="19"/>
                <w:szCs w:val="19"/>
                <w:color w:val="auto"/>
              </w:rPr>
            </w:pPr>
          </w:p>
        </w:tc>
      </w:tr>
      <w:tr>
        <w:trPr>
          <w:trHeight w:val="227"/>
        </w:trPr>
        <w:tc>
          <w:tcPr>
            <w:tcW w:w="66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3,897,638</w:t>
            </w:r>
          </w:p>
        </w:tc>
        <w:tc>
          <w:tcPr>
            <w:tcW w:w="2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732,688</w:t>
            </w:r>
          </w:p>
        </w:tc>
        <w:tc>
          <w:tcPr>
            <w:tcW w:w="2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685,409</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left="1540" w:hanging="830"/>
        <w:spacing w:after="0" w:line="196" w:lineRule="exact"/>
        <w:tabs>
          <w:tab w:leader="none" w:pos="154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executive director and employee share option plans</w:t>
      </w:r>
    </w:p>
    <w:p>
      <w:pPr>
        <w:spacing w:after="0" w:line="122" w:lineRule="exact"/>
        <w:rPr>
          <w:sz w:val="20"/>
          <w:szCs w:val="20"/>
          <w:color w:val="auto"/>
        </w:rPr>
      </w:pPr>
    </w:p>
    <w:p>
      <w:pPr>
        <w:jc w:val="both"/>
        <w:ind w:firstLine="706"/>
        <w:spacing w:after="0" w:line="211" w:lineRule="exact"/>
        <w:rPr>
          <w:sz w:val="20"/>
          <w:szCs w:val="20"/>
          <w:color w:val="auto"/>
        </w:rPr>
      </w:pPr>
      <w:r>
        <w:rPr>
          <w:rFonts w:ascii="Arial" w:cs="Arial" w:eastAsia="Arial" w:hAnsi="Arial"/>
          <w:sz w:val="17"/>
          <w:szCs w:val="17"/>
          <w:color w:val="auto"/>
        </w:rPr>
        <w:t>During the 2015 financial year, the Group introduced an ownership</w:t>
      </w:r>
      <w:r>
        <w:rPr>
          <w:rFonts w:ascii="MS PGothic" w:cs="MS PGothic" w:eastAsia="MS PGothic" w:hAnsi="MS PGothic"/>
          <w:sz w:val="17"/>
          <w:szCs w:val="17"/>
          <w:color w:val="auto"/>
        </w:rPr>
        <w:t>‑</w:t>
      </w:r>
      <w:r>
        <w:rPr>
          <w:rFonts w:ascii="Arial" w:cs="Arial" w:eastAsia="Arial" w:hAnsi="Arial"/>
          <w:sz w:val="17"/>
          <w:szCs w:val="17"/>
          <w:color w:val="auto"/>
        </w:rPr>
        <w:t>based compensation scheme for non</w:t>
      </w:r>
      <w:r>
        <w:rPr>
          <w:rFonts w:ascii="MS PGothic" w:cs="MS PGothic" w:eastAsia="MS PGothic" w:hAnsi="MS PGothic"/>
          <w:sz w:val="17"/>
          <w:szCs w:val="17"/>
          <w:color w:val="auto"/>
        </w:rPr>
        <w:t>‑</w:t>
      </w:r>
      <w:r>
        <w:rPr>
          <w:rFonts w:ascii="Arial" w:cs="Arial" w:eastAsia="Arial" w:hAnsi="Arial"/>
          <w:sz w:val="17"/>
          <w:szCs w:val="17"/>
          <w:color w:val="auto"/>
        </w:rPr>
        <w:t>executive directors, executives and senior employees, the Long Term Incentive Plan (LTIP) and Non</w:t>
      </w:r>
      <w:r>
        <w:rPr>
          <w:rFonts w:ascii="MS PGothic" w:cs="MS PGothic" w:eastAsia="MS PGothic" w:hAnsi="MS PGothic"/>
          <w:sz w:val="17"/>
          <w:szCs w:val="17"/>
          <w:color w:val="auto"/>
        </w:rPr>
        <w:t>‑</w:t>
      </w:r>
      <w:r>
        <w:rPr>
          <w:rFonts w:ascii="Arial" w:cs="Arial" w:eastAsia="Arial" w:hAnsi="Arial"/>
          <w:sz w:val="17"/>
          <w:szCs w:val="17"/>
          <w:color w:val="auto"/>
        </w:rPr>
        <w:t>Executive Directors Share and Option Plan (NED Plan). In accordance with the terms of the plans, as approved by shareholders at the 2014 annual general meeting, eligible non</w:t>
      </w:r>
      <w:r>
        <w:rPr>
          <w:rFonts w:ascii="MS PGothic" w:cs="MS PGothic" w:eastAsia="MS PGothic" w:hAnsi="MS PGothic"/>
          <w:sz w:val="17"/>
          <w:szCs w:val="17"/>
          <w:color w:val="auto"/>
        </w:rPr>
        <w:t>‑</w:t>
      </w:r>
      <w:r>
        <w:rPr>
          <w:rFonts w:ascii="Arial" w:cs="Arial" w:eastAsia="Arial" w:hAnsi="Arial"/>
          <w:sz w:val="17"/>
          <w:szCs w:val="17"/>
          <w:color w:val="auto"/>
        </w:rPr>
        <w:t>executive directors, executives and senior employees with the Group may be granted options to purchase ordinary shares.</w:t>
      </w:r>
    </w:p>
    <w:p>
      <w:pPr>
        <w:spacing w:after="0" w:line="92" w:lineRule="exact"/>
        <w:rPr>
          <w:sz w:val="20"/>
          <w:szCs w:val="20"/>
          <w:color w:val="auto"/>
        </w:rPr>
      </w:pPr>
    </w:p>
    <w:p>
      <w:pPr>
        <w:jc w:val="both"/>
        <w:ind w:firstLine="706"/>
        <w:spacing w:after="0" w:line="311" w:lineRule="auto"/>
        <w:rPr>
          <w:sz w:val="20"/>
          <w:szCs w:val="20"/>
          <w:color w:val="auto"/>
        </w:rPr>
      </w:pPr>
      <w:r>
        <w:rPr>
          <w:rFonts w:ascii="Arial" w:cs="Arial" w:eastAsia="Arial" w:hAnsi="Arial"/>
          <w:sz w:val="15"/>
          <w:szCs w:val="15"/>
          <w:color w:val="auto"/>
        </w:rPr>
        <w:t>Each employee share option converts into one ordinary share of Opthea Limited on exercise. No amounts are paid or payable by the recipient on receipt of the option. The options carry neither rights to dividends nor voting rights and are not transferable. Options may be exercised at any time from the date of vesting to the date of their expiry. The number of options granted is subject to approval by the board and rewards executives and senior employees to the extent of the Group’s and the individual’s achievement judged against both qualitative and quantitative criteria as determined by the board on a case by case basis.</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vesting condition of options granted under the LTIP and NED Plan is continuous service.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Grant date</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Exercise</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Options/Rights services</w:t>
            </w:r>
          </w:p>
        </w:tc>
        <w:tc>
          <w:tcPr>
            <w:tcW w:w="140" w:type="dxa"/>
            <w:vAlign w:val="bottom"/>
            <w:vMerge w:val="restart"/>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140" w:type="dxa"/>
            <w:vAlign w:val="bottom"/>
            <w:vMerge w:val="restart"/>
          </w:tcPr>
          <w:p>
            <w:pPr>
              <w:spacing w:after="0"/>
              <w:rPr>
                <w:sz w:val="12"/>
                <w:szCs w:val="12"/>
                <w:color w:val="auto"/>
              </w:rPr>
            </w:pPr>
          </w:p>
        </w:tc>
        <w:tc>
          <w:tcPr>
            <w:tcW w:w="146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fair value</w:t>
            </w:r>
          </w:p>
        </w:tc>
        <w:tc>
          <w:tcPr>
            <w:tcW w:w="1460" w:type="dxa"/>
            <w:vAlign w:val="bottom"/>
            <w:gridSpan w:val="2"/>
            <w:vMerge w:val="continue"/>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Expiry date</w:t>
            </w:r>
          </w:p>
        </w:tc>
        <w:tc>
          <w:tcPr>
            <w:tcW w:w="140" w:type="dxa"/>
            <w:vAlign w:val="bottom"/>
            <w:vMerge w:val="restart"/>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Vesting date</w:t>
            </w:r>
          </w:p>
        </w:tc>
        <w:tc>
          <w:tcPr>
            <w:tcW w:w="0" w:type="dxa"/>
            <w:vAlign w:val="bottom"/>
          </w:tcPr>
          <w:p>
            <w:pPr>
              <w:spacing w:after="0"/>
              <w:rPr>
                <w:sz w:val="1"/>
                <w:szCs w:val="1"/>
                <w:color w:val="auto"/>
              </w:rPr>
            </w:pPr>
          </w:p>
        </w:tc>
      </w:tr>
      <w:tr>
        <w:trPr>
          <w:trHeight w:val="165"/>
        </w:trPr>
        <w:tc>
          <w:tcPr>
            <w:tcW w:w="34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 US$</w:t>
            </w:r>
          </w:p>
        </w:tc>
        <w:tc>
          <w:tcPr>
            <w:tcW w:w="14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LTIP - director FY2016</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March 7,2016</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0.14</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0.36</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March 7, 2021</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June 30, 2016</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LTIP - director FY2019</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November 29, 2018</w:t>
            </w:r>
          </w:p>
        </w:tc>
        <w:tc>
          <w:tcPr>
            <w:tcW w:w="1200" w:type="dxa"/>
            <w:vAlign w:val="bottom"/>
          </w:tcPr>
          <w:p>
            <w:pPr>
              <w:jc w:val="right"/>
              <w:spacing w:after="0"/>
              <w:rPr>
                <w:sz w:val="20"/>
                <w:szCs w:val="20"/>
                <w:color w:val="auto"/>
              </w:rPr>
            </w:pPr>
            <w:r>
              <w:rPr>
                <w:rFonts w:ascii="Arial" w:cs="Arial" w:eastAsia="Arial" w:hAnsi="Arial"/>
                <w:sz w:val="17"/>
                <w:szCs w:val="17"/>
                <w:color w:val="auto"/>
              </w:rPr>
              <w:t>0.15</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0.625</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November 29, 2022</w:t>
            </w:r>
          </w:p>
        </w:tc>
        <w:tc>
          <w:tcPr>
            <w:tcW w:w="1500" w:type="dxa"/>
            <w:vAlign w:val="bottom"/>
          </w:tcPr>
          <w:p>
            <w:pPr>
              <w:jc w:val="right"/>
              <w:spacing w:after="0"/>
              <w:rPr>
                <w:sz w:val="20"/>
                <w:szCs w:val="20"/>
                <w:color w:val="auto"/>
              </w:rPr>
            </w:pPr>
            <w:r>
              <w:rPr>
                <w:rFonts w:ascii="Arial" w:cs="Arial" w:eastAsia="Arial" w:hAnsi="Arial"/>
                <w:sz w:val="17"/>
                <w:szCs w:val="17"/>
                <w:color w:val="auto"/>
                <w:w w:val="99"/>
              </w:rPr>
              <w:t>November 29, 2019</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LTIP - employees FY2016</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March 31, 2016</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0.37</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January 1, 2022</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January 1, 2017</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LTIP - employees FY2018</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August 23, 2017</w:t>
            </w:r>
          </w:p>
        </w:tc>
        <w:tc>
          <w:tcPr>
            <w:tcW w:w="1200" w:type="dxa"/>
            <w:vAlign w:val="bottom"/>
          </w:tcPr>
          <w:p>
            <w:pPr>
              <w:jc w:val="right"/>
              <w:spacing w:after="0"/>
              <w:rPr>
                <w:sz w:val="20"/>
                <w:szCs w:val="20"/>
                <w:color w:val="auto"/>
              </w:rPr>
            </w:pPr>
            <w:r>
              <w:rPr>
                <w:rFonts w:ascii="Arial" w:cs="Arial" w:eastAsia="Arial" w:hAnsi="Arial"/>
                <w:sz w:val="17"/>
                <w:szCs w:val="17"/>
                <w:color w:val="auto"/>
              </w:rPr>
              <w:t>0.26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0.92</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January 1, 2023</w:t>
            </w:r>
          </w:p>
        </w:tc>
        <w:tc>
          <w:tcPr>
            <w:tcW w:w="1500" w:type="dxa"/>
            <w:vAlign w:val="bottom"/>
          </w:tcPr>
          <w:p>
            <w:pPr>
              <w:jc w:val="right"/>
              <w:spacing w:after="0"/>
              <w:rPr>
                <w:sz w:val="20"/>
                <w:szCs w:val="20"/>
                <w:color w:val="auto"/>
              </w:rPr>
            </w:pPr>
            <w:r>
              <w:rPr>
                <w:rFonts w:ascii="Arial" w:cs="Arial" w:eastAsia="Arial" w:hAnsi="Arial"/>
                <w:sz w:val="17"/>
                <w:szCs w:val="17"/>
                <w:color w:val="auto"/>
              </w:rPr>
              <w:t>June 30, 2018</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LTIP - employees FY2019</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April 3, 2019</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0.608</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April 3, 2023</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April 3, 2021</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FY2016</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March 7,2016</w:t>
            </w:r>
          </w:p>
        </w:tc>
        <w:tc>
          <w:tcPr>
            <w:tcW w:w="1200" w:type="dxa"/>
            <w:vAlign w:val="bottom"/>
          </w:tcPr>
          <w:p>
            <w:pPr>
              <w:jc w:val="right"/>
              <w:spacing w:after="0"/>
              <w:rPr>
                <w:sz w:val="20"/>
                <w:szCs w:val="20"/>
                <w:color w:val="auto"/>
              </w:rPr>
            </w:pPr>
            <w:r>
              <w:rPr>
                <w:rFonts w:ascii="Arial" w:cs="Arial" w:eastAsia="Arial" w:hAnsi="Arial"/>
                <w:sz w:val="17"/>
                <w:szCs w:val="17"/>
                <w:color w:val="auto"/>
              </w:rPr>
              <w:t>0.14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0.36</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March 7, 2021</w:t>
            </w:r>
          </w:p>
        </w:tc>
        <w:tc>
          <w:tcPr>
            <w:tcW w:w="1500" w:type="dxa"/>
            <w:vAlign w:val="bottom"/>
          </w:tcPr>
          <w:p>
            <w:pPr>
              <w:jc w:val="right"/>
              <w:spacing w:after="0"/>
              <w:rPr>
                <w:sz w:val="20"/>
                <w:szCs w:val="20"/>
                <w:color w:val="auto"/>
              </w:rPr>
            </w:pPr>
            <w:r>
              <w:rPr>
                <w:rFonts w:ascii="Arial" w:cs="Arial" w:eastAsia="Arial" w:hAnsi="Arial"/>
                <w:sz w:val="17"/>
                <w:szCs w:val="17"/>
                <w:color w:val="auto"/>
              </w:rPr>
              <w:t>June 30, 2016</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FY2019</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w w:val="97"/>
              </w:rPr>
              <w:t>November 29, 2018</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0.625</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w w:val="97"/>
              </w:rPr>
              <w:t>November 29, 2022</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November 29, 2019</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tcPr>
          <w:p>
            <w:pPr>
              <w:jc w:val="right"/>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3.24</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tcPr>
          <w:p>
            <w:pPr>
              <w:jc w:val="right"/>
              <w:spacing w:after="0"/>
              <w:rPr>
                <w:sz w:val="20"/>
                <w:szCs w:val="20"/>
                <w:color w:val="auto"/>
              </w:rPr>
            </w:pPr>
            <w:r>
              <w:rPr>
                <w:rFonts w:ascii="Arial" w:cs="Arial" w:eastAsia="Arial" w:hAnsi="Arial"/>
                <w:sz w:val="17"/>
                <w:szCs w:val="17"/>
                <w:color w:val="auto"/>
              </w:rPr>
              <w:t>October 12, 2020</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October 12, 2021</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tcPr>
          <w:p>
            <w:pPr>
              <w:jc w:val="right"/>
              <w:spacing w:after="0"/>
              <w:rPr>
                <w:sz w:val="20"/>
                <w:szCs w:val="20"/>
                <w:color w:val="auto"/>
              </w:rPr>
            </w:pPr>
            <w:r>
              <w:rPr>
                <w:rFonts w:ascii="Arial" w:cs="Arial" w:eastAsia="Arial" w:hAnsi="Arial"/>
                <w:sz w:val="17"/>
                <w:szCs w:val="17"/>
                <w:color w:val="auto"/>
              </w:rPr>
              <w:t>1.05</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3.24</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tcPr>
          <w:p>
            <w:pPr>
              <w:jc w:val="right"/>
              <w:spacing w:after="0"/>
              <w:rPr>
                <w:sz w:val="20"/>
                <w:szCs w:val="20"/>
                <w:color w:val="auto"/>
              </w:rPr>
            </w:pPr>
            <w:r>
              <w:rPr>
                <w:rFonts w:ascii="Arial" w:cs="Arial" w:eastAsia="Arial" w:hAnsi="Arial"/>
                <w:sz w:val="17"/>
                <w:szCs w:val="17"/>
                <w:color w:val="auto"/>
              </w:rPr>
              <w:t>October 12, 2022</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October 12, 2023</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tcPr>
          <w:p>
            <w:pPr>
              <w:jc w:val="right"/>
              <w:spacing w:after="0"/>
              <w:rPr>
                <w:sz w:val="20"/>
                <w:szCs w:val="20"/>
                <w:color w:val="auto"/>
              </w:rPr>
            </w:pPr>
            <w:r>
              <w:rPr>
                <w:rFonts w:ascii="Arial" w:cs="Arial" w:eastAsia="Arial" w:hAnsi="Arial"/>
                <w:sz w:val="17"/>
                <w:szCs w:val="17"/>
                <w:color w:val="auto"/>
              </w:rPr>
              <w:t>1.24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tcPr>
          <w:p>
            <w:pPr>
              <w:jc w:val="right"/>
              <w:spacing w:after="0"/>
              <w:rPr>
                <w:sz w:val="20"/>
                <w:szCs w:val="20"/>
                <w:color w:val="auto"/>
              </w:rPr>
            </w:pPr>
            <w:r>
              <w:rPr>
                <w:rFonts w:ascii="Arial" w:cs="Arial" w:eastAsia="Arial" w:hAnsi="Arial"/>
                <w:sz w:val="17"/>
                <w:szCs w:val="17"/>
                <w:color w:val="auto"/>
              </w:rPr>
              <w:t>October 12, 2020</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October 12, 2021</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tcPr>
          <w:p>
            <w:pPr>
              <w:jc w:val="right"/>
              <w:spacing w:after="0"/>
              <w:rPr>
                <w:sz w:val="20"/>
                <w:szCs w:val="20"/>
                <w:color w:val="auto"/>
              </w:rPr>
            </w:pPr>
            <w:r>
              <w:rPr>
                <w:rFonts w:ascii="Arial" w:cs="Arial" w:eastAsia="Arial" w:hAnsi="Arial"/>
                <w:sz w:val="17"/>
                <w:szCs w:val="17"/>
                <w:color w:val="auto"/>
              </w:rPr>
              <w:t>1.24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2.16</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tcPr>
          <w:p>
            <w:pPr>
              <w:jc w:val="right"/>
              <w:spacing w:after="0"/>
              <w:rPr>
                <w:sz w:val="20"/>
                <w:szCs w:val="20"/>
                <w:color w:val="auto"/>
              </w:rPr>
            </w:pPr>
            <w:r>
              <w:rPr>
                <w:rFonts w:ascii="Arial" w:cs="Arial" w:eastAsia="Arial" w:hAnsi="Arial"/>
                <w:sz w:val="17"/>
                <w:szCs w:val="17"/>
                <w:color w:val="auto"/>
              </w:rPr>
              <w:t>October 12, 2022</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October 12, 2020</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October 11, 2024</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October 12, 2023</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January 19, 2021</w:t>
            </w:r>
          </w:p>
        </w:tc>
        <w:tc>
          <w:tcPr>
            <w:tcW w:w="1200" w:type="dxa"/>
            <w:vAlign w:val="bottom"/>
          </w:tcPr>
          <w:p>
            <w:pPr>
              <w:jc w:val="right"/>
              <w:spacing w:after="0"/>
              <w:rPr>
                <w:sz w:val="20"/>
                <w:szCs w:val="20"/>
                <w:color w:val="auto"/>
              </w:rPr>
            </w:pPr>
            <w:r>
              <w:rPr>
                <w:rFonts w:ascii="Arial" w:cs="Arial" w:eastAsia="Arial" w:hAnsi="Arial"/>
                <w:sz w:val="17"/>
                <w:szCs w:val="17"/>
                <w:color w:val="auto"/>
              </w:rPr>
              <w:t>0.88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January 18, 2025</w:t>
            </w:r>
          </w:p>
        </w:tc>
        <w:tc>
          <w:tcPr>
            <w:tcW w:w="1500" w:type="dxa"/>
            <w:vAlign w:val="bottom"/>
          </w:tcPr>
          <w:p>
            <w:pPr>
              <w:jc w:val="right"/>
              <w:spacing w:after="0"/>
              <w:rPr>
                <w:sz w:val="20"/>
                <w:szCs w:val="20"/>
                <w:color w:val="auto"/>
              </w:rPr>
            </w:pPr>
            <w:r>
              <w:rPr>
                <w:rFonts w:ascii="Arial" w:cs="Arial" w:eastAsia="Arial" w:hAnsi="Arial"/>
                <w:sz w:val="17"/>
                <w:szCs w:val="17"/>
                <w:color w:val="auto"/>
              </w:rPr>
              <w:t>January 19, 2021</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January 19, 2021</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0.88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January 18, 2025</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January 19, 2022</w:t>
            </w:r>
          </w:p>
        </w:tc>
        <w:tc>
          <w:tcPr>
            <w:tcW w:w="0" w:type="dxa"/>
            <w:vAlign w:val="bottom"/>
          </w:tcPr>
          <w:p>
            <w:pPr>
              <w:spacing w:after="0"/>
              <w:rPr>
                <w:sz w:val="1"/>
                <w:szCs w:val="1"/>
                <w:color w:val="auto"/>
              </w:rPr>
            </w:pPr>
          </w:p>
        </w:tc>
      </w:tr>
      <w:tr>
        <w:trPr>
          <w:trHeight w:val="221"/>
        </w:trPr>
        <w:tc>
          <w:tcPr>
            <w:tcW w:w="356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tcPr>
          <w:p>
            <w:pPr>
              <w:jc w:val="right"/>
              <w:ind w:right="140"/>
              <w:spacing w:after="0"/>
              <w:rPr>
                <w:sz w:val="20"/>
                <w:szCs w:val="20"/>
                <w:color w:val="auto"/>
              </w:rPr>
            </w:pPr>
            <w:r>
              <w:rPr>
                <w:rFonts w:ascii="Arial" w:cs="Arial" w:eastAsia="Arial" w:hAnsi="Arial"/>
                <w:sz w:val="17"/>
                <w:szCs w:val="17"/>
                <w:color w:val="auto"/>
              </w:rPr>
              <w:t>January 19, 2021</w:t>
            </w:r>
          </w:p>
        </w:tc>
        <w:tc>
          <w:tcPr>
            <w:tcW w:w="1200" w:type="dxa"/>
            <w:vAlign w:val="bottom"/>
          </w:tcPr>
          <w:p>
            <w:pPr>
              <w:jc w:val="right"/>
              <w:spacing w:after="0"/>
              <w:rPr>
                <w:sz w:val="20"/>
                <w:szCs w:val="20"/>
                <w:color w:val="auto"/>
              </w:rPr>
            </w:pPr>
            <w:r>
              <w:rPr>
                <w:rFonts w:ascii="Arial" w:cs="Arial" w:eastAsia="Arial" w:hAnsi="Arial"/>
                <w:sz w:val="17"/>
                <w:szCs w:val="17"/>
                <w:color w:val="auto"/>
              </w:rPr>
              <w:t>0.88</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January 18, 2025</w:t>
            </w:r>
          </w:p>
        </w:tc>
        <w:tc>
          <w:tcPr>
            <w:tcW w:w="1500" w:type="dxa"/>
            <w:vAlign w:val="bottom"/>
          </w:tcPr>
          <w:p>
            <w:pPr>
              <w:jc w:val="right"/>
              <w:spacing w:after="0"/>
              <w:rPr>
                <w:sz w:val="20"/>
                <w:szCs w:val="20"/>
                <w:color w:val="auto"/>
              </w:rPr>
            </w:pPr>
            <w:r>
              <w:rPr>
                <w:rFonts w:ascii="Arial" w:cs="Arial" w:eastAsia="Arial" w:hAnsi="Arial"/>
                <w:sz w:val="17"/>
                <w:szCs w:val="17"/>
                <w:color w:val="auto"/>
              </w:rPr>
              <w:t>January 19, 2023</w:t>
            </w:r>
          </w:p>
        </w:tc>
        <w:tc>
          <w:tcPr>
            <w:tcW w:w="0" w:type="dxa"/>
            <w:vAlign w:val="bottom"/>
          </w:tcPr>
          <w:p>
            <w:pPr>
              <w:spacing w:after="0"/>
              <w:rPr>
                <w:sz w:val="1"/>
                <w:szCs w:val="1"/>
                <w:color w:val="auto"/>
              </w:rPr>
            </w:pPr>
          </w:p>
        </w:tc>
      </w:tr>
      <w:tr>
        <w:trPr>
          <w:trHeight w:val="221"/>
        </w:trPr>
        <w:tc>
          <w:tcPr>
            <w:tcW w:w="35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FY2021</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January 19, 2021</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0.88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January 18, 2025</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January 19, 2024</w:t>
            </w:r>
          </w:p>
        </w:tc>
        <w:tc>
          <w:tcPr>
            <w:tcW w:w="0" w:type="dxa"/>
            <w:vAlign w:val="bottom"/>
          </w:tcPr>
          <w:p>
            <w:pPr>
              <w:spacing w:after="0"/>
              <w:rPr>
                <w:sz w:val="1"/>
                <w:szCs w:val="1"/>
                <w:color w:val="auto"/>
              </w:rPr>
            </w:pPr>
          </w:p>
        </w:tc>
      </w:tr>
      <w:tr>
        <w:trPr>
          <w:trHeight w:val="624"/>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280"/>
              <w:spacing w:after="0"/>
              <w:rPr>
                <w:sz w:val="20"/>
                <w:szCs w:val="20"/>
                <w:color w:val="auto"/>
              </w:rPr>
            </w:pPr>
            <w:r>
              <w:rPr>
                <w:rFonts w:ascii="Arial" w:cs="Arial" w:eastAsia="Arial" w:hAnsi="Arial"/>
                <w:sz w:val="17"/>
                <w:szCs w:val="17"/>
                <w:color w:val="auto"/>
              </w:rPr>
              <w:t>F-35</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color w:val="auto"/>
        </w:rPr>
        <w:t>There has been no alteration of the terms and conditions of the above share</w:t>
      </w:r>
      <w:r>
        <w:rPr>
          <w:rFonts w:ascii="MS PGothic" w:cs="MS PGothic" w:eastAsia="MS PGothic" w:hAnsi="MS PGothic"/>
          <w:sz w:val="17"/>
          <w:szCs w:val="17"/>
          <w:color w:val="auto"/>
        </w:rPr>
        <w:t>‑</w:t>
      </w:r>
      <w:r>
        <w:rPr>
          <w:rFonts w:ascii="Arial" w:cs="Arial" w:eastAsia="Arial" w:hAnsi="Arial"/>
          <w:sz w:val="17"/>
          <w:szCs w:val="17"/>
          <w:color w:val="auto"/>
        </w:rPr>
        <w:t>based payment arrangements since the grant date.</w:t>
      </w:r>
    </w:p>
    <w:p>
      <w:pPr>
        <w:spacing w:after="0" w:line="324" w:lineRule="exact"/>
        <w:rPr>
          <w:sz w:val="20"/>
          <w:szCs w:val="20"/>
          <w:color w:val="auto"/>
        </w:rPr>
      </w:pPr>
    </w:p>
    <w:p>
      <w:pPr>
        <w:ind w:left="1520" w:hanging="810"/>
        <w:spacing w:after="0"/>
        <w:tabs>
          <w:tab w:leader="none" w:pos="15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Fair value of share options granted</w:t>
      </w:r>
    </w:p>
    <w:p>
      <w:pPr>
        <w:spacing w:after="0" w:line="116" w:lineRule="exact"/>
        <w:rPr>
          <w:sz w:val="20"/>
          <w:szCs w:val="20"/>
          <w:color w:val="auto"/>
        </w:rPr>
      </w:pPr>
    </w:p>
    <w:p>
      <w:pPr>
        <w:jc w:val="both"/>
        <w:ind w:firstLine="706"/>
        <w:spacing w:after="0" w:line="212" w:lineRule="exact"/>
        <w:rPr>
          <w:sz w:val="20"/>
          <w:szCs w:val="20"/>
          <w:color w:val="auto"/>
        </w:rPr>
      </w:pPr>
      <w:r>
        <w:rPr>
          <w:rFonts w:ascii="Arial" w:cs="Arial" w:eastAsia="Arial" w:hAnsi="Arial"/>
          <w:sz w:val="17"/>
          <w:szCs w:val="17"/>
          <w:color w:val="auto"/>
        </w:rPr>
        <w:t>Where relevant, the expected life used in the model has been adjusted based on management’s best estimate for the effects of non</w:t>
      </w:r>
      <w:r>
        <w:rPr>
          <w:rFonts w:ascii="MS PGothic" w:cs="MS PGothic" w:eastAsia="MS PGothic" w:hAnsi="MS PGothic"/>
          <w:sz w:val="17"/>
          <w:szCs w:val="17"/>
          <w:color w:val="auto"/>
        </w:rPr>
        <w:t>‑</w:t>
      </w:r>
      <w:r>
        <w:rPr>
          <w:rFonts w:ascii="Arial" w:cs="Arial" w:eastAsia="Arial" w:hAnsi="Arial"/>
          <w:sz w:val="17"/>
          <w:szCs w:val="17"/>
          <w:color w:val="auto"/>
        </w:rPr>
        <w:t>transferability, exercise restrictions (including the probability of meeting market conditions attached to the option), and behavioral considerations. Expected volatility is based on the historical share price volatility over the past 4 or 5 years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Grant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Fair</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Risk</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rPr>
              <w:t>date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2"/>
                <w:szCs w:val="12"/>
                <w:color w:val="auto"/>
              </w:rPr>
            </w:pP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rPr>
              <w:t>value</w:t>
            </w:r>
          </w:p>
        </w:tc>
        <w:tc>
          <w:tcPr>
            <w:tcW w:w="1120" w:type="dxa"/>
            <w:vAlign w:val="bottom"/>
            <w:gridSpan w:val="2"/>
            <w:vMerge w:val="restart"/>
          </w:tcPr>
          <w:p>
            <w:pPr>
              <w:jc w:val="right"/>
              <w:ind w:right="233"/>
              <w:spacing w:after="0"/>
              <w:rPr>
                <w:sz w:val="20"/>
                <w:szCs w:val="20"/>
                <w:color w:val="auto"/>
              </w:rPr>
            </w:pPr>
            <w:r>
              <w:rPr>
                <w:rFonts w:ascii="Arial" w:cs="Arial" w:eastAsia="Arial" w:hAnsi="Arial"/>
                <w:sz w:val="14"/>
                <w:szCs w:val="14"/>
                <w:b w:val="1"/>
                <w:bCs w:val="1"/>
                <w:color w:val="auto"/>
              </w:rPr>
              <w:t>Expected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Dividend</w:t>
            </w:r>
          </w:p>
        </w:tc>
        <w:tc>
          <w:tcPr>
            <w:tcW w:w="11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free</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Model</w:t>
            </w:r>
          </w:p>
        </w:tc>
        <w:tc>
          <w:tcPr>
            <w:tcW w:w="0" w:type="dxa"/>
            <w:vAlign w:val="bottom"/>
          </w:tcPr>
          <w:p>
            <w:pPr>
              <w:spacing w:after="0"/>
              <w:rPr>
                <w:sz w:val="1"/>
                <w:szCs w:val="1"/>
                <w:color w:val="auto"/>
              </w:rPr>
            </w:pPr>
          </w:p>
        </w:tc>
      </w:tr>
      <w:tr>
        <w:trPr>
          <w:trHeight w:val="143"/>
        </w:trPr>
        <w:tc>
          <w:tcPr>
            <w:tcW w:w="31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Options/Rights services</w:t>
            </w:r>
          </w:p>
        </w:tc>
        <w:tc>
          <w:tcPr>
            <w:tcW w:w="140" w:type="dxa"/>
            <w:vAlign w:val="bottom"/>
            <w:vMerge w:val="restart"/>
          </w:tcPr>
          <w:p>
            <w:pPr>
              <w:spacing w:after="0"/>
              <w:rPr>
                <w:sz w:val="12"/>
                <w:szCs w:val="12"/>
                <w:color w:val="auto"/>
              </w:rPr>
            </w:pPr>
          </w:p>
        </w:tc>
        <w:tc>
          <w:tcPr>
            <w:tcW w:w="90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rPr>
              <w:t>price</w:t>
            </w:r>
          </w:p>
        </w:tc>
        <w:tc>
          <w:tcPr>
            <w:tcW w:w="90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rPr>
              <w:t>per option</w:t>
            </w:r>
          </w:p>
        </w:tc>
        <w:tc>
          <w:tcPr>
            <w:tcW w:w="112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 life</w:t>
            </w:r>
          </w:p>
        </w:tc>
        <w:tc>
          <w:tcPr>
            <w:tcW w:w="14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interest</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volatility</w:t>
            </w:r>
          </w:p>
        </w:tc>
        <w:tc>
          <w:tcPr>
            <w:tcW w:w="3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yield</w:t>
            </w:r>
          </w:p>
        </w:tc>
        <w:tc>
          <w:tcPr>
            <w:tcW w:w="3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rate</w:t>
            </w:r>
          </w:p>
        </w:tc>
        <w:tc>
          <w:tcPr>
            <w:tcW w:w="3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used</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LTIP - director FY2016</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0.28</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0.14</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w:t>
            </w:r>
          </w:p>
        </w:tc>
        <w:tc>
          <w:tcPr>
            <w:tcW w:w="300" w:type="dxa"/>
            <w:vAlign w:val="bottom"/>
            <w:shd w:val="clear" w:color="auto" w:fill="CFF0FC"/>
          </w:tcPr>
          <w:p>
            <w:pPr>
              <w:jc w:val="right"/>
              <w:ind w:right="73"/>
              <w:spacing w:after="0"/>
              <w:rPr>
                <w:sz w:val="20"/>
                <w:szCs w:val="20"/>
                <w:color w:val="auto"/>
              </w:rPr>
            </w:pPr>
            <w:r>
              <w:rPr>
                <w:rFonts w:ascii="Arial" w:cs="Arial" w:eastAsia="Arial" w:hAnsi="Arial"/>
                <w:sz w:val="17"/>
                <w:szCs w:val="17"/>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 years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2.09%</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LTIP - director FY2019</w:t>
            </w:r>
          </w:p>
        </w:tc>
        <w:tc>
          <w:tcPr>
            <w:tcW w:w="760" w:type="dxa"/>
            <w:vAlign w:val="bottom"/>
          </w:tcPr>
          <w:p>
            <w:pPr>
              <w:jc w:val="right"/>
              <w:spacing w:after="0"/>
              <w:rPr>
                <w:sz w:val="20"/>
                <w:szCs w:val="20"/>
                <w:color w:val="auto"/>
              </w:rPr>
            </w:pPr>
            <w:r>
              <w:rPr>
                <w:rFonts w:ascii="Arial" w:cs="Arial" w:eastAsia="Arial" w:hAnsi="Arial"/>
                <w:sz w:val="17"/>
                <w:szCs w:val="17"/>
                <w:color w:val="auto"/>
              </w:rPr>
              <w:t>0.42</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0.63</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0.15</w:t>
            </w:r>
          </w:p>
        </w:tc>
        <w:tc>
          <w:tcPr>
            <w:tcW w:w="140" w:type="dxa"/>
            <w:vAlign w:val="bottom"/>
          </w:tcPr>
          <w:p>
            <w:pPr>
              <w:spacing w:after="0"/>
              <w:rPr>
                <w:sz w:val="19"/>
                <w:szCs w:val="19"/>
                <w:color w:val="auto"/>
              </w:rPr>
            </w:pP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58%</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 years</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2.04%</w:t>
            </w:r>
          </w:p>
        </w:tc>
        <w:tc>
          <w:tcPr>
            <w:tcW w:w="940" w:type="dxa"/>
            <w:vAlign w:val="bottom"/>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LTIP - employees FY2016</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0.54</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0.37</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0.18</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65%</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 years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2.09%</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LTIP - employees FY2018</w:t>
            </w:r>
          </w:p>
        </w:tc>
        <w:tc>
          <w:tcPr>
            <w:tcW w:w="760" w:type="dxa"/>
            <w:vAlign w:val="bottom"/>
          </w:tcPr>
          <w:p>
            <w:pPr>
              <w:jc w:val="right"/>
              <w:spacing w:after="0"/>
              <w:rPr>
                <w:sz w:val="20"/>
                <w:szCs w:val="20"/>
                <w:color w:val="auto"/>
              </w:rPr>
            </w:pPr>
            <w:r>
              <w:rPr>
                <w:rFonts w:ascii="Arial" w:cs="Arial" w:eastAsia="Arial" w:hAnsi="Arial"/>
                <w:sz w:val="17"/>
                <w:szCs w:val="17"/>
                <w:color w:val="auto"/>
              </w:rPr>
              <w:t>0.34</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0.92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0.26</w:t>
            </w:r>
          </w:p>
        </w:tc>
        <w:tc>
          <w:tcPr>
            <w:tcW w:w="140" w:type="dxa"/>
            <w:vAlign w:val="bottom"/>
          </w:tcPr>
          <w:p>
            <w:pPr>
              <w:spacing w:after="0"/>
              <w:rPr>
                <w:sz w:val="19"/>
                <w:szCs w:val="19"/>
                <w:color w:val="auto"/>
              </w:rPr>
            </w:pP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66%</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 years</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2.09%</w:t>
            </w:r>
          </w:p>
        </w:tc>
        <w:tc>
          <w:tcPr>
            <w:tcW w:w="940" w:type="dxa"/>
            <w:vAlign w:val="bottom"/>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LTIP - employees FY2019</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0.48</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0.18</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57%</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 years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2.04%</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NED Plan FY2016</w:t>
            </w:r>
          </w:p>
        </w:tc>
        <w:tc>
          <w:tcPr>
            <w:tcW w:w="760" w:type="dxa"/>
            <w:vAlign w:val="bottom"/>
          </w:tcPr>
          <w:p>
            <w:pPr>
              <w:jc w:val="right"/>
              <w:spacing w:after="0"/>
              <w:rPr>
                <w:sz w:val="20"/>
                <w:szCs w:val="20"/>
                <w:color w:val="auto"/>
              </w:rPr>
            </w:pPr>
            <w:r>
              <w:rPr>
                <w:rFonts w:ascii="Arial" w:cs="Arial" w:eastAsia="Arial" w:hAnsi="Arial"/>
                <w:sz w:val="17"/>
                <w:szCs w:val="17"/>
                <w:color w:val="auto"/>
              </w:rPr>
              <w:t>0.28</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0.36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0.14</w:t>
            </w:r>
          </w:p>
        </w:tc>
        <w:tc>
          <w:tcPr>
            <w:tcW w:w="140" w:type="dxa"/>
            <w:vAlign w:val="bottom"/>
          </w:tcPr>
          <w:p>
            <w:pPr>
              <w:spacing w:after="0"/>
              <w:rPr>
                <w:sz w:val="19"/>
                <w:szCs w:val="19"/>
                <w:color w:val="auto"/>
              </w:rPr>
            </w:pP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65%</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5 years</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2.09%</w:t>
            </w:r>
          </w:p>
        </w:tc>
        <w:tc>
          <w:tcPr>
            <w:tcW w:w="940" w:type="dxa"/>
            <w:vAlign w:val="bottom"/>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Plan FY2019</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0.42</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0.63</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0.15</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58%</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 years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2.04%</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760" w:type="dxa"/>
            <w:vAlign w:val="bottom"/>
          </w:tcPr>
          <w:p>
            <w:pPr>
              <w:jc w:val="right"/>
              <w:spacing w:after="0"/>
              <w:rPr>
                <w:sz w:val="20"/>
                <w:szCs w:val="20"/>
                <w:color w:val="auto"/>
              </w:rPr>
            </w:pPr>
            <w:r>
              <w:rPr>
                <w:rFonts w:ascii="Arial" w:cs="Arial" w:eastAsia="Arial" w:hAnsi="Arial"/>
                <w:sz w:val="17"/>
                <w:szCs w:val="17"/>
                <w:color w:val="auto"/>
              </w:rPr>
              <w:t>2.19</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2.16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w:t>
            </w:r>
          </w:p>
        </w:tc>
        <w:tc>
          <w:tcPr>
            <w:tcW w:w="140" w:type="dxa"/>
            <w:vAlign w:val="bottom"/>
          </w:tcPr>
          <w:p>
            <w:pPr>
              <w:spacing w:after="0"/>
              <w:rPr>
                <w:sz w:val="19"/>
                <w:szCs w:val="19"/>
                <w:color w:val="auto"/>
              </w:rPr>
            </w:pP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77.25%</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 years</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0.25%</w:t>
            </w:r>
          </w:p>
        </w:tc>
        <w:tc>
          <w:tcPr>
            <w:tcW w:w="940" w:type="dxa"/>
            <w:vAlign w:val="bottom"/>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NED Play FY2021</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3.24</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3"/>
              <w:spacing w:after="0"/>
              <w:rPr>
                <w:sz w:val="20"/>
                <w:szCs w:val="20"/>
                <w:color w:val="auto"/>
              </w:rPr>
            </w:pPr>
            <w:r>
              <w:rPr>
                <w:rFonts w:ascii="Arial" w:cs="Arial" w:eastAsia="Arial" w:hAnsi="Arial"/>
                <w:sz w:val="17"/>
                <w:szCs w:val="17"/>
                <w:color w:val="auto"/>
              </w:rPr>
              <w:t>77.25%</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 years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0.25%</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r>
        <w:trPr>
          <w:trHeight w:val="221"/>
        </w:trPr>
        <w:tc>
          <w:tcPr>
            <w:tcW w:w="3280" w:type="dxa"/>
            <w:vAlign w:val="bottom"/>
            <w:gridSpan w:val="2"/>
          </w:tcPr>
          <w:p>
            <w:pPr>
              <w:ind w:left="360"/>
              <w:spacing w:after="0"/>
              <w:rPr>
                <w:sz w:val="20"/>
                <w:szCs w:val="20"/>
                <w:color w:val="auto"/>
              </w:rPr>
            </w:pPr>
            <w:r>
              <w:rPr>
                <w:rFonts w:ascii="Arial" w:cs="Arial" w:eastAsia="Arial" w:hAnsi="Arial"/>
                <w:sz w:val="17"/>
                <w:szCs w:val="17"/>
                <w:color w:val="auto"/>
              </w:rPr>
              <w:t>NED Plan FY2021</w:t>
            </w:r>
          </w:p>
        </w:tc>
        <w:tc>
          <w:tcPr>
            <w:tcW w:w="760" w:type="dxa"/>
            <w:vAlign w:val="bottom"/>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0.88</w:t>
            </w:r>
          </w:p>
        </w:tc>
        <w:tc>
          <w:tcPr>
            <w:tcW w:w="140" w:type="dxa"/>
            <w:vAlign w:val="bottom"/>
          </w:tcPr>
          <w:p>
            <w:pPr>
              <w:spacing w:after="0"/>
              <w:rPr>
                <w:sz w:val="19"/>
                <w:szCs w:val="19"/>
                <w:color w:val="auto"/>
              </w:rPr>
            </w:pPr>
          </w:p>
        </w:tc>
        <w:tc>
          <w:tcPr>
            <w:tcW w:w="1120" w:type="dxa"/>
            <w:vAlign w:val="bottom"/>
            <w:gridSpan w:val="2"/>
          </w:tcPr>
          <w:p>
            <w:pPr>
              <w:jc w:val="right"/>
              <w:ind w:right="73"/>
              <w:spacing w:after="0"/>
              <w:rPr>
                <w:sz w:val="20"/>
                <w:szCs w:val="20"/>
                <w:color w:val="auto"/>
              </w:rPr>
            </w:pPr>
            <w:r>
              <w:rPr>
                <w:rFonts w:ascii="Arial" w:cs="Arial" w:eastAsia="Arial" w:hAnsi="Arial"/>
                <w:sz w:val="17"/>
                <w:szCs w:val="17"/>
                <w:color w:val="auto"/>
              </w:rPr>
              <w:t>77.01%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4 years</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0.25%</w:t>
            </w:r>
          </w:p>
        </w:tc>
        <w:tc>
          <w:tcPr>
            <w:tcW w:w="940" w:type="dxa"/>
            <w:vAlign w:val="bottom"/>
          </w:tcPr>
          <w:p>
            <w:pPr>
              <w:jc w:val="right"/>
              <w:spacing w:after="0"/>
              <w:rPr>
                <w:sz w:val="20"/>
                <w:szCs w:val="20"/>
                <w:color w:val="auto"/>
              </w:rPr>
            </w:pPr>
            <w:r>
              <w:rPr>
                <w:rFonts w:ascii="Arial" w:cs="Arial" w:eastAsia="Arial" w:hAnsi="Arial"/>
                <w:sz w:val="17"/>
                <w:szCs w:val="17"/>
                <w:color w:val="auto"/>
              </w:rPr>
              <w:t>Binomial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540" w:hanging="830"/>
        <w:spacing w:after="0"/>
        <w:tabs>
          <w:tab w:leader="none" w:pos="1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Movements in share options during the year</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reconciles the share options outstanding at the beginning and end of the year:</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74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0"/>
                <w:szCs w:val="10"/>
                <w:color w:val="auto"/>
              </w:rPr>
            </w:pPr>
          </w:p>
        </w:tc>
        <w:tc>
          <w:tcPr>
            <w:tcW w:w="12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0"/>
                <w:szCs w:val="10"/>
                <w:color w:val="auto"/>
              </w:rPr>
            </w:pPr>
          </w:p>
        </w:tc>
        <w:tc>
          <w:tcPr>
            <w:tcW w:w="12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average</w:t>
            </w:r>
          </w:p>
        </w:tc>
        <w:tc>
          <w:tcPr>
            <w:tcW w:w="1260" w:type="dxa"/>
            <w:vAlign w:val="bottom"/>
            <w:gridSpan w:val="3"/>
            <w:vMerge w:val="continue"/>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rPr>
              <w:t>average</w:t>
            </w:r>
          </w:p>
        </w:tc>
        <w:tc>
          <w:tcPr>
            <w:tcW w:w="1260" w:type="dxa"/>
            <w:vAlign w:val="bottom"/>
            <w:gridSpan w:val="3"/>
            <w:vMerge w:val="continue"/>
          </w:tcPr>
          <w:p>
            <w:pPr>
              <w:spacing w:after="0"/>
              <w:rPr>
                <w:sz w:val="12"/>
                <w:szCs w:val="12"/>
                <w:color w:val="auto"/>
              </w:rPr>
            </w:pPr>
          </w:p>
        </w:tc>
        <w:tc>
          <w:tcPr>
            <w:tcW w:w="82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right"/>
              <w:ind w:right="420"/>
              <w:spacing w:after="0" w:line="143" w:lineRule="exact"/>
              <w:rPr>
                <w:sz w:val="20"/>
                <w:szCs w:val="20"/>
                <w:color w:val="auto"/>
              </w:rPr>
            </w:pPr>
            <w:r>
              <w:rPr>
                <w:rFonts w:ascii="Arial" w:cs="Arial" w:eastAsia="Arial" w:hAnsi="Arial"/>
                <w:sz w:val="14"/>
                <w:szCs w:val="14"/>
                <w:b w:val="1"/>
                <w:bCs w:val="1"/>
                <w:color w:val="auto"/>
              </w:rPr>
              <w:t>options and</w:t>
            </w: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rPr>
              <w:t>exercise</w:t>
            </w:r>
          </w:p>
        </w:tc>
        <w:tc>
          <w:tcPr>
            <w:tcW w:w="1260" w:type="dxa"/>
            <w:vAlign w:val="bottom"/>
            <w:gridSpan w:val="3"/>
          </w:tcPr>
          <w:p>
            <w:pPr>
              <w:jc w:val="right"/>
              <w:ind w:right="380"/>
              <w:spacing w:after="0" w:line="143" w:lineRule="exact"/>
              <w:rPr>
                <w:sz w:val="20"/>
                <w:szCs w:val="20"/>
                <w:color w:val="auto"/>
              </w:rPr>
            </w:pPr>
            <w:r>
              <w:rPr>
                <w:rFonts w:ascii="Arial" w:cs="Arial" w:eastAsia="Arial" w:hAnsi="Arial"/>
                <w:sz w:val="14"/>
                <w:szCs w:val="14"/>
                <w:b w:val="1"/>
                <w:bCs w:val="1"/>
                <w:color w:val="auto"/>
              </w:rPr>
              <w:t>options and</w:t>
            </w: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rPr>
              <w:t>exercise</w:t>
            </w:r>
          </w:p>
        </w:tc>
        <w:tc>
          <w:tcPr>
            <w:tcW w:w="1260" w:type="dxa"/>
            <w:vAlign w:val="bottom"/>
            <w:gridSpan w:val="3"/>
          </w:tcPr>
          <w:p>
            <w:pPr>
              <w:jc w:val="right"/>
              <w:ind w:right="380"/>
              <w:spacing w:after="0" w:line="143" w:lineRule="exact"/>
              <w:rPr>
                <w:sz w:val="20"/>
                <w:szCs w:val="20"/>
                <w:color w:val="auto"/>
              </w:rPr>
            </w:pPr>
            <w:r>
              <w:rPr>
                <w:rFonts w:ascii="Arial" w:cs="Arial" w:eastAsia="Arial" w:hAnsi="Arial"/>
                <w:sz w:val="14"/>
                <w:szCs w:val="14"/>
                <w:b w:val="1"/>
                <w:bCs w:val="1"/>
                <w:color w:val="auto"/>
              </w:rPr>
              <w:t>options and</w:t>
            </w:r>
          </w:p>
        </w:tc>
        <w:tc>
          <w:tcPr>
            <w:tcW w:w="82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65"/>
        </w:trPr>
        <w:tc>
          <w:tcPr>
            <w:tcW w:w="4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rights</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 US$</w:t>
            </w:r>
          </w:p>
        </w:tc>
        <w:tc>
          <w:tcPr>
            <w:tcW w:w="2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rights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 US$</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rights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 US$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Balance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18,044,000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18,919,000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10,075,000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ind w:left="360"/>
              <w:spacing w:after="0"/>
              <w:rPr>
                <w:sz w:val="20"/>
                <w:szCs w:val="20"/>
                <w:color w:val="auto"/>
              </w:rPr>
            </w:pPr>
            <w:r>
              <w:rPr>
                <w:rFonts w:ascii="Arial" w:cs="Arial" w:eastAsia="Arial" w:hAnsi="Arial"/>
                <w:sz w:val="17"/>
                <w:szCs w:val="17"/>
                <w:color w:val="auto"/>
              </w:rPr>
              <w:t>Granted during the year:</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To employees and directors under the LTIP and</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NED Plan</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7,000,000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w:t>
            </w:r>
          </w:p>
        </w:tc>
        <w:tc>
          <w:tcPr>
            <w:tcW w:w="24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8,844,000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ind w:left="360"/>
              <w:spacing w:after="0"/>
              <w:rPr>
                <w:sz w:val="20"/>
                <w:szCs w:val="20"/>
                <w:color w:val="auto"/>
              </w:rPr>
            </w:pPr>
            <w:r>
              <w:rPr>
                <w:rFonts w:ascii="Arial" w:cs="Arial" w:eastAsia="Arial" w:hAnsi="Arial"/>
                <w:sz w:val="17"/>
                <w:szCs w:val="17"/>
                <w:color w:val="auto"/>
              </w:rPr>
              <w:t>Exercised during the year</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(8,400,000)</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0.36</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(875,000)</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0.37</w:t>
            </w:r>
          </w:p>
        </w:tc>
        <w:tc>
          <w:tcPr>
            <w:tcW w:w="220" w:type="dxa"/>
            <w:vAlign w:val="bottom"/>
          </w:tcPr>
          <w:p>
            <w:pPr>
              <w:spacing w:after="0"/>
              <w:rPr>
                <w:sz w:val="19"/>
                <w:szCs w:val="19"/>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46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Expired during the year</w:t>
            </w:r>
          </w:p>
        </w:tc>
        <w:tc>
          <w:tcPr>
            <w:tcW w:w="1320" w:type="dxa"/>
            <w:vAlign w:val="bottom"/>
            <w:gridSpan w:val="3"/>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CFF0FC"/>
            </w:tcBorders>
            <w:gridSpan w:val="2"/>
          </w:tcPr>
          <w:p>
            <w:pPr>
              <w:ind w:left="360"/>
              <w:spacing w:after="0"/>
              <w:rPr>
                <w:sz w:val="20"/>
                <w:szCs w:val="20"/>
                <w:color w:val="auto"/>
              </w:rPr>
            </w:pPr>
            <w:r>
              <w:rPr>
                <w:rFonts w:ascii="Arial" w:cs="Arial" w:eastAsia="Arial" w:hAnsi="Arial"/>
                <w:sz w:val="17"/>
                <w:szCs w:val="17"/>
                <w:color w:val="auto"/>
              </w:rPr>
              <w:t>Balance at end of the year</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16,644,000</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24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18,044,000</w:t>
            </w:r>
          </w:p>
        </w:tc>
        <w:tc>
          <w:tcPr>
            <w:tcW w:w="2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22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18,919,000</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Exercisable at end of year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11,394,000</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0.86</w:t>
            </w:r>
          </w:p>
        </w:tc>
        <w:tc>
          <w:tcPr>
            <w:tcW w:w="24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18,044,000</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9,905,000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share options outstanding at the end of the year had a weighted average exercise price of US $0.86 (2020: US$0.50, 2019: US$0.37) and a</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remaining contractual life of 628 days (2020: 626 days, 2019: 716 days).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6280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7"/>
          <w:szCs w:val="17"/>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32. Events After the Balance Sheet Date</w:t>
      </w:r>
    </w:p>
    <w:p>
      <w:pPr>
        <w:spacing w:after="0" w:line="330" w:lineRule="exact"/>
        <w:rPr>
          <w:sz w:val="20"/>
          <w:szCs w:val="20"/>
          <w:color w:val="auto"/>
        </w:rPr>
      </w:pPr>
    </w:p>
    <w:p>
      <w:pPr>
        <w:ind w:firstLine="706"/>
        <w:spacing w:after="0" w:line="285" w:lineRule="auto"/>
        <w:rPr>
          <w:sz w:val="20"/>
          <w:szCs w:val="20"/>
          <w:color w:val="auto"/>
        </w:rPr>
      </w:pPr>
      <w:r>
        <w:rPr>
          <w:rFonts w:ascii="Arial" w:cs="Arial" w:eastAsia="Arial" w:hAnsi="Arial"/>
          <w:sz w:val="17"/>
          <w:szCs w:val="17"/>
          <w:color w:val="auto"/>
        </w:rPr>
        <w:t>No matters or circumstances have arisen since the end of the reporting period, which significantly affected, or may significantly affect, the operations of the Group, the results of those operations, or the state of affairs of the Group in future financial years.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121"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7"/>
          <w:szCs w:val="17"/>
          <w:b w:val="1"/>
          <w:bCs w:val="1"/>
          <w:color w:val="auto"/>
        </w:rPr>
        <w:t>Exhibit 2.3</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DESCRIPTION OF SECURITIES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description of the ordinary shares of Opthea Limited (the “</w:t>
      </w:r>
      <w:r>
        <w:rPr>
          <w:rFonts w:ascii="Arial" w:cs="Arial" w:eastAsia="Arial" w:hAnsi="Arial"/>
          <w:sz w:val="17"/>
          <w:szCs w:val="17"/>
          <w:u w:val="single" w:color="auto"/>
          <w:color w:val="auto"/>
        </w:rPr>
        <w:t>Ordinary Shares</w:t>
      </w:r>
      <w:r>
        <w:rPr>
          <w:rFonts w:ascii="Arial" w:cs="Arial" w:eastAsia="Arial" w:hAnsi="Arial"/>
          <w:sz w:val="17"/>
          <w:szCs w:val="17"/>
          <w:color w:val="auto"/>
        </w:rPr>
        <w:t>”) is only a summary. We encourage you to read our constitution, which is incorporated by reference as an exhibit to our Annual Report on Form 20-F (our “</w:t>
      </w:r>
      <w:r>
        <w:rPr>
          <w:rFonts w:ascii="Arial" w:cs="Arial" w:eastAsia="Arial" w:hAnsi="Arial"/>
          <w:sz w:val="17"/>
          <w:szCs w:val="17"/>
          <w:u w:val="single" w:color="auto"/>
          <w:color w:val="auto"/>
        </w:rPr>
        <w:t>Constitution</w:t>
      </w:r>
      <w:r>
        <w:rPr>
          <w:rFonts w:ascii="Arial" w:cs="Arial" w:eastAsia="Arial" w:hAnsi="Arial"/>
          <w:sz w:val="17"/>
          <w:szCs w:val="17"/>
          <w:color w:val="auto"/>
        </w:rPr>
        <w:t>”). The “</w:t>
      </w:r>
      <w:r>
        <w:rPr>
          <w:rFonts w:ascii="Arial" w:cs="Arial" w:eastAsia="Arial" w:hAnsi="Arial"/>
          <w:sz w:val="17"/>
          <w:szCs w:val="17"/>
          <w:u w:val="single" w:color="auto"/>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we</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our</w:t>
      </w:r>
      <w:r>
        <w:rPr>
          <w:rFonts w:ascii="Arial" w:cs="Arial" w:eastAsia="Arial" w:hAnsi="Arial"/>
          <w:sz w:val="17"/>
          <w:szCs w:val="17"/>
          <w:color w:val="auto"/>
        </w:rPr>
        <w:t>” refer to Opthea Limited and its consolidated subsidiaries.</w:t>
      </w:r>
    </w:p>
    <w:p>
      <w:pPr>
        <w:spacing w:after="0" w:line="17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Subject to any restrictions on the issue of securities in our Constitution, the Corporations Act 2001 (Cth) (the “Corporations Act”) and the Australian Securities Exchange (the “ASX”) Listing Rules and any other applicable law, we may from time to time issue shares and grant options on any terms, with the rights and restrictions and for the consideration that our board of directors determine. The rights and restrictions attaching to ordinary shares are derived through a combination of our Constitution, the common law applicable in Australia, the ASX Listing Rules, the Corporations Act and other applicable law.</w:t>
      </w:r>
    </w:p>
    <w:p>
      <w:pPr>
        <w:spacing w:after="0" w:line="159" w:lineRule="exact"/>
        <w:rPr>
          <w:sz w:val="20"/>
          <w:szCs w:val="20"/>
          <w:color w:val="auto"/>
        </w:rPr>
      </w:pPr>
    </w:p>
    <w:p>
      <w:pPr>
        <w:jc w:val="both"/>
        <w:ind w:right="360"/>
        <w:spacing w:after="0" w:line="265" w:lineRule="auto"/>
        <w:rPr>
          <w:sz w:val="20"/>
          <w:szCs w:val="20"/>
          <w:color w:val="auto"/>
        </w:rPr>
      </w:pPr>
      <w:r>
        <w:rPr>
          <w:rFonts w:ascii="Arial" w:cs="Arial" w:eastAsia="Arial" w:hAnsi="Arial"/>
          <w:sz w:val="17"/>
          <w:szCs w:val="17"/>
          <w:color w:val="auto"/>
        </w:rPr>
        <w:t>American Depositary Shares (“</w:t>
      </w:r>
      <w:r>
        <w:rPr>
          <w:rFonts w:ascii="Arial" w:cs="Arial" w:eastAsia="Arial" w:hAnsi="Arial"/>
          <w:sz w:val="17"/>
          <w:szCs w:val="17"/>
          <w:u w:val="single" w:color="auto"/>
          <w:color w:val="auto"/>
        </w:rPr>
        <w:t>ADSs</w:t>
      </w:r>
      <w:r>
        <w:rPr>
          <w:rFonts w:ascii="Arial" w:cs="Arial" w:eastAsia="Arial" w:hAnsi="Arial"/>
          <w:sz w:val="17"/>
          <w:szCs w:val="17"/>
          <w:color w:val="auto"/>
        </w:rPr>
        <w:t>”) representing eight ordinary shares of Opthea (the “</w:t>
      </w:r>
      <w:r>
        <w:rPr>
          <w:rFonts w:ascii="Arial" w:cs="Arial" w:eastAsia="Arial" w:hAnsi="Arial"/>
          <w:sz w:val="17"/>
          <w:szCs w:val="17"/>
          <w:u w:val="single" w:color="auto"/>
          <w:color w:val="auto"/>
        </w:rPr>
        <w:t>shares</w:t>
      </w:r>
      <w:r>
        <w:rPr>
          <w:rFonts w:ascii="Arial" w:cs="Arial" w:eastAsia="Arial" w:hAnsi="Arial"/>
          <w:sz w:val="17"/>
          <w:szCs w:val="17"/>
          <w:color w:val="auto"/>
        </w:rPr>
        <w:t>”) are listed and traded on The Nasdaq Stock Market and, in connection with this listing (but not for trading), the shares are registered under Section 12(b) of the Exchange Act. This exhibit contains a description of the rights of (i) the holders of shares and (ii) ADS holders. Shares underlying the ADSs are held by The Bank of New York Mellon, as depositary, and holders of ADSs are not be treated as holders of the shares.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Constitution</w:t>
      </w:r>
    </w:p>
    <w:p>
      <w:pPr>
        <w:spacing w:after="0" w:line="226"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Our Constitution is similar in nature to the bylaws of a U.S. corporation. It does not provide for or prescribe any specific objectives or purposes of our company. Our Constitution is subject to the terms of the Corporations</w:t>
      </w:r>
    </w:p>
    <w:p>
      <w:pPr>
        <w:spacing w:after="0" w:line="120" w:lineRule="exact"/>
        <w:rPr>
          <w:sz w:val="20"/>
          <w:szCs w:val="20"/>
          <w:color w:val="auto"/>
        </w:rPr>
      </w:pPr>
    </w:p>
    <w:p>
      <w:pPr>
        <w:ind w:right="740"/>
        <w:spacing w:after="0" w:line="285" w:lineRule="auto"/>
        <w:rPr>
          <w:sz w:val="20"/>
          <w:szCs w:val="20"/>
          <w:color w:val="auto"/>
        </w:rPr>
      </w:pPr>
      <w:r>
        <w:rPr>
          <w:rFonts w:ascii="Arial" w:cs="Arial" w:eastAsia="Arial" w:hAnsi="Arial"/>
          <w:sz w:val="17"/>
          <w:szCs w:val="17"/>
          <w:color w:val="auto"/>
        </w:rPr>
        <w:t>Act. It may be amended or repealed and replaced by special resolution of shareholders, which is a resolution passed by at least 75% of the votes cast by shareholders (in person or by proxy) entitled to vote on the resolution.</w:t>
      </w:r>
    </w:p>
    <w:p>
      <w:pPr>
        <w:spacing w:after="0" w:line="159"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on file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Interested Directors</w:t>
      </w:r>
    </w:p>
    <w:p>
      <w:pPr>
        <w:spacing w:after="0" w:line="22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16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and the ASX Listing Rules may require shareholder approval of any provision of related party benefits to our directors, unless a relevant exception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43180</wp:posOffset>
            </wp:positionV>
            <wp:extent cx="7179310"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b w:val="1"/>
          <w:bCs w:val="1"/>
          <w:i w:val="1"/>
          <w:iCs w:val="1"/>
          <w:color w:val="auto"/>
        </w:rPr>
        <w:t>Directors’ Compensation</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non-employee directors are paid remuneration for their services as directors. Subject to the ASX Listing Rules, non-employee directors as a whole may be paid or provided remuneration for their services a total amount or value not to exceed $500,000 per annum. Subject to the ASX Listing Rules, the aggregate, capped sum for non-employee directors’ remuneration is to be divided among the directors in such proportion as the directors themselves agree and in accordance with our Constitution. The capped sum remuneration for non-employee directors may not be increased except at a general meeting of shareholders and the particulars of the proposed increase are required to have been provided to shareholders in the notice convening the meeting. In addition, our board of directors may fix the remuneration of each executive director, which may comprise salary or commission on or participation in our profits (or comprising a combination of each) as our directors determine.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Fees payable to our non-employee directors must be by way of a fixed sum and not by way of a commission on or a percentage of profits or operating revenue.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Remuneration paid to our executive directors must also not include a commission or percentage of operating revenue.</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our Constitution, any director who performs extra services or makes any special exertions, whether in going or residing abroad or otherwise for any of the purposes of the Company, that director may be paid an additional sum for those services and exertions.</w:t>
      </w:r>
    </w:p>
    <w:p>
      <w:pPr>
        <w:spacing w:after="0" w:line="159" w:lineRule="exact"/>
        <w:rPr>
          <w:sz w:val="20"/>
          <w:szCs w:val="20"/>
          <w:color w:val="auto"/>
        </w:rPr>
      </w:pPr>
    </w:p>
    <w:p>
      <w:pPr>
        <w:ind w:right="440"/>
        <w:spacing w:after="0" w:line="318" w:lineRule="auto"/>
        <w:rPr>
          <w:sz w:val="20"/>
          <w:szCs w:val="20"/>
          <w:color w:val="auto"/>
        </w:rPr>
      </w:pPr>
      <w:r>
        <w:rPr>
          <w:rFonts w:ascii="Arial" w:cs="Arial" w:eastAsia="Arial" w:hAnsi="Arial"/>
          <w:sz w:val="16"/>
          <w:szCs w:val="16"/>
          <w:color w:val="auto"/>
        </w:rPr>
        <w:t>In addition to other remuneration provided in our Constitution, all of our directors are entitled to be paid by us for all travelling and other expenses properly incurred by the directors in attending general meetings, board meetings, committee meetings or otherwise in connection with our business.</w:t>
      </w:r>
    </w:p>
    <w:p>
      <w:pPr>
        <w:spacing w:after="0" w:line="13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In addition, in accordance with our Constitution, a director may be paid a retirement benefit as determined by our board of directors subject to the requirements of the Corporations Act.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 Powers Exercisable by Directors</w:t>
      </w:r>
    </w:p>
    <w:p>
      <w:pPr>
        <w:spacing w:after="0" w:line="22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Pursuant to our Constitution, the management and control of our business affairs are vested in our board of directors. Our board of directors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of directors deems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of Directors</w:t>
      </w:r>
    </w:p>
    <w:p>
      <w:pPr>
        <w:spacing w:after="0" w:line="22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Pursuant to our Constitution, one-third of our directors, other than the managing director, must retire from office at every annual general meeting. If the number of directors is not a multiple of three, then the number nearest, to but not exceeding, one-third must retire from office. The directors who retire in this manner are required to be the directors or director longest in office since last being elected. A director, other than the managing director, must retire from office at the conclusion of the third annual general meeting after which the director was elected. A retiring director remains in office until the end of the meeting and will be eligible for re-election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 and Class of Securities (Item 9.A.5 of Form 20-F)</w:t>
      </w:r>
    </w:p>
    <w:p>
      <w:pPr>
        <w:spacing w:after="0" w:line="116"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Our outstanding share capital consists of only one class of ordinary shares. Ordinary shares are of no par value. The number of shares that have been issued as of the last day of the financial year ended June 30, 2021 is given in Note 23 ‘Contributed Equity’ in the Notes to Consolidated Financial Statements of the Form 20-F for the financial year ended June 30, 2021 (the “</w:t>
      </w:r>
      <w:r>
        <w:rPr>
          <w:rFonts w:ascii="Arial" w:cs="Arial" w:eastAsia="Arial" w:hAnsi="Arial"/>
          <w:sz w:val="17"/>
          <w:szCs w:val="17"/>
          <w:u w:val="single" w:color="auto"/>
          <w:color w:val="auto"/>
        </w:rPr>
        <w:t>Form 20-F</w:t>
      </w:r>
      <w:r>
        <w:rPr>
          <w:rFonts w:ascii="Arial" w:cs="Arial" w:eastAsia="Arial" w:hAnsi="Arial"/>
          <w:sz w:val="17"/>
          <w:szCs w:val="17"/>
          <w:color w:val="auto"/>
        </w:rPr>
        <w:t>”). Opthea Limited’s shares are uncertificated.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Preemptive Rights (Item 9.A.3 of Form 20-F)</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Ordinary shareholders do not have 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b w:val="1"/>
          <w:bCs w:val="1"/>
          <w:i w:val="1"/>
          <w:iCs w:val="1"/>
          <w:color w:val="auto"/>
        </w:rPr>
        <w:t>Limitations or Qualifications (Item 9.A.6 of Form 20-F)</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 See “Rights of the Shares” below which describes how directors may issue preference shares.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Rights (Item 9.A.7 of Form 20-F)</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Rights of the Shares (Item 10.B.3 of Form 20-F)</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rights attaching to our ordinary shares are detailed in our Constitution. Our Constitution provides that, subject to the Corporations Act, the ASX Listing Rules and our Constitution, our directors may issue shares with preferential, deferred or special rights, privileges or conditions or with any restrictions, whether in relation to dividends, voting, return of share capital, or otherwise as our board of directors may determine. Subject to the Corporations Act, the ASX Listing Rules and our Constitution, we may issue further shares on such terms and conditions as our board of directors resolve.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Rights</w:t>
      </w:r>
    </w:p>
    <w:p>
      <w:pPr>
        <w:spacing w:after="0" w:line="220"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Under the Corporations Act, a company must not pay a dividend unless (a) the company’s assets exceed its liabilities immediately before the dividend is declared and the excess is sufficient for the payment of the dividend; (b) the payment of the dividend is fair and reasonable to the company’s shareholders as a whole; and</w:t>
      </w:r>
    </w:p>
    <w:p>
      <w:pPr>
        <w:spacing w:after="0" w:line="1" w:lineRule="exact"/>
        <w:rPr>
          <w:sz w:val="20"/>
          <w:szCs w:val="20"/>
          <w:color w:val="auto"/>
        </w:rPr>
      </w:pPr>
    </w:p>
    <w:p>
      <w:pPr>
        <w:ind w:right="240" w:firstLine="4"/>
        <w:spacing w:after="0" w:line="313" w:lineRule="auto"/>
        <w:tabs>
          <w:tab w:leader="none" w:pos="235"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payment of the dividend does not materially prejudice the company’s ability to pay its creditors. Subject to this requirement, our board of directors may from time to time determine to pay and declare dividends to shareholders. All dividends unclaimed for one year after the time for payment has passed may be invested or otherwise made use of by our board of directors for our benefit until claimed or until dealt with under any law relating to unclaimed moneys.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22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Under our Constitution, and subject to any voting exclusions imposed under the ASX Listing Rules (which typically exclude parties from voting on resolutions in which they have an interest), the rights and restrictions attaching to a class of shares, each shareholder has one vote on a show of hands at a meeting of the shareholders unless a poll is demanded or required under the Constitution or the Corporations Act (including any modifications or amendments). On a poll vote, each shareholder shall have one vote for each fully paid share and a fractional vote for each share held by that shareholder that is not fully paid, such fraction being equivalent to the proportion of the amount that has been paid to such date on that share. Shareholders may vote in person or by proxy, attorney or representative. Under Australian law, shareholders of a public company are generally not permitted to approve corporate matters by written consent. Our Constitution does not provide for cumulative voting.</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Under Australian law, an ordinary resolution is passed if a majority of the votes cast on the resolution (in person or by proxy) by members entitled to vote on the resolution are in favor of the resolution. Under Australian law, a special resolution is passed if at least 75% of the votes cast on the resolution (in person or by proxy) are in favor of the resolution.</w:t>
      </w:r>
    </w:p>
    <w:p>
      <w:pPr>
        <w:spacing w:after="0" w:line="172"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ADS holders may not directly vote at a meeting of the shareholders but may instruct the depositary to vote the number of deposited ordinary shares their ADSs represent.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Right to Share in Our Profits</w:t>
      </w:r>
    </w:p>
    <w:p>
      <w:pPr>
        <w:spacing w:after="0" w:line="220"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Pursuant to our Constitution, our shareholders are entitled to participate in our profits only by payment of dividends. Our board of directors may from time to time determine to pay dividends to the shareholders. However, any such dividend may only be payable in accordance with the requirements set out in the Corporations Act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38100</wp:posOffset>
            </wp:positionV>
            <wp:extent cx="717931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i w:val="1"/>
          <w:iCs w:val="1"/>
          <w:color w:val="auto"/>
        </w:rPr>
        <w:t>Rights to Share in the Surplus in the Event of Winding Up</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Our Constitution provides for the right of shareholders to participate in a surplus in the event of our winding up, subject to the rights attaching to a class of shares.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Redemption Provision for Ordinary Shares</w:t>
      </w:r>
    </w:p>
    <w:p>
      <w:pPr>
        <w:spacing w:after="0" w:line="2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There are no redemption provisions in our Constitution in relation to ordinary shares. Under our Constitution, shares may be issued and allotted, which are liable to be redeemed.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Variation or Cancellation of Share Rights</w:t>
      </w:r>
    </w:p>
    <w:p>
      <w:pPr>
        <w:spacing w:after="0" w:line="220"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Subject to the Corporations Act, the ASX Listing Rules and the terms of issue of shares of that class, the rights and privileges attached to shares in a class of shares may only be varied or cancelled by a special resolution, together with either:</w:t>
      </w:r>
    </w:p>
    <w:p>
      <w:pPr>
        <w:spacing w:after="0" w:line="1" w:lineRule="exact"/>
        <w:rPr>
          <w:sz w:val="20"/>
          <w:szCs w:val="20"/>
          <w:color w:val="auto"/>
        </w:rPr>
      </w:pPr>
    </w:p>
    <w:p>
      <w:pPr>
        <w:ind w:left="880" w:hanging="421"/>
        <w:spacing w:after="0"/>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special resolution passed at a meeting of members holding shares in the class; or</w:t>
      </w:r>
    </w:p>
    <w:p>
      <w:pPr>
        <w:spacing w:after="0" w:line="181" w:lineRule="exact"/>
        <w:rPr>
          <w:rFonts w:ascii="Arial" w:cs="Arial" w:eastAsia="Arial" w:hAnsi="Arial"/>
          <w:sz w:val="17"/>
          <w:szCs w:val="17"/>
          <w:color w:val="auto"/>
        </w:rPr>
      </w:pPr>
    </w:p>
    <w:p>
      <w:pPr>
        <w:ind w:left="880" w:hanging="421"/>
        <w:spacing w:after="0"/>
        <w:tabs>
          <w:tab w:leader="none" w:pos="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written consent of members with at least 75% of the shares in the class.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Directors May Make Calls</w:t>
      </w:r>
    </w:p>
    <w:p>
      <w:pPr>
        <w:spacing w:after="0" w:line="220"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Our Constitution provides that subject to compliance with the Corporations Act and the terms on which partly paid shares are issued, directors may make calls on the holders of the shares for any money unpaid on them.</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Meetings of Shareholders</w:t>
      </w:r>
    </w:p>
    <w:p>
      <w:pPr>
        <w:spacing w:after="0" w:line="2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General meetings of shareholders may be called by our board of directors.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28 days prior to such meeting under the Corporations Act.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to Change the Rights of Holders of Ordinary Shares (Item 10.B.4 of Form 20-F)</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“Rights of the Shares—Variation and Cancellation of Share Rights” above.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the Rights to Own Shares (Item 10.B.6 of Form 20-F)</w:t>
      </w:r>
    </w:p>
    <w:p>
      <w:pPr>
        <w:spacing w:after="0" w:line="22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or the FATA, which generally applies to acquisitions or proposed acquisitions:</w:t>
      </w:r>
    </w:p>
    <w:p>
      <w:pPr>
        <w:spacing w:after="0" w:line="1" w:lineRule="exact"/>
        <w:rPr>
          <w:sz w:val="20"/>
          <w:szCs w:val="20"/>
          <w:color w:val="auto"/>
        </w:rPr>
      </w:pPr>
    </w:p>
    <w:p>
      <w:pPr>
        <w:ind w:left="880" w:right="40" w:hanging="421"/>
        <w:spacing w:after="0" w:line="270" w:lineRule="auto"/>
        <w:tabs>
          <w:tab w:leader="none" w:pos="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by a foreign person (as defined in the FATA) or associated foreign persons that would result in such persons having an interest in 20% or more of the issued shares of, or control of 20% or more of the voting power in, an Australian company; and</w:t>
      </w:r>
    </w:p>
    <w:p>
      <w:pPr>
        <w:spacing w:after="0" w:line="145" w:lineRule="exact"/>
        <w:rPr>
          <w:rFonts w:ascii="Arial" w:cs="Arial" w:eastAsia="Arial" w:hAnsi="Arial"/>
          <w:sz w:val="17"/>
          <w:szCs w:val="17"/>
          <w:color w:val="auto"/>
        </w:rPr>
      </w:pPr>
    </w:p>
    <w:p>
      <w:pPr>
        <w:ind w:left="880" w:right="200" w:hanging="421"/>
        <w:spacing w:after="0" w:line="270" w:lineRule="auto"/>
        <w:tabs>
          <w:tab w:leader="none" w:pos="8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by non-associated foreign persons that would result in such foreign persons having an aggregate interest in 40% or more of the issued shares of, or control of 40% or more of the voting power in, an Australian company, where the Australian company is valued above the monetary threshold prescribed by FATA.</w:t>
      </w:r>
    </w:p>
    <w:p>
      <w:pPr>
        <w:spacing w:after="0" w:line="15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However, no such review or approval under the FATA is required if the foreign acquirer is a U.S. entity or an entity from certain other free-tread agreement countries and the value of the Australian target is less than A$1,216 million for foreign acquirers from all other countries (and assuming we are not considered a sensitive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170180</wp:posOffset>
            </wp:positionV>
            <wp:extent cx="7179310"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5" w:name="page206"/>
    <w:bookmarkEnd w:id="205"/>
    <w:p>
      <w:pPr>
        <w:ind w:right="40"/>
        <w:spacing w:after="0" w:line="265" w:lineRule="auto"/>
        <w:rPr>
          <w:sz w:val="20"/>
          <w:szCs w:val="20"/>
          <w:color w:val="auto"/>
        </w:rPr>
      </w:pPr>
      <w:r>
        <w:rPr>
          <w:rFonts w:ascii="Arial" w:cs="Arial" w:eastAsia="Arial" w:hAnsi="Arial"/>
          <w:sz w:val="17"/>
          <w:szCs w:val="17"/>
          <w:color w:val="auto"/>
        </w:rPr>
        <w:t>The Australian Federal Treasurer may prevent a proposed acquisition in the above categories or impose conditions on such acquisition if the Treasurer is satisfied that the acquisition would be contrary to the national interest. If a foreign person acquires shares or an interest in shares in an Australian company in contravention of the FATA, the Australian Federal Treasurer may make a range of orders including an order the divestiture of such person’s shares or interest in shares in that Australian company.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Affecting Any Change of Control (Item 10.B.7 of Form 20-F)</w:t>
      </w:r>
    </w:p>
    <w:p>
      <w:pPr>
        <w:spacing w:after="0" w:line="220"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Takeovers of listed Australian public companies, including us, are regulated by the Corporations Act, which prohibits the acquisition of a “relevant interest” in issued voting shares in a listed company if the acquisition will lead to that person’s or someone else’s voting power in our company increasing from 20% or below to more than 20% or increasing from a starting point that is above 20% and below 90%, which we refer to as the Takeovers Prohibition, subject to a range of exceptions.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Generally, a person will have a relevant interest in securities if the person:</w:t>
      </w:r>
    </w:p>
    <w:p>
      <w:pPr>
        <w:spacing w:after="0" w:line="25" w:lineRule="exact"/>
        <w:rPr>
          <w:sz w:val="20"/>
          <w:szCs w:val="20"/>
          <w:color w:val="auto"/>
        </w:rPr>
      </w:pPr>
    </w:p>
    <w:p>
      <w:pPr>
        <w:ind w:left="880" w:hanging="421"/>
        <w:spacing w:after="0"/>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is the holder of the securities (other than if the person holds those securities as a bare trustee);</w:t>
      </w:r>
    </w:p>
    <w:p>
      <w:pPr>
        <w:spacing w:after="0" w:line="168" w:lineRule="exact"/>
        <w:rPr>
          <w:rFonts w:ascii="Arial" w:cs="Arial" w:eastAsia="Arial" w:hAnsi="Arial"/>
          <w:sz w:val="17"/>
          <w:szCs w:val="17"/>
          <w:color w:val="auto"/>
        </w:rPr>
      </w:pPr>
    </w:p>
    <w:p>
      <w:pPr>
        <w:ind w:left="880" w:hanging="421"/>
        <w:spacing w:after="0"/>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has power to exercise, or control the exercise of, a right to vote attached to the securities; or</w:t>
      </w:r>
    </w:p>
    <w:p>
      <w:pPr>
        <w:spacing w:after="0" w:line="181" w:lineRule="exact"/>
        <w:rPr>
          <w:rFonts w:ascii="Arial" w:cs="Arial" w:eastAsia="Arial" w:hAnsi="Arial"/>
          <w:sz w:val="17"/>
          <w:szCs w:val="17"/>
          <w:color w:val="auto"/>
        </w:rPr>
      </w:pPr>
    </w:p>
    <w:p>
      <w:pPr>
        <w:ind w:left="880" w:hanging="421"/>
        <w:spacing w:after="0"/>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has the power to dispose of, or control the exercise of a power to dispose of, the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If, at a particular time,</w:t>
      </w:r>
    </w:p>
    <w:p>
      <w:pPr>
        <w:spacing w:after="0" w:line="25" w:lineRule="exact"/>
        <w:rPr>
          <w:sz w:val="20"/>
          <w:szCs w:val="20"/>
          <w:color w:val="auto"/>
        </w:rPr>
      </w:pPr>
    </w:p>
    <w:p>
      <w:pPr>
        <w:ind w:left="880" w:hanging="421"/>
        <w:spacing w:after="0"/>
        <w:tabs>
          <w:tab w:leader="none" w:pos="8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has a relevant interest in issued securities; and</w:t>
      </w:r>
    </w:p>
    <w:p>
      <w:pPr>
        <w:spacing w:after="0" w:line="207" w:lineRule="exact"/>
        <w:rPr>
          <w:rFonts w:ascii="Arial" w:cs="Arial" w:eastAsia="Arial" w:hAnsi="Arial"/>
          <w:sz w:val="17"/>
          <w:szCs w:val="17"/>
          <w:color w:val="auto"/>
        </w:rPr>
      </w:pPr>
    </w:p>
    <w:p>
      <w:pPr>
        <w:ind w:left="880" w:hanging="421"/>
        <w:spacing w:after="0"/>
        <w:tabs>
          <w:tab w:leader="none" w:pos="8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person (whether before or after acquiring the relevant interest) has:</w:t>
      </w:r>
    </w:p>
    <w:p>
      <w:pPr>
        <w:spacing w:after="0" w:line="181" w:lineRule="exact"/>
        <w:rPr>
          <w:rFonts w:ascii="Arial" w:cs="Arial" w:eastAsia="Arial" w:hAnsi="Arial"/>
          <w:sz w:val="17"/>
          <w:szCs w:val="17"/>
          <w:color w:val="auto"/>
        </w:rPr>
      </w:pPr>
    </w:p>
    <w:p>
      <w:pPr>
        <w:ind w:left="1360" w:hanging="433"/>
        <w:spacing w:after="0"/>
        <w:tabs>
          <w:tab w:leader="none" w:pos="13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entered or enters into an agreement with another person with respect to the securities;</w:t>
      </w:r>
    </w:p>
    <w:p>
      <w:pPr>
        <w:spacing w:after="0" w:line="181" w:lineRule="exact"/>
        <w:rPr>
          <w:rFonts w:ascii="Arial" w:cs="Arial" w:eastAsia="Arial" w:hAnsi="Arial"/>
          <w:sz w:val="17"/>
          <w:szCs w:val="17"/>
          <w:color w:val="auto"/>
        </w:rPr>
      </w:pPr>
    </w:p>
    <w:p>
      <w:pPr>
        <w:ind w:left="1360" w:right="120" w:hanging="433"/>
        <w:spacing w:after="0" w:line="285" w:lineRule="auto"/>
        <w:tabs>
          <w:tab w:leader="none" w:pos="13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120" w:lineRule="exact"/>
        <w:rPr>
          <w:rFonts w:ascii="Arial" w:cs="Arial" w:eastAsia="Arial" w:hAnsi="Arial"/>
          <w:sz w:val="17"/>
          <w:szCs w:val="17"/>
          <w:color w:val="auto"/>
        </w:rPr>
      </w:pPr>
    </w:p>
    <w:p>
      <w:pPr>
        <w:ind w:left="1360" w:hanging="433"/>
        <w:spacing w:after="0"/>
        <w:tabs>
          <w:tab w:leader="none" w:pos="136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granted or grants an option to, or has been or is granted an option by, another person with respect to the securities; and</w:t>
      </w:r>
    </w:p>
    <w:p>
      <w:pPr>
        <w:sectPr>
          <w:pgSz w:w="11900" w:h="16838" w:orient="portrait"/>
          <w:cols w:equalWidth="0" w:num="1">
            <w:col w:w="11240"/>
          </w:cols>
          <w:pgMar w:left="320" w:top="127" w:right="33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other person would have a relevant interest in the securities if the agreement were performed, the right other person is taken to have a relevant interest in the relevant securities.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enforced or the option exercised, then the</w:t>
      </w:r>
    </w:p>
    <w:p>
      <w:pPr>
        <w:spacing w:after="0" w:line="450" w:lineRule="exact"/>
        <w:rPr>
          <w:sz w:val="20"/>
          <w:szCs w:val="20"/>
          <w:color w:val="auto"/>
        </w:rPr>
      </w:pPr>
    </w:p>
    <w:p>
      <w:pPr>
        <w:sectPr>
          <w:pgSz w:w="11900" w:h="16838" w:orient="portrait"/>
          <w:cols w:equalWidth="0" w:num="3">
            <w:col w:w="520" w:space="360"/>
            <w:col w:w="7360" w:space="120"/>
            <w:col w:w="2880"/>
          </w:cols>
          <w:pgMar w:left="320" w:top="127" w:right="339" w:bottom="1440" w:gutter="0" w:footer="0" w:header="0"/>
          <w:type w:val="continuous"/>
        </w:sectPr>
      </w:pPr>
    </w:p>
    <w:p>
      <w:pPr>
        <w:spacing w:after="0"/>
        <w:rPr>
          <w:sz w:val="20"/>
          <w:szCs w:val="20"/>
          <w:color w:val="auto"/>
        </w:rPr>
      </w:pPr>
      <w:r>
        <w:rPr>
          <w:rFonts w:ascii="Arial" w:cs="Arial" w:eastAsia="Arial" w:hAnsi="Arial"/>
          <w:sz w:val="17"/>
          <w:szCs w:val="17"/>
          <w:color w:val="auto"/>
        </w:rPr>
        <w:t>There are a number of exceptions to the Takeover Prohibition. In general terms, some of the more significant exceptions include: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when the acquisition results from the acceptance of an offer under a formal takeover bid;</w:t>
      </w:r>
    </w:p>
    <w:p>
      <w:pPr>
        <w:spacing w:after="0" w:line="220" w:lineRule="exact"/>
        <w:rPr>
          <w:sz w:val="20"/>
          <w:szCs w:val="20"/>
          <w:color w:val="auto"/>
        </w:rPr>
      </w:pPr>
    </w:p>
    <w:p>
      <w:pPr>
        <w:ind w:left="860" w:right="220" w:hanging="427"/>
        <w:spacing w:after="0" w:line="285" w:lineRule="auto"/>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acquisition is conducted on market by or on behalf of the bidder during the bid period for a full takeover bid that is unconditional or only conditional on certain ‘prescribed’ matters set out in the Corporations Act;</w:t>
      </w:r>
    </w:p>
    <w:p>
      <w:pPr>
        <w:spacing w:after="0" w:line="159" w:lineRule="exact"/>
        <w:rPr>
          <w:rFonts w:ascii="Arial" w:cs="Arial" w:eastAsia="Arial" w:hAnsi="Arial"/>
          <w:sz w:val="17"/>
          <w:szCs w:val="17"/>
          <w:color w:val="auto"/>
        </w:rPr>
      </w:pPr>
    </w:p>
    <w:p>
      <w:pPr>
        <w:ind w:left="860" w:hanging="427"/>
        <w:spacing w:after="0"/>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acquisition has been previously approved by our shareholders by resolution passed at general meeting;</w:t>
      </w:r>
    </w:p>
    <w:p>
      <w:pPr>
        <w:spacing w:after="0" w:line="220" w:lineRule="exact"/>
        <w:rPr>
          <w:rFonts w:ascii="Arial" w:cs="Arial" w:eastAsia="Arial" w:hAnsi="Arial"/>
          <w:sz w:val="17"/>
          <w:szCs w:val="17"/>
          <w:color w:val="auto"/>
        </w:rPr>
      </w:pPr>
    </w:p>
    <w:p>
      <w:pPr>
        <w:jc w:val="both"/>
        <w:ind w:left="860" w:right="80" w:hanging="427"/>
        <w:spacing w:after="0" w:line="270" w:lineRule="auto"/>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 acquisition by a person if, throughout the six months before the acquisition, that person or any other person has had voting power in our company of at least 19% and, as a result of the acquisition, none of the relevant persons would have voting power in our company more than three percentage points higher than they had six months before the acquisition;</w:t>
      </w:r>
    </w:p>
    <w:p>
      <w:pPr>
        <w:spacing w:after="0" w:line="171" w:lineRule="exact"/>
        <w:rPr>
          <w:rFonts w:ascii="Arial" w:cs="Arial" w:eastAsia="Arial" w:hAnsi="Arial"/>
          <w:sz w:val="17"/>
          <w:szCs w:val="17"/>
          <w:color w:val="auto"/>
        </w:rPr>
      </w:pPr>
    </w:p>
    <w:p>
      <w:pPr>
        <w:ind w:left="860" w:hanging="427"/>
        <w:spacing w:after="0"/>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acquisition results from the issue of securities under a rights issue;</w:t>
      </w:r>
    </w:p>
    <w:p>
      <w:pPr>
        <w:spacing w:after="0" w:line="220" w:lineRule="exact"/>
        <w:rPr>
          <w:rFonts w:ascii="Arial" w:cs="Arial" w:eastAsia="Arial" w:hAnsi="Arial"/>
          <w:sz w:val="17"/>
          <w:szCs w:val="17"/>
          <w:color w:val="auto"/>
        </w:rPr>
      </w:pPr>
    </w:p>
    <w:p>
      <w:pPr>
        <w:ind w:left="860" w:hanging="427"/>
        <w:spacing w:after="0"/>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acquisition results from the issue of securities under a dividend reinvestment scheme or bonus share plan;</w:t>
      </w:r>
    </w:p>
    <w:p>
      <w:pPr>
        <w:spacing w:after="0" w:line="24" w:lineRule="exact"/>
        <w:rPr>
          <w:rFonts w:ascii="Arial" w:cs="Arial" w:eastAsia="Arial" w:hAnsi="Arial"/>
          <w:sz w:val="17"/>
          <w:szCs w:val="17"/>
          <w:color w:val="auto"/>
        </w:rPr>
      </w:pPr>
    </w:p>
    <w:p>
      <w:pPr>
        <w:ind w:left="860" w:hanging="427"/>
        <w:spacing w:after="0"/>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acquisition results from the issue of securities under certain underwriting arrangements;</w:t>
      </w:r>
    </w:p>
    <w:p>
      <w:pPr>
        <w:spacing w:after="0" w:line="207" w:lineRule="exact"/>
        <w:rPr>
          <w:rFonts w:ascii="Arial" w:cs="Arial" w:eastAsia="Arial" w:hAnsi="Arial"/>
          <w:sz w:val="17"/>
          <w:szCs w:val="17"/>
          <w:color w:val="auto"/>
        </w:rPr>
      </w:pPr>
    </w:p>
    <w:p>
      <w:pPr>
        <w:ind w:left="860" w:hanging="427"/>
        <w:spacing w:after="0"/>
        <w:tabs>
          <w:tab w:leader="none" w:pos="8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when the acquisition results from the issue of securities through a will or through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717931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06" w:name="page207"/>
    <w:bookmarkEnd w:id="206"/>
    <w:p>
      <w:pPr>
        <w:ind w:left="860" w:right="80" w:hanging="427"/>
        <w:spacing w:after="0" w:line="285" w:lineRule="auto"/>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acquisition that arises through the acquisition of a relevant interest in another listed company which is listed on a prescribed financial market or a financial market approved by the Australian Securities and Investments Commission (“</w:t>
      </w:r>
      <w:r>
        <w:rPr>
          <w:rFonts w:ascii="Arial" w:cs="Arial" w:eastAsia="Arial" w:hAnsi="Arial"/>
          <w:sz w:val="17"/>
          <w:szCs w:val="17"/>
          <w:u w:val="single" w:color="auto"/>
          <w:color w:val="auto"/>
        </w:rPr>
        <w:t>ASIC</w:t>
      </w:r>
      <w:r>
        <w:rPr>
          <w:rFonts w:ascii="Arial" w:cs="Arial" w:eastAsia="Arial" w:hAnsi="Arial"/>
          <w:sz w:val="17"/>
          <w:szCs w:val="17"/>
          <w:color w:val="auto"/>
        </w:rPr>
        <w:t>”);</w:t>
      </w:r>
    </w:p>
    <w:p>
      <w:pPr>
        <w:spacing w:after="0" w:line="159" w:lineRule="exact"/>
        <w:rPr>
          <w:rFonts w:ascii="Arial" w:cs="Arial" w:eastAsia="Arial" w:hAnsi="Arial"/>
          <w:sz w:val="17"/>
          <w:szCs w:val="17"/>
          <w:color w:val="auto"/>
        </w:rPr>
      </w:pPr>
    </w:p>
    <w:p>
      <w:pPr>
        <w:ind w:left="860" w:hanging="427"/>
        <w:spacing w:after="0"/>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acquisition arising from an auction of forfeited shares conducted on-market; or</w:t>
      </w:r>
    </w:p>
    <w:p>
      <w:pPr>
        <w:spacing w:after="0" w:line="220" w:lineRule="exact"/>
        <w:rPr>
          <w:rFonts w:ascii="Arial" w:cs="Arial" w:eastAsia="Arial" w:hAnsi="Arial"/>
          <w:sz w:val="17"/>
          <w:szCs w:val="17"/>
          <w:color w:val="auto"/>
        </w:rPr>
      </w:pPr>
    </w:p>
    <w:p>
      <w:pPr>
        <w:ind w:left="860" w:hanging="427"/>
        <w:spacing w:after="0"/>
        <w:tabs>
          <w:tab w:leader="none" w:pos="8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acquisition arising through a compromise, arrangement, liquidation or buy-back.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Breaches of the takeovers provisions of the Corporations Act are criminal offenses. ASIC and the Australian</w:t>
      </w:r>
    </w:p>
    <w:p>
      <w:pPr>
        <w:spacing w:after="0" w:line="181" w:lineRule="exact"/>
        <w:rPr>
          <w:sz w:val="20"/>
          <w:szCs w:val="20"/>
          <w:color w:val="auto"/>
        </w:rPr>
      </w:pPr>
    </w:p>
    <w:p>
      <w:pPr>
        <w:jc w:val="both"/>
        <w:ind w:right="460"/>
        <w:spacing w:after="0" w:line="270" w:lineRule="auto"/>
        <w:rPr>
          <w:sz w:val="20"/>
          <w:szCs w:val="20"/>
          <w:color w:val="auto"/>
        </w:rPr>
      </w:pPr>
      <w:r>
        <w:rPr>
          <w:rFonts w:ascii="Arial" w:cs="Arial" w:eastAsia="Arial" w:hAnsi="Arial"/>
          <w:sz w:val="17"/>
          <w:szCs w:val="17"/>
          <w:color w:val="auto"/>
        </w:rPr>
        <w:t>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 Prohibition provided in the Corporations Act.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Ownership Threshold (Item 10.B.8 of Form 20-F)</w:t>
      </w:r>
    </w:p>
    <w:p>
      <w:pPr>
        <w:spacing w:after="0" w:line="22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There are no specific provisions in our Constitution that require a shareholder to disclose ownership above a certain threshold. The Corporations Act, however, requires a shareholder to notify us and the ASX once it, together with its associates, acquires a 5% interest in our ordinary shares, at which point the shareholder is considered to be a “substantial” shareholder. Further, once a shareholder owns (alone or together with associates) a 5% interest in us, such shareholder must notify us and the ASX of any increase or decrease of 1% or more in its holding of our ordinary shares, and must also notify us and the ASX on its ceasing to be a “substantial” shareholder.</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Differences Between the Law of Different Jurisdictions (Item 10.B.9 of Form 20-F)</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See “Rights of the Shares” above. The Australian law applicable to our Constitution is not significantly different than a U.S. company’s charter documents except we do not have a limit on our authorized share capital, the concept of par value is not recognized under Australian law.</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Capital (Item 10.B.10 of Form 20-F)</w:t>
      </w:r>
    </w:p>
    <w:p>
      <w:pPr>
        <w:spacing w:after="0" w:line="220"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Subject to our Constitution, the Corporations Act, the ASX Listing Rules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15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Subject to the requirements of our Constitution, the Corporations Act, the ASX Listing Rules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American Depositary Shares (Items 12.D.1 and 12.D.2 of Form 20-F)</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Bank of New York Mellon, as depositary, registers and delivers American Depositary Shares, or ADSs. Each ADS represents eight ordinary shares (or a right to receive eight ordinary shares) deposited with HSBC Bank Australia Limited, as custodian for the depositary in Australia. Each ADS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717931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07" w:name="page208"/>
    <w:bookmarkEnd w:id="207"/>
    <w:p>
      <w:pPr>
        <w:ind w:right="40"/>
        <w:spacing w:after="0" w:line="283" w:lineRule="auto"/>
        <w:rPr>
          <w:sz w:val="20"/>
          <w:szCs w:val="20"/>
          <w:color w:val="auto"/>
        </w:rPr>
      </w:pPr>
      <w:r>
        <w:rPr>
          <w:rFonts w:ascii="Arial" w:cs="Arial" w:eastAsia="Arial" w:hAnsi="Arial"/>
          <w:sz w:val="16"/>
          <w:szCs w:val="16"/>
          <w:color w:val="auto"/>
        </w:rPr>
        <w:t>You may hold ADSs either (A) directly (i) by having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Registered holders of uncertificated ADSs receive statements from the depositary confirming their holdings.</w:t>
      </w:r>
    </w:p>
    <w:p>
      <w:pPr>
        <w:spacing w:after="0" w:line="22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As an ADS holder, you are not treated as one of our shareholders and you do not have shareholder rights. Australian law governs shareholder rights. The depositary is the holder of the shares underlying your ADSs. As a registered holder of ADSs, you have ADS holder rights. The amended and restated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6"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color w:val="auto"/>
        </w:rPr>
        <w:t>The following is a summary of the material provisions of the deposit agreement. For more complete information, you should read the entire deposit agreement and the form of ADR, which are Exhibits 2.1 and 2.2, respectively, to our Annual Report on Form 20-F.</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and Other Distributions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you receive dividends and other distributions on the shares?</w:t>
      </w:r>
    </w:p>
    <w:p>
      <w:pPr>
        <w:spacing w:after="0" w:line="220" w:lineRule="exact"/>
        <w:rPr>
          <w:sz w:val="20"/>
          <w:szCs w:val="20"/>
          <w:color w:val="auto"/>
        </w:rPr>
      </w:pPr>
    </w:p>
    <w:p>
      <w:pPr>
        <w:ind w:right="240"/>
        <w:spacing w:after="0" w:line="355" w:lineRule="auto"/>
        <w:rPr>
          <w:sz w:val="20"/>
          <w:szCs w:val="20"/>
          <w:color w:val="auto"/>
        </w:rPr>
      </w:pPr>
      <w:r>
        <w:rPr>
          <w:rFonts w:ascii="Arial" w:cs="Arial" w:eastAsia="Arial" w:hAnsi="Arial"/>
          <w:sz w:val="15"/>
          <w:szCs w:val="15"/>
          <w:color w:val="auto"/>
        </w:rPr>
        <w:t>The depositary has agreed to pay or distribute to ADS holders the cash dividends or other distributions it or the custodian receives on shares or other deposited securities, upon payment or deduction of its fees and expenses. You receive these distributions in proportion to the number of shares your ADSs represent.</w:t>
      </w:r>
    </w:p>
    <w:p>
      <w:pPr>
        <w:spacing w:after="0" w:line="11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b w:val="1"/>
          <w:bCs w:val="1"/>
          <w:i w:val="1"/>
          <w:iCs w:val="1"/>
          <w:color w:val="auto"/>
        </w:rPr>
        <w:t>Cash</w:t>
      </w:r>
      <w:r>
        <w:rPr>
          <w:rFonts w:ascii="Arial" w:cs="Arial" w:eastAsia="Arial" w:hAnsi="Arial"/>
          <w:sz w:val="16"/>
          <w:szCs w:val="16"/>
          <w:color w:val="auto"/>
        </w:rPr>
        <w:t>. We do not expect to declare or pay any cash dividends or cash distributions on our ordinary shares for the foreseeable future. The depositary will convert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6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Before making a distribution, any withholding taxes, or other governmental charges that must be paid will be deducted. See “Item 10E—Material United States Federal Income and Australian Tax Considerations” in our Annual Report on Form 20-F. The depositary will distribute only whole U.S. dollars and cents and will round fractional cents to the nearest whole cent. </w:t>
      </w:r>
      <w:r>
        <w:rPr>
          <w:rFonts w:ascii="Arial" w:cs="Arial" w:eastAsia="Arial" w:hAnsi="Arial"/>
          <w:sz w:val="17"/>
          <w:szCs w:val="17"/>
          <w:i w:val="1"/>
          <w:iCs w:val="1"/>
          <w:color w:val="auto"/>
        </w:rPr>
        <w:t>If the exchange rates fluctuate during a time when the depositary cannot convert the foreign currency, you may</w:t>
      </w:r>
      <w:r>
        <w:rPr>
          <w:rFonts w:ascii="Arial" w:cs="Arial" w:eastAsia="Arial" w:hAnsi="Arial"/>
          <w:sz w:val="17"/>
          <w:szCs w:val="17"/>
          <w:color w:val="auto"/>
        </w:rPr>
        <w:t xml:space="preserve"> </w:t>
      </w:r>
      <w:r>
        <w:rPr>
          <w:rFonts w:ascii="Arial" w:cs="Arial" w:eastAsia="Arial" w:hAnsi="Arial"/>
          <w:sz w:val="17"/>
          <w:szCs w:val="17"/>
          <w:i w:val="1"/>
          <w:iCs w:val="1"/>
          <w:color w:val="auto"/>
        </w:rPr>
        <w:t>lose some of the value of the distribution.</w:t>
      </w:r>
    </w:p>
    <w:p>
      <w:pPr>
        <w:spacing w:after="0" w:line="176" w:lineRule="exact"/>
        <w:rPr>
          <w:sz w:val="20"/>
          <w:szCs w:val="20"/>
          <w:color w:val="auto"/>
        </w:rPr>
      </w:pPr>
    </w:p>
    <w:p>
      <w:pPr>
        <w:spacing w:after="0" w:line="311" w:lineRule="auto"/>
        <w:rPr>
          <w:sz w:val="20"/>
          <w:szCs w:val="20"/>
          <w:color w:val="auto"/>
        </w:rPr>
      </w:pPr>
      <w:r>
        <w:rPr>
          <w:rFonts w:ascii="Arial" w:cs="Arial" w:eastAsia="Arial" w:hAnsi="Arial"/>
          <w:sz w:val="15"/>
          <w:szCs w:val="15"/>
          <w:b w:val="1"/>
          <w:bCs w:val="1"/>
          <w:i w:val="1"/>
          <w:iCs w:val="1"/>
          <w:color w:val="auto"/>
        </w:rPr>
        <w:t>Shares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depositary may distribute additional ADSs representing any shares we distribute as a dividend or free distribution. The depositary will only distribute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4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b w:val="1"/>
          <w:bCs w:val="1"/>
          <w:i w:val="1"/>
          <w:iCs w:val="1"/>
          <w:color w:val="auto"/>
        </w:rPr>
        <w:t>Rights to purchase additional shares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If we offer holders of our securities any rights to subscribe for additional shares or any other rights, the depositary may (i)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unexercised. </w:t>
      </w:r>
      <w:r>
        <w:rPr>
          <w:rFonts w:ascii="Arial" w:cs="Arial" w:eastAsia="Arial" w:hAnsi="Arial"/>
          <w:sz w:val="15"/>
          <w:szCs w:val="15"/>
          <w:i w:val="1"/>
          <w:iCs w:val="1"/>
          <w:color w:val="auto"/>
        </w:rPr>
        <w:t>In that case, you will receive no value for them.</w:t>
      </w:r>
      <w:r>
        <w:rPr>
          <w:rFonts w:ascii="Arial" w:cs="Arial" w:eastAsia="Arial" w:hAnsi="Arial"/>
          <w:sz w:val="15"/>
          <w:szCs w:val="15"/>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25400</wp:posOffset>
            </wp:positionV>
            <wp:extent cx="717931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8" w:name="page209"/>
    <w:bookmarkEnd w:id="208"/>
    <w:p>
      <w:pPr>
        <w:ind w:right="80"/>
        <w:spacing w:after="0" w:line="270" w:lineRule="auto"/>
        <w:rPr>
          <w:sz w:val="20"/>
          <w:szCs w:val="20"/>
          <w:color w:val="auto"/>
        </w:rPr>
      </w:pPr>
      <w:r>
        <w:rPr>
          <w:rFonts w:ascii="Arial" w:cs="Arial" w:eastAsia="Arial" w:hAnsi="Arial"/>
          <w:sz w:val="17"/>
          <w:szCs w:val="17"/>
          <w:color w:val="auto"/>
        </w:rPr>
        <w:t>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Other Distributions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will send to ADS holders anything else we distribute on deposited securities by any means it thinks is legal, fair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81"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7"/>
          <w:szCs w:val="17"/>
          <w:i w:val="1"/>
          <w:iCs w:val="1"/>
          <w:color w:val="auto"/>
        </w:rPr>
        <w:t>This means that you may not receive the distributions we make on our shares or any value for them if it is illegal</w:t>
      </w:r>
      <w:r>
        <w:rPr>
          <w:rFonts w:ascii="Arial" w:cs="Arial" w:eastAsia="Arial" w:hAnsi="Arial"/>
          <w:sz w:val="17"/>
          <w:szCs w:val="17"/>
          <w:color w:val="auto"/>
        </w:rPr>
        <w:t xml:space="preserve"> </w:t>
      </w:r>
      <w:r>
        <w:rPr>
          <w:rFonts w:ascii="Arial" w:cs="Arial" w:eastAsia="Arial" w:hAnsi="Arial"/>
          <w:sz w:val="17"/>
          <w:szCs w:val="17"/>
          <w:i w:val="1"/>
          <w:iCs w:val="1"/>
          <w:color w:val="auto"/>
        </w:rPr>
        <w:t>or impractical for us to make them available to you</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Deposit, Withdrawal and Cancellation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are ADSs issued?</w:t>
      </w:r>
    </w:p>
    <w:p>
      <w:pPr>
        <w:spacing w:after="0" w:line="220"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depositary delivers ADSs if you or your broker deposits shares or evidence of rights to receive shares with the custodian. Upon payment of its fees and expenses and of any taxes or charges, such as stamp taxes or stock transfer taxes or fees, the depositary registers the appropriate number of ADSs in the names you request and delivers the ADSs to or upon the order of the person or persons that made the deposit.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can ADS holders withdraw the deposited securities?</w:t>
      </w:r>
    </w:p>
    <w:p>
      <w:pPr>
        <w:spacing w:after="0" w:line="22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ADS holders interchange between certificated ADSs and uncertificated ADSs?</w:t>
      </w:r>
    </w:p>
    <w:p>
      <w:pPr>
        <w:spacing w:after="0" w:line="2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you vote?</w:t>
      </w:r>
    </w:p>
    <w:p>
      <w:pPr>
        <w:spacing w:after="0" w:line="220" w:lineRule="exact"/>
        <w:rPr>
          <w:sz w:val="20"/>
          <w:szCs w:val="20"/>
          <w:color w:val="auto"/>
        </w:rPr>
      </w:pPr>
    </w:p>
    <w:p>
      <w:pPr>
        <w:jc w:val="both"/>
        <w:ind w:right="360"/>
        <w:spacing w:after="0" w:line="322" w:lineRule="auto"/>
        <w:rPr>
          <w:sz w:val="20"/>
          <w:szCs w:val="20"/>
          <w:color w:val="auto"/>
        </w:rPr>
      </w:pPr>
      <w:r>
        <w:rPr>
          <w:rFonts w:ascii="Arial" w:cs="Arial" w:eastAsia="Arial" w:hAnsi="Arial"/>
          <w:sz w:val="15"/>
          <w:szCs w:val="15"/>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16510</wp:posOffset>
            </wp:positionV>
            <wp:extent cx="717931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9" w:name="page210"/>
    <w:bookmarkEnd w:id="209"/>
    <w:p>
      <w:pPr>
        <w:spacing w:after="0" w:line="262" w:lineRule="auto"/>
        <w:rPr>
          <w:sz w:val="20"/>
          <w:szCs w:val="20"/>
          <w:color w:val="auto"/>
        </w:rPr>
      </w:pPr>
      <w:r>
        <w:rPr>
          <w:rFonts w:ascii="Arial" w:cs="Arial" w:eastAsia="Arial" w:hAnsi="Arial"/>
          <w:sz w:val="17"/>
          <w:szCs w:val="17"/>
          <w:color w:val="auto"/>
        </w:rPr>
        <w:t>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 In any event, the depositary will not exercise any discretion in voting deposited securities and it will only vote or attempt to vote as instructed.</w:t>
      </w:r>
    </w:p>
    <w:p>
      <w:pPr>
        <w:spacing w:after="0" w:line="18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w:t>
      </w:r>
      <w:r>
        <w:rPr>
          <w:rFonts w:ascii="Arial" w:cs="Arial" w:eastAsia="Arial" w:hAnsi="Arial"/>
          <w:sz w:val="16"/>
          <w:szCs w:val="16"/>
          <w:color w:val="auto"/>
        </w:rPr>
        <w:t xml:space="preserve"> </w:t>
      </w:r>
      <w:r>
        <w:rPr>
          <w:rFonts w:ascii="Arial" w:cs="Arial" w:eastAsia="Arial" w:hAnsi="Arial"/>
          <w:sz w:val="16"/>
          <w:szCs w:val="16"/>
          <w:i w:val="1"/>
          <w:iCs w:val="1"/>
          <w:color w:val="auto"/>
        </w:rPr>
        <w:t>may not be able to exercise voting rights and there may be nothing you can do if your shares are not voted as you requested.</w:t>
      </w:r>
    </w:p>
    <w:p>
      <w:pPr>
        <w:spacing w:after="0" w:line="15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Except by instructing the depositary as described above, you will not be able to exercise voting rights unless you surrender your ADSs and withdraw the shares.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However, you may not know about the meeting enough in advance to withdraw the shares.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Tender and Exchange Offers; Redemption, Replacement or Cancellation of Deposited Securities</w:t>
      </w:r>
    </w:p>
    <w:p>
      <w:pPr>
        <w:spacing w:after="0" w:line="22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33" w:lineRule="exact"/>
        <w:rPr>
          <w:sz w:val="20"/>
          <w:szCs w:val="20"/>
          <w:color w:val="auto"/>
        </w:rPr>
      </w:pPr>
    </w:p>
    <w:p>
      <w:pPr>
        <w:ind w:right="240"/>
        <w:spacing w:after="0" w:line="355" w:lineRule="auto"/>
        <w:rPr>
          <w:sz w:val="20"/>
          <w:szCs w:val="20"/>
          <w:color w:val="auto"/>
        </w:rPr>
      </w:pPr>
      <w:r>
        <w:rPr>
          <w:rFonts w:ascii="Arial" w:cs="Arial" w:eastAsia="Arial" w:hAnsi="Arial"/>
          <w:sz w:val="15"/>
          <w:szCs w:val="15"/>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1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63" w:lineRule="exact"/>
        <w:rPr>
          <w:sz w:val="20"/>
          <w:szCs w:val="20"/>
          <w:color w:val="auto"/>
        </w:rPr>
      </w:pPr>
    </w:p>
    <w:p>
      <w:pPr>
        <w:ind w:right="180"/>
        <w:spacing w:after="0" w:line="355" w:lineRule="auto"/>
        <w:rPr>
          <w:sz w:val="20"/>
          <w:szCs w:val="20"/>
          <w:color w:val="auto"/>
        </w:rPr>
      </w:pPr>
      <w:r>
        <w:rPr>
          <w:rFonts w:ascii="Arial" w:cs="Arial" w:eastAsia="Arial" w:hAnsi="Arial"/>
          <w:sz w:val="15"/>
          <w:szCs w:val="15"/>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13" w:lineRule="exact"/>
        <w:rPr>
          <w:sz w:val="20"/>
          <w:szCs w:val="20"/>
          <w:color w:val="auto"/>
        </w:rPr>
      </w:pPr>
    </w:p>
    <w:p>
      <w:pPr>
        <w:ind w:right="440"/>
        <w:spacing w:after="0" w:line="318"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and Termination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may the deposit agreement be amended?</w:t>
      </w:r>
    </w:p>
    <w:p>
      <w:pPr>
        <w:spacing w:after="0" w:line="220"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 to agree to the amendment and to be bound by</w:t>
      </w:r>
      <w:r>
        <w:rPr>
          <w:rFonts w:ascii="Arial" w:cs="Arial" w:eastAsia="Arial" w:hAnsi="Arial"/>
          <w:sz w:val="17"/>
          <w:szCs w:val="17"/>
          <w:color w:val="auto"/>
        </w:rPr>
        <w:t xml:space="preserve"> </w:t>
      </w:r>
      <w:r>
        <w:rPr>
          <w:rFonts w:ascii="Arial" w:cs="Arial" w:eastAsia="Arial" w:hAnsi="Arial"/>
          <w:sz w:val="17"/>
          <w:szCs w:val="17"/>
          <w:i w:val="1"/>
          <w:iCs w:val="1"/>
          <w:color w:val="auto"/>
        </w:rPr>
        <w:t>the ADRs and the deposit agreement as amended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717931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0" w:name="page211"/>
    <w:bookmarkEnd w:id="210"/>
    <w:p>
      <w:pPr>
        <w:spacing w:after="0"/>
        <w:rPr>
          <w:sz w:val="20"/>
          <w:szCs w:val="20"/>
          <w:color w:val="auto"/>
        </w:rPr>
      </w:pPr>
      <w:r>
        <w:rPr>
          <w:rFonts w:ascii="Arial" w:cs="Arial" w:eastAsia="Arial" w:hAnsi="Arial"/>
          <w:sz w:val="17"/>
          <w:szCs w:val="17"/>
          <w:b w:val="1"/>
          <w:bCs w:val="1"/>
          <w:i w:val="1"/>
          <w:iCs w:val="1"/>
          <w:color w:val="auto"/>
        </w:rPr>
        <w:t>How may the deposit agreement be terminated?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depositary will initiate termination of the deposit agreement if we instruct it to do so. The depositary may initiate termination of the deposit agreement if</w:t>
      </w:r>
    </w:p>
    <w:p>
      <w:pPr>
        <w:spacing w:after="0" w:line="36" w:lineRule="exact"/>
        <w:rPr>
          <w:sz w:val="20"/>
          <w:szCs w:val="20"/>
          <w:color w:val="auto"/>
        </w:rPr>
      </w:pPr>
    </w:p>
    <w:p>
      <w:pPr>
        <w:ind w:left="640" w:hanging="181"/>
        <w:spacing w:after="0"/>
        <w:tabs>
          <w:tab w:leader="none" w:pos="6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30" w:lineRule="exact"/>
        <w:rPr>
          <w:rFonts w:ascii="Arial" w:cs="Arial" w:eastAsia="Arial" w:hAnsi="Arial"/>
          <w:sz w:val="15"/>
          <w:szCs w:val="15"/>
          <w:color w:val="auto"/>
        </w:rPr>
      </w:pPr>
    </w:p>
    <w:p>
      <w:pPr>
        <w:ind w:left="640" w:right="120" w:hanging="181"/>
        <w:spacing w:after="0" w:line="285" w:lineRule="auto"/>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59" w:lineRule="exact"/>
        <w:rPr>
          <w:rFonts w:ascii="Arial" w:cs="Arial" w:eastAsia="Arial" w:hAnsi="Arial"/>
          <w:sz w:val="17"/>
          <w:szCs w:val="17"/>
          <w:color w:val="auto"/>
        </w:rPr>
      </w:pPr>
    </w:p>
    <w:p>
      <w:pPr>
        <w:ind w:left="640" w:right="300" w:hanging="181"/>
        <w:spacing w:after="0" w:line="285" w:lineRule="auto"/>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delist our shares from an exchange outside the United States on which they were listed and do not list the shares on another exchange outside the United States;</w:t>
      </w:r>
    </w:p>
    <w:p>
      <w:pPr>
        <w:spacing w:after="0" w:line="159" w:lineRule="exact"/>
        <w:rPr>
          <w:rFonts w:ascii="Arial" w:cs="Arial" w:eastAsia="Arial" w:hAnsi="Arial"/>
          <w:sz w:val="17"/>
          <w:szCs w:val="17"/>
          <w:color w:val="auto"/>
        </w:rPr>
      </w:pPr>
    </w:p>
    <w:p>
      <w:pPr>
        <w:ind w:left="640" w:hanging="181"/>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depositary has reason to believe the ADSs have become, or will become, ineligible for registration on Form F-6 under the Securities Act;</w:t>
      </w:r>
    </w:p>
    <w:p>
      <w:pPr>
        <w:spacing w:after="0" w:line="24" w:lineRule="exact"/>
        <w:rPr>
          <w:rFonts w:ascii="Arial" w:cs="Arial" w:eastAsia="Arial" w:hAnsi="Arial"/>
          <w:sz w:val="17"/>
          <w:szCs w:val="17"/>
          <w:color w:val="auto"/>
        </w:rPr>
      </w:pPr>
    </w:p>
    <w:p>
      <w:pPr>
        <w:ind w:left="640" w:hanging="181"/>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appear to be insolvent or enter insolvency proceedings;</w:t>
      </w:r>
    </w:p>
    <w:p>
      <w:pPr>
        <w:spacing w:after="0" w:line="207" w:lineRule="exact"/>
        <w:rPr>
          <w:rFonts w:ascii="Arial" w:cs="Arial" w:eastAsia="Arial" w:hAnsi="Arial"/>
          <w:sz w:val="17"/>
          <w:szCs w:val="17"/>
          <w:color w:val="auto"/>
        </w:rPr>
      </w:pPr>
    </w:p>
    <w:p>
      <w:pPr>
        <w:ind w:left="640" w:hanging="181"/>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all or substantially all the value of the deposited securities has been distributed either in cash or in the form of securities;</w:t>
      </w:r>
    </w:p>
    <w:p>
      <w:pPr>
        <w:spacing w:after="0" w:line="220" w:lineRule="exact"/>
        <w:rPr>
          <w:rFonts w:ascii="Arial" w:cs="Arial" w:eastAsia="Arial" w:hAnsi="Arial"/>
          <w:sz w:val="17"/>
          <w:szCs w:val="17"/>
          <w:color w:val="auto"/>
        </w:rPr>
      </w:pPr>
    </w:p>
    <w:p>
      <w:pPr>
        <w:ind w:left="640" w:hanging="181"/>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81" w:lineRule="exact"/>
        <w:rPr>
          <w:rFonts w:ascii="Arial" w:cs="Arial" w:eastAsia="Arial" w:hAnsi="Arial"/>
          <w:sz w:val="17"/>
          <w:szCs w:val="17"/>
          <w:color w:val="auto"/>
        </w:rPr>
      </w:pPr>
    </w:p>
    <w:p>
      <w:pPr>
        <w:ind w:left="640" w:hanging="181"/>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there has been a replacement of deposited securities.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3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Obligations and Liability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our Obligations and the Obligations of the Depositary; Limits on Liability to Holders of ADSs</w:t>
      </w:r>
    </w:p>
    <w:p>
      <w:pPr>
        <w:spacing w:after="0" w:line="22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The deposit agreement expressly limits our obligations and the obligations of the depositary. It also limits our liability and the liability of the depositary. We and the depositary:</w:t>
      </w:r>
    </w:p>
    <w:p>
      <w:pPr>
        <w:spacing w:after="0" w:line="1" w:lineRule="exact"/>
        <w:rPr>
          <w:sz w:val="20"/>
          <w:szCs w:val="20"/>
          <w:color w:val="auto"/>
        </w:rPr>
      </w:pPr>
    </w:p>
    <w:p>
      <w:pPr>
        <w:ind w:left="860" w:right="500" w:hanging="427"/>
        <w:spacing w:after="0" w:line="270" w:lineRule="auto"/>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are only obligated to take the actions specifically set forth in the deposit agreement without negligence or bad faith, and the depositary is not a fiduciary nor has any fiduciary duty to holders of ADSs;</w:t>
      </w:r>
    </w:p>
    <w:p>
      <w:pPr>
        <w:spacing w:after="0" w:line="171" w:lineRule="exact"/>
        <w:rPr>
          <w:rFonts w:ascii="Arial" w:cs="Arial" w:eastAsia="Arial" w:hAnsi="Arial"/>
          <w:sz w:val="17"/>
          <w:szCs w:val="17"/>
          <w:color w:val="auto"/>
        </w:rPr>
      </w:pPr>
    </w:p>
    <w:p>
      <w:pPr>
        <w:ind w:left="860" w:right="460" w:hanging="427"/>
        <w:spacing w:after="0" w:line="285" w:lineRule="auto"/>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33" w:lineRule="exact"/>
        <w:rPr>
          <w:rFonts w:ascii="Arial" w:cs="Arial" w:eastAsia="Arial" w:hAnsi="Arial"/>
          <w:sz w:val="17"/>
          <w:szCs w:val="17"/>
          <w:color w:val="auto"/>
        </w:rPr>
      </w:pPr>
    </w:p>
    <w:p>
      <w:pPr>
        <w:ind w:left="860" w:hanging="427"/>
        <w:spacing w:after="0"/>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are not liable if we or it exercises discretion permitted under the deposit agreement;</w:t>
      </w:r>
    </w:p>
    <w:p>
      <w:pPr>
        <w:spacing w:after="0" w:line="207" w:lineRule="exact"/>
        <w:rPr>
          <w:rFonts w:ascii="Arial" w:cs="Arial" w:eastAsia="Arial" w:hAnsi="Arial"/>
          <w:sz w:val="17"/>
          <w:szCs w:val="17"/>
          <w:color w:val="auto"/>
        </w:rPr>
      </w:pPr>
    </w:p>
    <w:p>
      <w:pPr>
        <w:ind w:left="860" w:right="160" w:hanging="427"/>
        <w:spacing w:after="0" w:line="270" w:lineRule="auto"/>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71" w:lineRule="exact"/>
        <w:rPr>
          <w:rFonts w:ascii="Arial" w:cs="Arial" w:eastAsia="Arial" w:hAnsi="Arial"/>
          <w:sz w:val="17"/>
          <w:szCs w:val="17"/>
          <w:color w:val="auto"/>
        </w:rPr>
      </w:pPr>
    </w:p>
    <w:p>
      <w:pPr>
        <w:ind w:left="860" w:right="140" w:hanging="427"/>
        <w:spacing w:after="0" w:line="285" w:lineRule="auto"/>
        <w:tabs>
          <w:tab w:leader="none" w:pos="8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have no obligation to become involved in a lawsuit or other proceeding related to the ADSs or the deposit agreement on your behalf or on behalf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30480</wp:posOffset>
            </wp:positionV>
            <wp:extent cx="7179310"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11" w:name="page212"/>
    <w:bookmarkEnd w:id="211"/>
    <w:p>
      <w:pPr>
        <w:ind w:left="860" w:hanging="427"/>
        <w:spacing w:after="0"/>
        <w:tabs>
          <w:tab w:leader="none" w:pos="8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192" w:lineRule="exact"/>
        <w:rPr>
          <w:rFonts w:ascii="Arial" w:cs="Arial" w:eastAsia="Arial" w:hAnsi="Arial"/>
          <w:sz w:val="16"/>
          <w:szCs w:val="16"/>
          <w:color w:val="auto"/>
        </w:rPr>
      </w:pPr>
    </w:p>
    <w:p>
      <w:pPr>
        <w:ind w:left="860" w:hanging="427"/>
        <w:spacing w:after="0"/>
        <w:tabs>
          <w:tab w:leader="none" w:pos="8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are not liable for the acts or omissions of any securities depository, clearing agency or settlement system; and</w:t>
      </w:r>
    </w:p>
    <w:p>
      <w:pPr>
        <w:spacing w:after="0" w:line="220" w:lineRule="exact"/>
        <w:rPr>
          <w:rFonts w:ascii="Arial" w:cs="Arial" w:eastAsia="Arial" w:hAnsi="Arial"/>
          <w:sz w:val="17"/>
          <w:szCs w:val="17"/>
          <w:color w:val="auto"/>
        </w:rPr>
      </w:pPr>
    </w:p>
    <w:p>
      <w:pPr>
        <w:ind w:left="860" w:right="20" w:hanging="427"/>
        <w:spacing w:after="0" w:line="294" w:lineRule="auto"/>
        <w:tabs>
          <w:tab w:leader="none" w:pos="8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In the deposit agreement, we and the depositary agree to indemnify each other under certain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Requirements for Depositary Actions</w:t>
      </w:r>
    </w:p>
    <w:p>
      <w:pPr>
        <w:spacing w:after="0" w:line="226" w:lineRule="exact"/>
        <w:rPr>
          <w:sz w:val="20"/>
          <w:szCs w:val="20"/>
          <w:color w:val="auto"/>
        </w:rPr>
      </w:pPr>
    </w:p>
    <w:p>
      <w:pPr>
        <w:ind w:left="460" w:right="340" w:hanging="454"/>
        <w:spacing w:after="0" w:line="270" w:lineRule="auto"/>
        <w:rPr>
          <w:sz w:val="20"/>
          <w:szCs w:val="20"/>
          <w:color w:val="auto"/>
        </w:rPr>
      </w:pPr>
      <w:r>
        <w:rPr>
          <w:rFonts w:ascii="Arial" w:cs="Arial" w:eastAsia="Arial" w:hAnsi="Arial"/>
          <w:sz w:val="17"/>
          <w:szCs w:val="17"/>
          <w:color w:val="auto"/>
        </w:rPr>
        <w:t>Before the depositary delivers or registers a transfer of ADSs, makes a distribution on ADSs, or permits withdrawal of shares, the depositary may require: •payment of stock transfer or other taxes or other governmental charges and transfer or registration fees charged by third parties for the transfer of any shares or other deposited securities;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•satisfactory proof of the identity and genuineness of any signature or other information it deems necessary; and</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compliance with regulations it may establish, from time to time, consistent with the deposit agreement, including presentation of transfer documents.</w:t>
      </w:r>
    </w:p>
    <w:p>
      <w:pPr>
        <w:spacing w:after="0" w:line="19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The depositary may refuse to deliver ADSs or register transfers of ADSs when the transfer books of the depositary or our transfer books are closed or at any time if the depositary or we think it advisable to do so.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Right to Receive the Shares Underlying your ADSs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ADS holders have the right to cancel their ADSs and withdraw the underlying shares at any time except:</w:t>
      </w:r>
    </w:p>
    <w:p>
      <w:pPr>
        <w:spacing w:after="0" w:line="25" w:lineRule="exact"/>
        <w:rPr>
          <w:sz w:val="20"/>
          <w:szCs w:val="20"/>
          <w:color w:val="auto"/>
        </w:rPr>
      </w:pPr>
    </w:p>
    <w:p>
      <w:pPr>
        <w:ind w:left="520" w:right="280" w:hanging="64"/>
        <w:spacing w:after="0" w:line="270" w:lineRule="auto"/>
        <w:rPr>
          <w:sz w:val="20"/>
          <w:szCs w:val="20"/>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you owe money to pay fees, taxes and similar charges; or</w:t>
      </w:r>
    </w:p>
    <w:p>
      <w:pPr>
        <w:spacing w:after="0" w:line="207" w:lineRule="exact"/>
        <w:rPr>
          <w:sz w:val="20"/>
          <w:szCs w:val="20"/>
          <w:color w:val="auto"/>
        </w:rPr>
      </w:pPr>
    </w:p>
    <w:p>
      <w:pPr>
        <w:ind w:left="520" w:right="300" w:hanging="64"/>
        <w:spacing w:after="0" w:line="285" w:lineRule="auto"/>
        <w:rPr>
          <w:sz w:val="20"/>
          <w:szCs w:val="20"/>
          <w:color w:val="auto"/>
        </w:rPr>
      </w:pPr>
      <w:r>
        <w:rPr>
          <w:rFonts w:ascii="Arial" w:cs="Arial" w:eastAsia="Arial" w:hAnsi="Arial"/>
          <w:sz w:val="17"/>
          <w:szCs w:val="17"/>
          <w:color w:val="auto"/>
        </w:rPr>
        <w:t>•when it is necessary to prohibit withdrawals in order to comply with any laws or governmental regulations that apply to ADSs or to the withdrawal of shares or other deposited securities.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This right of withdrawal may not be limited by any other provision of the deposit agreement.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 Registration System</w:t>
      </w:r>
    </w:p>
    <w:p>
      <w:pPr>
        <w:spacing w:after="0" w:line="22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the deposit agreement, all parties to the deposit agreement acknowledge that the Direct Registration System, also referred to as DRS, and Profile Modification System, also referred to as Profile, applies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In connection with and in accordance with the arrangements and procedures relating to DRS/Profile, the parties to the deposit agreement understand that the depositary does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30480</wp:posOffset>
            </wp:positionV>
            <wp:extent cx="717931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212" w:name="page213"/>
    <w:bookmarkEnd w:id="212"/>
    <w:p>
      <w:pPr>
        <w:ind w:right="240"/>
        <w:spacing w:after="0" w:line="285" w:lineRule="auto"/>
        <w:rPr>
          <w:sz w:val="20"/>
          <w:szCs w:val="20"/>
          <w:color w:val="auto"/>
        </w:rPr>
      </w:pPr>
      <w:r>
        <w:rPr>
          <w:rFonts w:ascii="Arial" w:cs="Arial" w:eastAsia="Arial" w:hAnsi="Arial"/>
          <w:sz w:val="17"/>
          <w:szCs w:val="17"/>
          <w:color w:val="auto"/>
        </w:rPr>
        <w:t>and compliance with instructions received by the depositary through the DRS/Profile system and in accordance with the deposit agreement does not constitute negligence or bad faith on the part of the depositary.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Communications; Inspection of Register of Holders of ADSs</w:t>
      </w:r>
    </w:p>
    <w:p>
      <w:pPr>
        <w:spacing w:after="0" w:line="226"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The depositary makes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holder of ADSs may be required from time to time to provide certain information, including proof of taxpayer status, residence and beneficial ownership (as applicable), from time to time and in a timely manner as we, the depositary or the custodian may deem necessary or proper to fulfill obligations under applicable law.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Jury Trial Waiver</w:t>
      </w:r>
    </w:p>
    <w:p>
      <w:pPr>
        <w:spacing w:after="0" w:line="226"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are not, by agreeing to the terms of the deposit agreement, deemed to have waived our or the depositary’s compliance with U.S. federal securities laws or the rules and regulations promulgated thereunder.</w:t>
      </w:r>
    </w:p>
    <w:p>
      <w:pPr>
        <w:sectPr>
          <w:pgSz w:w="11900" w:h="16838" w:orient="portrait"/>
          <w:cols w:equalWidth="0" w:num="1">
            <w:col w:w="11220"/>
          </w:cols>
          <w:pgMar w:left="320" w:top="127" w:right="359" w:bottom="1440" w:gutter="0" w:footer="0" w:header="0"/>
        </w:sectPr>
      </w:pPr>
    </w:p>
    <w:bookmarkStart w:id="213" w:name="page214"/>
    <w:bookmarkEnd w:id="213"/>
    <w:p>
      <w:pPr>
        <w:jc w:val="right"/>
        <w:spacing w:after="0"/>
        <w:rPr>
          <w:sz w:val="20"/>
          <w:szCs w:val="20"/>
          <w:color w:val="auto"/>
        </w:rPr>
      </w:pPr>
      <w:r>
        <w:rPr>
          <w:rFonts w:ascii="Arial" w:cs="Arial" w:eastAsia="Arial" w:hAnsi="Arial"/>
          <w:sz w:val="19"/>
          <w:szCs w:val="19"/>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769620</wp:posOffset>
            </wp:positionV>
            <wp:extent cx="71374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142875</wp:posOffset>
            </wp:positionV>
            <wp:extent cx="1980565" cy="4705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1980565"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Executive Employment Contract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Opthea Limited</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ACN 32 006 340 567</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Ms Karen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40182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4018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 #1328149-v3\AUSKMB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57150</wp:posOffset>
            </wp:positionV>
            <wp:extent cx="717931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98" w:right="339" w:bottom="1440" w:gutter="0" w:footer="0" w:header="0"/>
        </w:sectPr>
      </w:pPr>
    </w:p>
    <w:bookmarkStart w:id="214" w:name="page215"/>
    <w:bookmarkEnd w:id="214"/>
    <w:p>
      <w:pPr>
        <w:spacing w:after="0"/>
        <w:rPr>
          <w:sz w:val="20"/>
          <w:szCs w:val="20"/>
          <w:color w:val="auto"/>
        </w:rPr>
      </w:pPr>
      <w:r>
        <w:rPr>
          <w:rFonts w:ascii="Arial" w:cs="Arial" w:eastAsia="Arial" w:hAnsi="Arial"/>
          <w:sz w:val="21"/>
          <w:szCs w:val="21"/>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9"/>
                <w:szCs w:val="19"/>
                <w:b w:val="1"/>
                <w:bCs w:val="1"/>
                <w:color w:val="auto"/>
              </w:rPr>
              <w:t>Clause</w:t>
            </w:r>
          </w:p>
        </w:tc>
        <w:tc>
          <w:tcPr>
            <w:tcW w:w="71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252"/>
        </w:trPr>
        <w:tc>
          <w:tcPr>
            <w:tcW w:w="980" w:type="dxa"/>
            <w:vAlign w:val="bottom"/>
          </w:tcPr>
          <w:p>
            <w:pPr>
              <w:spacing w:after="0"/>
              <w:rPr>
                <w:sz w:val="20"/>
                <w:szCs w:val="20"/>
                <w:color w:val="auto"/>
              </w:rPr>
            </w:pPr>
            <w:r>
              <w:rPr>
                <w:rFonts w:ascii="Arial" w:cs="Arial" w:eastAsia="Arial" w:hAnsi="Arial"/>
                <w:sz w:val="19"/>
                <w:szCs w:val="19"/>
                <w:b w:val="1"/>
                <w:bCs w:val="1"/>
                <w:color w:val="auto"/>
              </w:rPr>
              <w:t>Number</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Heading</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Dictionary</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1</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2</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The Position</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3</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Commencement, Probation Period and Term</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4</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Location of Employment</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5</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Travel</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6</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Conduct and Performance</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2</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7</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Warranties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8</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Conflicts of Interest</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9</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Hours of Work</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10</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Remuneration Package</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4</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11</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Refund of expenses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12</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Leave entitlements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13</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Policies and Procedures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14</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Anti-discrimination and Harassment</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6</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15</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Termination</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6</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16</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Appointment to and Resignation from Offices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17</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Suspension</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18</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Confidential Information</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8</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19</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Inventions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20</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Post-Employment Restrictions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21</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Entire Agreement</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22</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No Representations and Warranties</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9</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23</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Governing Law and Jurisdiction</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10</w:t>
            </w:r>
          </w:p>
        </w:tc>
      </w:tr>
      <w:tr>
        <w:trPr>
          <w:trHeight w:val="325"/>
        </w:trPr>
        <w:tc>
          <w:tcPr>
            <w:tcW w:w="980" w:type="dxa"/>
            <w:vAlign w:val="bottom"/>
          </w:tcPr>
          <w:p>
            <w:pPr>
              <w:spacing w:after="0"/>
              <w:rPr>
                <w:sz w:val="20"/>
                <w:szCs w:val="20"/>
                <w:color w:val="auto"/>
              </w:rPr>
            </w:pPr>
            <w:r>
              <w:rPr>
                <w:rFonts w:ascii="Arial" w:cs="Arial" w:eastAsia="Arial" w:hAnsi="Arial"/>
                <w:sz w:val="19"/>
                <w:szCs w:val="19"/>
                <w:b w:val="1"/>
                <w:bCs w:val="1"/>
                <w:color w:val="auto"/>
              </w:rPr>
              <w:t>24</w:t>
            </w: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Independent Legal Advice</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10</w:t>
            </w:r>
          </w:p>
        </w:tc>
      </w:tr>
      <w:tr>
        <w:trPr>
          <w:trHeight w:val="330"/>
        </w:trPr>
        <w:tc>
          <w:tcPr>
            <w:tcW w:w="980" w:type="dxa"/>
            <w:vAlign w:val="bottom"/>
          </w:tcPr>
          <w:p>
            <w:pPr>
              <w:spacing w:after="0"/>
              <w:rPr>
                <w:sz w:val="24"/>
                <w:szCs w:val="24"/>
                <w:color w:val="auto"/>
              </w:rPr>
            </w:pP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Schedule A</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12</w:t>
            </w:r>
          </w:p>
        </w:tc>
      </w:tr>
      <w:tr>
        <w:trPr>
          <w:trHeight w:val="254"/>
        </w:trPr>
        <w:tc>
          <w:tcPr>
            <w:tcW w:w="980" w:type="dxa"/>
            <w:vAlign w:val="bottom"/>
          </w:tcPr>
          <w:p>
            <w:pPr>
              <w:spacing w:after="0"/>
              <w:rPr>
                <w:sz w:val="22"/>
                <w:szCs w:val="22"/>
                <w:color w:val="auto"/>
              </w:rPr>
            </w:pPr>
          </w:p>
        </w:tc>
        <w:tc>
          <w:tcPr>
            <w:tcW w:w="7120" w:type="dxa"/>
            <w:vAlign w:val="bottom"/>
          </w:tcPr>
          <w:p>
            <w:pPr>
              <w:ind w:left="260"/>
              <w:spacing w:after="0"/>
              <w:rPr>
                <w:sz w:val="20"/>
                <w:szCs w:val="20"/>
                <w:color w:val="auto"/>
              </w:rPr>
            </w:pPr>
            <w:r>
              <w:rPr>
                <w:rFonts w:ascii="Arial" w:cs="Arial" w:eastAsia="Arial" w:hAnsi="Arial"/>
                <w:sz w:val="19"/>
                <w:szCs w:val="19"/>
                <w:color w:val="auto"/>
              </w:rPr>
              <w:t>Job Description</w:t>
            </w:r>
          </w:p>
        </w:tc>
        <w:tc>
          <w:tcPr>
            <w:tcW w:w="314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330"/>
        </w:trPr>
        <w:tc>
          <w:tcPr>
            <w:tcW w:w="980" w:type="dxa"/>
            <w:vAlign w:val="bottom"/>
          </w:tcPr>
          <w:p>
            <w:pPr>
              <w:spacing w:after="0"/>
              <w:rPr>
                <w:sz w:val="24"/>
                <w:szCs w:val="24"/>
                <w:color w:val="auto"/>
              </w:rPr>
            </w:pPr>
          </w:p>
        </w:tc>
        <w:tc>
          <w:tcPr>
            <w:tcW w:w="7120" w:type="dxa"/>
            <w:vAlign w:val="bottom"/>
          </w:tcPr>
          <w:p>
            <w:pPr>
              <w:ind w:left="260"/>
              <w:spacing w:after="0"/>
              <w:rPr>
                <w:sz w:val="20"/>
                <w:szCs w:val="20"/>
                <w:color w:val="auto"/>
              </w:rPr>
            </w:pPr>
            <w:r>
              <w:rPr>
                <w:rFonts w:ascii="Arial" w:cs="Arial" w:eastAsia="Arial" w:hAnsi="Arial"/>
                <w:sz w:val="19"/>
                <w:szCs w:val="19"/>
                <w:b w:val="1"/>
                <w:bCs w:val="1"/>
                <w:color w:val="auto"/>
              </w:rPr>
              <w:t>Appendix 1</w:t>
            </w:r>
          </w:p>
        </w:tc>
        <w:tc>
          <w:tcPr>
            <w:tcW w:w="3140" w:type="dxa"/>
            <w:vAlign w:val="bottom"/>
          </w:tcPr>
          <w:p>
            <w:pPr>
              <w:jc w:val="right"/>
              <w:spacing w:after="0"/>
              <w:rPr>
                <w:sz w:val="20"/>
                <w:szCs w:val="20"/>
                <w:color w:val="auto"/>
              </w:rPr>
            </w:pPr>
            <w:r>
              <w:rPr>
                <w:rFonts w:ascii="Arial" w:cs="Arial" w:eastAsia="Arial" w:hAnsi="Arial"/>
                <w:sz w:val="19"/>
                <w:szCs w:val="19"/>
                <w:b w:val="1"/>
                <w:bCs w:val="1"/>
                <w:color w:val="auto"/>
              </w:rPr>
              <w:t>15</w:t>
            </w:r>
          </w:p>
        </w:tc>
      </w:tr>
      <w:tr>
        <w:trPr>
          <w:trHeight w:val="254"/>
        </w:trPr>
        <w:tc>
          <w:tcPr>
            <w:tcW w:w="980" w:type="dxa"/>
            <w:vAlign w:val="bottom"/>
          </w:tcPr>
          <w:p>
            <w:pPr>
              <w:spacing w:after="0"/>
              <w:rPr>
                <w:sz w:val="22"/>
                <w:szCs w:val="22"/>
                <w:color w:val="auto"/>
              </w:rPr>
            </w:pPr>
          </w:p>
        </w:tc>
        <w:tc>
          <w:tcPr>
            <w:tcW w:w="7120" w:type="dxa"/>
            <w:vAlign w:val="bottom"/>
          </w:tcPr>
          <w:p>
            <w:pPr>
              <w:ind w:left="260"/>
              <w:spacing w:after="0"/>
              <w:rPr>
                <w:sz w:val="20"/>
                <w:szCs w:val="20"/>
                <w:color w:val="auto"/>
              </w:rPr>
            </w:pPr>
            <w:r>
              <w:rPr>
                <w:rFonts w:ascii="Arial" w:cs="Arial" w:eastAsia="Arial" w:hAnsi="Arial"/>
                <w:sz w:val="19"/>
                <w:szCs w:val="19"/>
                <w:color w:val="auto"/>
              </w:rPr>
              <w:t>Employee Secrecy and Confidentiality Agreement</w:t>
            </w:r>
          </w:p>
        </w:tc>
        <w:tc>
          <w:tcPr>
            <w:tcW w:w="3140" w:type="dxa"/>
            <w:vAlign w:val="bottom"/>
          </w:tcPr>
          <w:p>
            <w:pPr>
              <w:jc w:val="right"/>
              <w:spacing w:after="0"/>
              <w:rPr>
                <w:sz w:val="20"/>
                <w:szCs w:val="20"/>
                <w:color w:val="auto"/>
              </w:rPr>
            </w:pPr>
            <w:r>
              <w:rPr>
                <w:rFonts w:ascii="Arial" w:cs="Arial" w:eastAsia="Arial" w:hAnsi="Arial"/>
                <w:sz w:val="19"/>
                <w:szCs w:val="19"/>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i</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215" w:name="page216"/>
    <w:bookmarkEnd w:id="215"/>
    <w:p>
      <w:pPr>
        <w:spacing w:after="0"/>
        <w:rPr>
          <w:sz w:val="20"/>
          <w:szCs w:val="20"/>
          <w:color w:val="auto"/>
        </w:rPr>
      </w:pPr>
      <w:r>
        <w:rPr>
          <w:rFonts w:ascii="Arial" w:cs="Arial" w:eastAsia="Arial" w:hAnsi="Arial"/>
          <w:sz w:val="24"/>
          <w:szCs w:val="24"/>
          <w:b w:val="1"/>
          <w:bCs w:val="1"/>
          <w:color w:val="auto"/>
        </w:rPr>
        <w:t>Date</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28 April 2021</w:t>
      </w:r>
    </w:p>
    <w:p>
      <w:pPr>
        <w:spacing w:after="0" w:line="353" w:lineRule="exact"/>
        <w:rPr>
          <w:sz w:val="20"/>
          <w:szCs w:val="20"/>
          <w:color w:val="auto"/>
        </w:rPr>
      </w:pPr>
    </w:p>
    <w:p>
      <w:pPr>
        <w:ind w:right="520"/>
        <w:spacing w:after="0" w:line="322" w:lineRule="auto"/>
        <w:rPr>
          <w:sz w:val="20"/>
          <w:szCs w:val="20"/>
          <w:color w:val="auto"/>
        </w:rPr>
      </w:pPr>
      <w:r>
        <w:rPr>
          <w:rFonts w:ascii="Arial" w:cs="Arial" w:eastAsia="Arial" w:hAnsi="Arial"/>
          <w:sz w:val="19"/>
          <w:szCs w:val="19"/>
          <w:b w:val="1"/>
          <w:bCs w:val="1"/>
          <w:color w:val="auto"/>
        </w:rPr>
        <w:t xml:space="preserve">Opthea Limited, ACN 32 006 340 567of Level 4/650 Chapel Street South Yarra, Vic, Australia 3142 </w:t>
      </w:r>
      <w:r>
        <w:rPr>
          <w:rFonts w:ascii="Arial" w:cs="Arial" w:eastAsia="Arial" w:hAnsi="Arial"/>
          <w:sz w:val="19"/>
          <w:szCs w:val="19"/>
          <w:i w:val="1"/>
          <w:iCs w:val="1"/>
          <w:color w:val="auto"/>
        </w:rPr>
        <w:t>(Employer)</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Ms Karen Adams of 1-2 Monroe Court, Narre Warren North, Vic, 3804 </w:t>
      </w:r>
      <w:r>
        <w:rPr>
          <w:rFonts w:ascii="Arial" w:cs="Arial" w:eastAsia="Arial" w:hAnsi="Arial"/>
          <w:sz w:val="19"/>
          <w:szCs w:val="19"/>
          <w:color w:val="auto"/>
        </w:rPr>
        <w:t>(</w:t>
      </w:r>
      <w:r>
        <w:rPr>
          <w:rFonts w:ascii="Arial" w:cs="Arial" w:eastAsia="Arial" w:hAnsi="Arial"/>
          <w:sz w:val="19"/>
          <w:szCs w:val="19"/>
          <w:i w:val="1"/>
          <w:iCs w:val="1"/>
          <w:color w:val="auto"/>
        </w:rPr>
        <w:t>Executive</w:t>
      </w: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1280" w:space="720"/>
            <w:col w:w="9240"/>
          </w:cols>
          <w:pgMar w:left="320" w:top="402" w:right="33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Recitals</w:t>
      </w:r>
    </w:p>
    <w:p>
      <w:pPr>
        <w:spacing w:after="0" w:line="203" w:lineRule="exact"/>
        <w:rPr>
          <w:sz w:val="20"/>
          <w:szCs w:val="20"/>
          <w:color w:val="auto"/>
        </w:rPr>
      </w:pPr>
    </w:p>
    <w:p>
      <w:pPr>
        <w:ind w:left="1180" w:hanging="1176"/>
        <w:spacing w:after="0"/>
        <w:tabs>
          <w:tab w:leader="none" w:pos="118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This contract sets out the terms and conditions under which the Executive is employed by the Employer.</w:t>
      </w:r>
    </w:p>
    <w:p>
      <w:pPr>
        <w:spacing w:after="0" w:line="197" w:lineRule="exact"/>
        <w:rPr>
          <w:rFonts w:ascii="Arial" w:cs="Arial" w:eastAsia="Arial" w:hAnsi="Arial"/>
          <w:sz w:val="19"/>
          <w:szCs w:val="19"/>
          <w:color w:val="auto"/>
        </w:rPr>
      </w:pPr>
    </w:p>
    <w:p>
      <w:pPr>
        <w:ind w:left="1180" w:hanging="1176"/>
        <w:spacing w:after="0"/>
        <w:tabs>
          <w:tab w:leader="none" w:pos="118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This contract overrides any previous representations or understanding between the Employer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300990</wp:posOffset>
            </wp:positionV>
            <wp:extent cx="71374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880" w:hanging="876"/>
        <w:spacing w:after="0"/>
        <w:tabs>
          <w:tab w:leader="none" w:pos="88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color w:val="auto"/>
        </w:rPr>
        <w:t>Dictionary</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For the purpose of this contract, the following terms have the meanings set out below.</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ASX </w:t>
      </w:r>
      <w:r>
        <w:rPr>
          <w:rFonts w:ascii="Arial" w:cs="Arial" w:eastAsia="Arial" w:hAnsi="Arial"/>
          <w:sz w:val="19"/>
          <w:szCs w:val="19"/>
          <w:color w:val="auto"/>
        </w:rPr>
        <w:t>means the Australian Securities Exchange.</w:t>
      </w:r>
    </w:p>
    <w:p>
      <w:pPr>
        <w:spacing w:after="0" w:line="158" w:lineRule="exact"/>
        <w:rPr>
          <w:sz w:val="20"/>
          <w:szCs w:val="20"/>
          <w:color w:val="auto"/>
        </w:rPr>
      </w:pPr>
    </w:p>
    <w:p>
      <w:pPr>
        <w:ind w:left="880" w:right="300"/>
        <w:spacing w:after="0" w:line="251" w:lineRule="auto"/>
        <w:rPr>
          <w:sz w:val="20"/>
          <w:szCs w:val="20"/>
          <w:color w:val="auto"/>
        </w:rPr>
      </w:pPr>
      <w:r>
        <w:rPr>
          <w:rFonts w:ascii="Arial" w:cs="Arial" w:eastAsia="Arial" w:hAnsi="Arial"/>
          <w:sz w:val="19"/>
          <w:szCs w:val="19"/>
          <w:b w:val="1"/>
          <w:bCs w:val="1"/>
          <w:i w:val="1"/>
          <w:iCs w:val="1"/>
          <w:color w:val="auto"/>
        </w:rPr>
        <w:t xml:space="preserve">Confidential Information </w:t>
      </w:r>
      <w:r>
        <w:rPr>
          <w:rFonts w:ascii="Arial" w:cs="Arial" w:eastAsia="Arial" w:hAnsi="Arial"/>
          <w:sz w:val="19"/>
          <w:szCs w:val="19"/>
          <w:color w:val="auto"/>
        </w:rPr>
        <w:t>means information acquired or developed by the Executive in the course of the Employment which is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already in the public domain otherwise than by breach of this contract by the Executive, including all drug development related information, whether such information is in written, printed, electronic or other form, including all copies of such information, and including the following types of information.</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Document </w:t>
      </w:r>
      <w:r>
        <w:rPr>
          <w:rFonts w:ascii="Arial" w:cs="Arial" w:eastAsia="Arial" w:hAnsi="Arial"/>
          <w:sz w:val="19"/>
          <w:szCs w:val="19"/>
          <w:color w:val="auto"/>
        </w:rPr>
        <w:t>means any record of information (including an electronic record).</w:t>
      </w:r>
    </w:p>
    <w:p>
      <w:pPr>
        <w:spacing w:after="0" w:line="158" w:lineRule="exact"/>
        <w:rPr>
          <w:sz w:val="20"/>
          <w:szCs w:val="20"/>
          <w:color w:val="auto"/>
        </w:rPr>
      </w:pPr>
    </w:p>
    <w:p>
      <w:pPr>
        <w:ind w:left="880" w:right="80"/>
        <w:spacing w:after="0" w:line="251" w:lineRule="auto"/>
        <w:rPr>
          <w:sz w:val="20"/>
          <w:szCs w:val="20"/>
          <w:color w:val="auto"/>
        </w:rPr>
      </w:pPr>
      <w:r>
        <w:rPr>
          <w:rFonts w:ascii="Arial" w:cs="Arial" w:eastAsia="Arial" w:hAnsi="Arial"/>
          <w:sz w:val="19"/>
          <w:szCs w:val="19"/>
          <w:b w:val="1"/>
          <w:bCs w:val="1"/>
          <w:i w:val="1"/>
          <w:iCs w:val="1"/>
          <w:color w:val="auto"/>
        </w:rPr>
        <w:t xml:space="preserve">Employee Entitlements </w:t>
      </w:r>
      <w:r>
        <w:rPr>
          <w:rFonts w:ascii="Arial" w:cs="Arial" w:eastAsia="Arial" w:hAnsi="Arial"/>
          <w:sz w:val="19"/>
          <w:szCs w:val="19"/>
          <w:color w:val="auto"/>
        </w:rPr>
        <w:t>means all entitlements and benefits generally arising out of or in connection with employment or the provision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services attracting such benefits, including, but not limited to, salary overtime, penalty rates, bonuses, incentives, commissions, annual leave, long service leave, redundancy payments, notice and/or other termination benefits, superannuation, tax withholding and/or any other similar entitlement or benefit or contingent obligation or liability.</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Employment </w:t>
      </w:r>
      <w:r>
        <w:rPr>
          <w:rFonts w:ascii="Arial" w:cs="Arial" w:eastAsia="Arial" w:hAnsi="Arial"/>
          <w:sz w:val="19"/>
          <w:szCs w:val="19"/>
          <w:color w:val="auto"/>
        </w:rPr>
        <w:t>means the employment of the Executive by the Employer in accordance with the terms of this contract.</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Group </w:t>
      </w:r>
      <w:r>
        <w:rPr>
          <w:rFonts w:ascii="Arial" w:cs="Arial" w:eastAsia="Arial" w:hAnsi="Arial"/>
          <w:sz w:val="19"/>
          <w:szCs w:val="19"/>
          <w:color w:val="auto"/>
        </w:rPr>
        <w:t>means the Employer and its Related Bodies Corporate.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Group Member </w:t>
      </w:r>
      <w:r>
        <w:rPr>
          <w:rFonts w:ascii="Arial" w:cs="Arial" w:eastAsia="Arial" w:hAnsi="Arial"/>
          <w:sz w:val="19"/>
          <w:szCs w:val="19"/>
          <w:color w:val="auto"/>
        </w:rPr>
        <w:t>means any member of the Group.</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Group Personnel </w:t>
      </w:r>
      <w:r>
        <w:rPr>
          <w:rFonts w:ascii="Arial" w:cs="Arial" w:eastAsia="Arial" w:hAnsi="Arial"/>
          <w:sz w:val="19"/>
          <w:szCs w:val="19"/>
          <w:color w:val="auto"/>
        </w:rPr>
        <w:t>means any director, officer, employee or contractor of any Group Member.</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LTIP </w:t>
      </w:r>
      <w:r>
        <w:rPr>
          <w:rFonts w:ascii="Arial" w:cs="Arial" w:eastAsia="Arial" w:hAnsi="Arial"/>
          <w:sz w:val="19"/>
          <w:szCs w:val="19"/>
          <w:color w:val="auto"/>
        </w:rPr>
        <w:t>means long-term incentive plan, employee share option plan or equivalent equity incentive plan.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i w:val="1"/>
          <w:iCs w:val="1"/>
          <w:color w:val="auto"/>
        </w:rPr>
        <w:t xml:space="preserve">Related Body Corporate </w:t>
      </w:r>
      <w:r>
        <w:rPr>
          <w:rFonts w:ascii="Arial" w:cs="Arial" w:eastAsia="Arial" w:hAnsi="Arial"/>
          <w:sz w:val="19"/>
          <w:szCs w:val="19"/>
          <w:color w:val="auto"/>
        </w:rPr>
        <w:t>has the same meaning as that set out in section 50 of the Corporations Act 2001 (Cth).</w:t>
      </w:r>
    </w:p>
    <w:p>
      <w:pPr>
        <w:spacing w:after="0" w:line="356"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216" w:name="page217"/>
    <w:bookmarkEnd w:id="216"/>
    <w:p>
      <w:pPr>
        <w:spacing w:after="0"/>
        <w:tabs>
          <w:tab w:leader="none" w:pos="8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color w:val="auto"/>
        </w:rPr>
        <w:t>Other terms may be specially defined elsewhere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276225</wp:posOffset>
            </wp:positionV>
            <wp:extent cx="71374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880" w:hanging="876"/>
        <w:spacing w:after="0"/>
        <w:tabs>
          <w:tab w:leader="none" w:pos="880"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color w:val="auto"/>
        </w:rPr>
        <w:t>The Position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2.1</w:t>
            </w:r>
          </w:p>
        </w:tc>
        <w:tc>
          <w:tcPr>
            <w:tcW w:w="10560" w:type="dxa"/>
            <w:vAlign w:val="bottom"/>
          </w:tcPr>
          <w:p>
            <w:pPr>
              <w:ind w:left="320"/>
              <w:spacing w:after="0"/>
              <w:rPr>
                <w:sz w:val="20"/>
                <w:szCs w:val="20"/>
                <w:color w:val="auto"/>
              </w:rPr>
            </w:pPr>
            <w:r>
              <w:rPr>
                <w:rFonts w:ascii="Arial" w:cs="Arial" w:eastAsia="Arial" w:hAnsi="Arial"/>
                <w:sz w:val="19"/>
                <w:szCs w:val="19"/>
                <w:color w:val="auto"/>
                <w:w w:val="92"/>
              </w:rPr>
              <w:t>The Executive will be employed in the position of Vice President Finance (Australia) and interim Company Secretary (</w:t>
            </w:r>
            <w:r>
              <w:rPr>
                <w:rFonts w:ascii="Arial" w:cs="Arial" w:eastAsia="Arial" w:hAnsi="Arial"/>
                <w:sz w:val="19"/>
                <w:szCs w:val="19"/>
                <w:b w:val="1"/>
                <w:bCs w:val="1"/>
                <w:i w:val="1"/>
                <w:iCs w:val="1"/>
                <w:color w:val="auto"/>
                <w:w w:val="92"/>
              </w:rPr>
              <w:t>the Position</w:t>
            </w:r>
            <w:r>
              <w:rPr>
                <w:rFonts w:ascii="Arial" w:cs="Arial" w:eastAsia="Arial" w:hAnsi="Arial"/>
                <w:sz w:val="19"/>
                <w:szCs w:val="19"/>
                <w:color w:val="auto"/>
                <w:w w:val="92"/>
              </w:rPr>
              <w:t>).</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2.2</w:t>
            </w:r>
          </w:p>
        </w:tc>
        <w:tc>
          <w:tcPr>
            <w:tcW w:w="10560" w:type="dxa"/>
            <w:vAlign w:val="bottom"/>
          </w:tcPr>
          <w:p>
            <w:pPr>
              <w:ind w:left="320"/>
              <w:spacing w:after="0"/>
              <w:rPr>
                <w:sz w:val="20"/>
                <w:szCs w:val="20"/>
                <w:color w:val="auto"/>
              </w:rPr>
            </w:pPr>
            <w:r>
              <w:rPr>
                <w:rFonts w:ascii="Arial" w:cs="Arial" w:eastAsia="Arial" w:hAnsi="Arial"/>
                <w:sz w:val="19"/>
                <w:szCs w:val="19"/>
                <w:color w:val="auto"/>
                <w:w w:val="92"/>
              </w:rPr>
              <w:t>In the Position the Executive will report directly to the Chief Executive Officer of the Employer and to such other persons or positions</w:t>
            </w:r>
          </w:p>
        </w:tc>
      </w:tr>
      <w:tr>
        <w:trPr>
          <w:trHeight w:val="242"/>
        </w:trPr>
        <w:tc>
          <w:tcPr>
            <w:tcW w:w="560" w:type="dxa"/>
            <w:vAlign w:val="bottom"/>
          </w:tcPr>
          <w:p>
            <w:pPr>
              <w:spacing w:after="0"/>
              <w:rPr>
                <w:sz w:val="21"/>
                <w:szCs w:val="21"/>
                <w:color w:val="auto"/>
              </w:rPr>
            </w:pPr>
          </w:p>
        </w:tc>
        <w:tc>
          <w:tcPr>
            <w:tcW w:w="10560" w:type="dxa"/>
            <w:vAlign w:val="bottom"/>
          </w:tcPr>
          <w:p>
            <w:pPr>
              <w:ind w:left="320"/>
              <w:spacing w:after="0"/>
              <w:rPr>
                <w:sz w:val="20"/>
                <w:szCs w:val="20"/>
                <w:color w:val="auto"/>
              </w:rPr>
            </w:pPr>
            <w:r>
              <w:rPr>
                <w:rFonts w:ascii="Arial" w:cs="Arial" w:eastAsia="Arial" w:hAnsi="Arial"/>
                <w:sz w:val="19"/>
                <w:szCs w:val="19"/>
                <w:color w:val="auto"/>
              </w:rPr>
              <w:t>as may be reasonably nominated by the Chief Executive Officer, such as the Chief Financial Officer.</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2.3</w:t>
            </w:r>
          </w:p>
        </w:tc>
        <w:tc>
          <w:tcPr>
            <w:tcW w:w="10560" w:type="dxa"/>
            <w:vAlign w:val="bottom"/>
          </w:tcPr>
          <w:p>
            <w:pPr>
              <w:ind w:left="320"/>
              <w:spacing w:after="0"/>
              <w:rPr>
                <w:sz w:val="20"/>
                <w:szCs w:val="20"/>
                <w:color w:val="auto"/>
              </w:rPr>
            </w:pPr>
            <w:r>
              <w:rPr>
                <w:rFonts w:ascii="Arial" w:cs="Arial" w:eastAsia="Arial" w:hAnsi="Arial"/>
                <w:sz w:val="19"/>
                <w:szCs w:val="19"/>
                <w:color w:val="auto"/>
                <w:w w:val="98"/>
              </w:rPr>
              <w:t xml:space="preserve">A description of the duties and responsibilities of the Position is set out in </w:t>
            </w:r>
            <w:r>
              <w:rPr>
                <w:rFonts w:ascii="Arial" w:cs="Arial" w:eastAsia="Arial" w:hAnsi="Arial"/>
                <w:sz w:val="19"/>
                <w:szCs w:val="19"/>
                <w:b w:val="1"/>
                <w:bCs w:val="1"/>
                <w:color w:val="auto"/>
                <w:w w:val="98"/>
              </w:rPr>
              <w:t>Schedule A</w:t>
            </w:r>
            <w:r>
              <w:rPr>
                <w:rFonts w:ascii="Arial" w:cs="Arial" w:eastAsia="Arial" w:hAnsi="Arial"/>
                <w:sz w:val="19"/>
                <w:szCs w:val="19"/>
                <w:color w:val="auto"/>
                <w:w w:val="98"/>
              </w:rPr>
              <w:t>. This description is not intended to be</w:t>
            </w:r>
          </w:p>
        </w:tc>
      </w:tr>
      <w:tr>
        <w:trPr>
          <w:trHeight w:val="215"/>
        </w:trPr>
        <w:tc>
          <w:tcPr>
            <w:tcW w:w="560" w:type="dxa"/>
            <w:vAlign w:val="bottom"/>
          </w:tcPr>
          <w:p>
            <w:pPr>
              <w:spacing w:after="0"/>
              <w:rPr>
                <w:sz w:val="18"/>
                <w:szCs w:val="18"/>
                <w:color w:val="auto"/>
              </w:rPr>
            </w:pPr>
          </w:p>
        </w:tc>
        <w:tc>
          <w:tcPr>
            <w:tcW w:w="10560" w:type="dxa"/>
            <w:vAlign w:val="bottom"/>
          </w:tcPr>
          <w:p>
            <w:pPr>
              <w:ind w:left="320"/>
              <w:spacing w:after="0" w:line="215" w:lineRule="exact"/>
              <w:rPr>
                <w:sz w:val="20"/>
                <w:szCs w:val="20"/>
                <w:color w:val="auto"/>
              </w:rPr>
            </w:pPr>
            <w:r>
              <w:rPr>
                <w:rFonts w:ascii="Arial" w:cs="Arial" w:eastAsia="Arial" w:hAnsi="Arial"/>
                <w:sz w:val="19"/>
                <w:szCs w:val="19"/>
                <w:color w:val="auto"/>
                <w:w w:val="91"/>
              </w:rPr>
              <w:t>exhaustive and the Employer may require the Executive to perform other reasonable duties in addition to or instead of those set out in</w:t>
            </w:r>
          </w:p>
        </w:tc>
      </w:tr>
      <w:tr>
        <w:trPr>
          <w:trHeight w:val="248"/>
        </w:trPr>
        <w:tc>
          <w:tcPr>
            <w:tcW w:w="560" w:type="dxa"/>
            <w:vAlign w:val="bottom"/>
          </w:tcPr>
          <w:p>
            <w:pPr>
              <w:spacing w:after="0"/>
              <w:rPr>
                <w:sz w:val="21"/>
                <w:szCs w:val="21"/>
                <w:color w:val="auto"/>
              </w:rPr>
            </w:pPr>
          </w:p>
        </w:tc>
        <w:tc>
          <w:tcPr>
            <w:tcW w:w="10560" w:type="dxa"/>
            <w:vAlign w:val="bottom"/>
          </w:tcPr>
          <w:p>
            <w:pPr>
              <w:ind w:left="320"/>
              <w:spacing w:after="0"/>
              <w:rPr>
                <w:sz w:val="20"/>
                <w:szCs w:val="20"/>
                <w:color w:val="auto"/>
              </w:rPr>
            </w:pPr>
            <w:r>
              <w:rPr>
                <w:rFonts w:ascii="Arial" w:cs="Arial" w:eastAsia="Arial" w:hAnsi="Arial"/>
                <w:sz w:val="19"/>
                <w:szCs w:val="19"/>
                <w:b w:val="1"/>
                <w:bCs w:val="1"/>
                <w:color w:val="auto"/>
              </w:rPr>
              <w:t>Schedule A</w:t>
            </w:r>
            <w:r>
              <w:rPr>
                <w:rFonts w:ascii="Arial" w:cs="Arial" w:eastAsia="Arial" w:hAnsi="Arial"/>
                <w:sz w:val="19"/>
                <w:szCs w:val="19"/>
                <w:color w:val="auto"/>
              </w:rPr>
              <w:t>.</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2.4</w:t>
            </w:r>
          </w:p>
        </w:tc>
        <w:tc>
          <w:tcPr>
            <w:tcW w:w="10560" w:type="dxa"/>
            <w:vAlign w:val="bottom"/>
          </w:tcPr>
          <w:p>
            <w:pPr>
              <w:ind w:left="320"/>
              <w:spacing w:after="0"/>
              <w:rPr>
                <w:sz w:val="20"/>
                <w:szCs w:val="20"/>
                <w:color w:val="auto"/>
              </w:rPr>
            </w:pPr>
            <w:r>
              <w:rPr>
                <w:rFonts w:ascii="Arial" w:cs="Arial" w:eastAsia="Arial" w:hAnsi="Arial"/>
                <w:sz w:val="19"/>
                <w:szCs w:val="19"/>
                <w:color w:val="auto"/>
                <w:w w:val="96"/>
              </w:rPr>
              <w:t>If the Executive's position, duties and/or responsibilities significantly change for any reason, then the terms of this contract will</w:t>
            </w:r>
          </w:p>
        </w:tc>
      </w:tr>
      <w:tr>
        <w:trPr>
          <w:trHeight w:val="242"/>
        </w:trPr>
        <w:tc>
          <w:tcPr>
            <w:tcW w:w="560" w:type="dxa"/>
            <w:vAlign w:val="bottom"/>
          </w:tcPr>
          <w:p>
            <w:pPr>
              <w:spacing w:after="0"/>
              <w:rPr>
                <w:sz w:val="21"/>
                <w:szCs w:val="21"/>
                <w:color w:val="auto"/>
              </w:rPr>
            </w:pPr>
          </w:p>
        </w:tc>
        <w:tc>
          <w:tcPr>
            <w:tcW w:w="10560" w:type="dxa"/>
            <w:vAlign w:val="bottom"/>
          </w:tcPr>
          <w:p>
            <w:pPr>
              <w:ind w:left="320"/>
              <w:spacing w:after="0"/>
              <w:rPr>
                <w:sz w:val="20"/>
                <w:szCs w:val="20"/>
                <w:color w:val="auto"/>
              </w:rPr>
            </w:pPr>
            <w:r>
              <w:rPr>
                <w:rFonts w:ascii="Arial" w:cs="Arial" w:eastAsia="Arial" w:hAnsi="Arial"/>
                <w:sz w:val="19"/>
                <w:szCs w:val="19"/>
                <w:color w:val="auto"/>
              </w:rPr>
              <w:t>continue to apply unless expressly varied by the parties in writing.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880" w:hanging="876"/>
        <w:spacing w:after="0"/>
        <w:tabs>
          <w:tab w:leader="none" w:pos="880" w:val="left"/>
        </w:tabs>
        <w:numPr>
          <w:ilvl w:val="0"/>
          <w:numId w:val="132"/>
        </w:numPr>
        <w:rPr>
          <w:rFonts w:ascii="Arial" w:cs="Arial" w:eastAsia="Arial" w:hAnsi="Arial"/>
          <w:sz w:val="21"/>
          <w:szCs w:val="21"/>
          <w:b w:val="1"/>
          <w:bCs w:val="1"/>
          <w:color w:val="auto"/>
        </w:rPr>
      </w:pPr>
      <w:r>
        <w:rPr>
          <w:rFonts w:ascii="Arial" w:cs="Arial" w:eastAsia="Arial" w:hAnsi="Arial"/>
          <w:sz w:val="21"/>
          <w:szCs w:val="21"/>
          <w:b w:val="1"/>
          <w:bCs w:val="1"/>
          <w:color w:val="auto"/>
        </w:rPr>
        <w:t>Commencement, Probation Period and Term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3.1</w:t>
            </w:r>
          </w:p>
        </w:tc>
        <w:tc>
          <w:tcPr>
            <w:tcW w:w="10480" w:type="dxa"/>
            <w:vAlign w:val="bottom"/>
          </w:tcPr>
          <w:p>
            <w:pPr>
              <w:ind w:left="320"/>
              <w:spacing w:after="0"/>
              <w:rPr>
                <w:sz w:val="20"/>
                <w:szCs w:val="20"/>
                <w:color w:val="auto"/>
              </w:rPr>
            </w:pPr>
            <w:r>
              <w:rPr>
                <w:rFonts w:ascii="Arial" w:cs="Arial" w:eastAsia="Arial" w:hAnsi="Arial"/>
                <w:sz w:val="19"/>
                <w:szCs w:val="19"/>
                <w:color w:val="auto"/>
              </w:rPr>
              <w:t xml:space="preserve">The employment of the Executive will commence as of May 3 2021 (the </w:t>
            </w:r>
            <w:r>
              <w:rPr>
                <w:rFonts w:ascii="Arial" w:cs="Arial" w:eastAsia="Arial" w:hAnsi="Arial"/>
                <w:sz w:val="19"/>
                <w:szCs w:val="19"/>
                <w:b w:val="1"/>
                <w:bCs w:val="1"/>
                <w:i w:val="1"/>
                <w:iCs w:val="1"/>
                <w:color w:val="auto"/>
              </w:rPr>
              <w:t>Commencement Date</w:t>
            </w:r>
            <w:r>
              <w:rPr>
                <w:rFonts w:ascii="Arial" w:cs="Arial" w:eastAsia="Arial" w:hAnsi="Arial"/>
                <w:sz w:val="19"/>
                <w:szCs w:val="19"/>
                <w:color w:val="auto"/>
              </w:rPr>
              <w:t>).</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3.2</w:t>
            </w:r>
          </w:p>
        </w:tc>
        <w:tc>
          <w:tcPr>
            <w:tcW w:w="10480" w:type="dxa"/>
            <w:vAlign w:val="bottom"/>
          </w:tcPr>
          <w:p>
            <w:pPr>
              <w:ind w:left="320"/>
              <w:spacing w:after="0"/>
              <w:rPr>
                <w:sz w:val="20"/>
                <w:szCs w:val="20"/>
                <w:color w:val="auto"/>
              </w:rPr>
            </w:pPr>
            <w:r>
              <w:rPr>
                <w:rFonts w:ascii="Arial" w:cs="Arial" w:eastAsia="Arial" w:hAnsi="Arial"/>
                <w:sz w:val="19"/>
                <w:szCs w:val="19"/>
                <w:color w:val="auto"/>
                <w:w w:val="92"/>
              </w:rPr>
              <w:t>A Probation Period will apply for the first 4 months of Employment in which the Employer retains the right to terminate employment</w:t>
            </w:r>
          </w:p>
        </w:tc>
      </w:tr>
      <w:tr>
        <w:trPr>
          <w:trHeight w:val="242"/>
        </w:trPr>
        <w:tc>
          <w:tcPr>
            <w:tcW w:w="560" w:type="dxa"/>
            <w:vAlign w:val="bottom"/>
          </w:tcPr>
          <w:p>
            <w:pPr>
              <w:spacing w:after="0"/>
              <w:rPr>
                <w:sz w:val="21"/>
                <w:szCs w:val="21"/>
                <w:color w:val="auto"/>
              </w:rPr>
            </w:pPr>
          </w:p>
        </w:tc>
        <w:tc>
          <w:tcPr>
            <w:tcW w:w="10480" w:type="dxa"/>
            <w:vAlign w:val="bottom"/>
          </w:tcPr>
          <w:p>
            <w:pPr>
              <w:ind w:left="320"/>
              <w:spacing w:after="0"/>
              <w:rPr>
                <w:sz w:val="20"/>
                <w:szCs w:val="20"/>
                <w:color w:val="auto"/>
              </w:rPr>
            </w:pPr>
            <w:r>
              <w:rPr>
                <w:rFonts w:ascii="Arial" w:cs="Arial" w:eastAsia="Arial" w:hAnsi="Arial"/>
                <w:sz w:val="19"/>
                <w:szCs w:val="19"/>
                <w:color w:val="auto"/>
              </w:rPr>
              <w:t>with a 4-week notice period.</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3.3</w:t>
            </w:r>
          </w:p>
        </w:tc>
        <w:tc>
          <w:tcPr>
            <w:tcW w:w="10480" w:type="dxa"/>
            <w:vAlign w:val="bottom"/>
          </w:tcPr>
          <w:p>
            <w:pPr>
              <w:ind w:left="320"/>
              <w:spacing w:after="0"/>
              <w:rPr>
                <w:sz w:val="20"/>
                <w:szCs w:val="20"/>
                <w:color w:val="auto"/>
              </w:rPr>
            </w:pPr>
            <w:r>
              <w:rPr>
                <w:rFonts w:ascii="Arial" w:cs="Arial" w:eastAsia="Arial" w:hAnsi="Arial"/>
                <w:sz w:val="19"/>
                <w:szCs w:val="19"/>
                <w:color w:val="auto"/>
                <w:w w:val="93"/>
              </w:rPr>
              <w:t>Following completion of the Probation Period, employment will continue indefinitely until terminated by either party in accordance</w:t>
            </w:r>
          </w:p>
        </w:tc>
      </w:tr>
      <w:tr>
        <w:trPr>
          <w:trHeight w:val="242"/>
        </w:trPr>
        <w:tc>
          <w:tcPr>
            <w:tcW w:w="560" w:type="dxa"/>
            <w:vAlign w:val="bottom"/>
          </w:tcPr>
          <w:p>
            <w:pPr>
              <w:spacing w:after="0"/>
              <w:rPr>
                <w:sz w:val="21"/>
                <w:szCs w:val="21"/>
                <w:color w:val="auto"/>
              </w:rPr>
            </w:pPr>
          </w:p>
        </w:tc>
        <w:tc>
          <w:tcPr>
            <w:tcW w:w="10480" w:type="dxa"/>
            <w:vAlign w:val="bottom"/>
          </w:tcPr>
          <w:p>
            <w:pPr>
              <w:ind w:left="320"/>
              <w:spacing w:after="0"/>
              <w:rPr>
                <w:sz w:val="20"/>
                <w:szCs w:val="20"/>
                <w:color w:val="auto"/>
              </w:rPr>
            </w:pPr>
            <w:r>
              <w:rPr>
                <w:rFonts w:ascii="Arial" w:cs="Arial" w:eastAsia="Arial" w:hAnsi="Arial"/>
                <w:sz w:val="19"/>
                <w:szCs w:val="19"/>
                <w:color w:val="auto"/>
              </w:rPr>
              <w:t>with the terms of this contract.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880" w:hanging="876"/>
        <w:spacing w:after="0"/>
        <w:tabs>
          <w:tab w:leader="none" w:pos="880"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Location of Employment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4.1</w:t>
            </w:r>
          </w:p>
        </w:tc>
        <w:tc>
          <w:tcPr>
            <w:tcW w:w="10500" w:type="dxa"/>
            <w:vAlign w:val="bottom"/>
          </w:tcPr>
          <w:p>
            <w:pPr>
              <w:ind w:left="320"/>
              <w:spacing w:after="0"/>
              <w:rPr>
                <w:sz w:val="20"/>
                <w:szCs w:val="20"/>
                <w:color w:val="auto"/>
              </w:rPr>
            </w:pPr>
            <w:r>
              <w:rPr>
                <w:rFonts w:ascii="Arial" w:cs="Arial" w:eastAsia="Arial" w:hAnsi="Arial"/>
                <w:sz w:val="19"/>
                <w:szCs w:val="19"/>
                <w:color w:val="auto"/>
              </w:rPr>
              <w:t>The Employment will initially be based at the Employer's offices in South Yarra.</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4.2</w:t>
            </w:r>
          </w:p>
        </w:tc>
        <w:tc>
          <w:tcPr>
            <w:tcW w:w="10500" w:type="dxa"/>
            <w:vAlign w:val="bottom"/>
          </w:tcPr>
          <w:p>
            <w:pPr>
              <w:ind w:left="320"/>
              <w:spacing w:after="0"/>
              <w:rPr>
                <w:sz w:val="20"/>
                <w:szCs w:val="20"/>
                <w:color w:val="auto"/>
              </w:rPr>
            </w:pPr>
            <w:r>
              <w:rPr>
                <w:rFonts w:ascii="Arial" w:cs="Arial" w:eastAsia="Arial" w:hAnsi="Arial"/>
                <w:sz w:val="19"/>
                <w:szCs w:val="19"/>
                <w:color w:val="auto"/>
                <w:w w:val="91"/>
              </w:rPr>
              <w:t>The Employer may change the base location of the Employment by giving the Executive reasonable notice in writing. In the event of</w:t>
            </w:r>
          </w:p>
        </w:tc>
      </w:tr>
      <w:tr>
        <w:trPr>
          <w:trHeight w:val="242"/>
        </w:trPr>
        <w:tc>
          <w:tcPr>
            <w:tcW w:w="560" w:type="dxa"/>
            <w:vAlign w:val="bottom"/>
          </w:tcPr>
          <w:p>
            <w:pPr>
              <w:spacing w:after="0"/>
              <w:rPr>
                <w:sz w:val="21"/>
                <w:szCs w:val="21"/>
                <w:color w:val="auto"/>
              </w:rPr>
            </w:pPr>
          </w:p>
        </w:tc>
        <w:tc>
          <w:tcPr>
            <w:tcW w:w="10500" w:type="dxa"/>
            <w:vAlign w:val="bottom"/>
          </w:tcPr>
          <w:p>
            <w:pPr>
              <w:ind w:left="320"/>
              <w:spacing w:after="0"/>
              <w:rPr>
                <w:sz w:val="20"/>
                <w:szCs w:val="20"/>
                <w:color w:val="auto"/>
              </w:rPr>
            </w:pPr>
            <w:r>
              <w:rPr>
                <w:rFonts w:ascii="Arial" w:cs="Arial" w:eastAsia="Arial" w:hAnsi="Arial"/>
                <w:sz w:val="19"/>
                <w:szCs w:val="19"/>
                <w:color w:val="auto"/>
              </w:rPr>
              <w:t>such relocation, the Executive will not be entitled to any additional remuneration.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880" w:hanging="876"/>
        <w:spacing w:after="0"/>
        <w:tabs>
          <w:tab w:leader="none" w:pos="880" w:val="left"/>
        </w:tabs>
        <w:numPr>
          <w:ilvl w:val="0"/>
          <w:numId w:val="134"/>
        </w:numPr>
        <w:rPr>
          <w:rFonts w:ascii="Arial" w:cs="Arial" w:eastAsia="Arial" w:hAnsi="Arial"/>
          <w:sz w:val="21"/>
          <w:szCs w:val="21"/>
          <w:b w:val="1"/>
          <w:bCs w:val="1"/>
          <w:color w:val="auto"/>
        </w:rPr>
      </w:pPr>
      <w:r>
        <w:rPr>
          <w:rFonts w:ascii="Arial" w:cs="Arial" w:eastAsia="Arial" w:hAnsi="Arial"/>
          <w:sz w:val="21"/>
          <w:szCs w:val="21"/>
          <w:b w:val="1"/>
          <w:bCs w:val="1"/>
          <w:color w:val="auto"/>
        </w:rPr>
        <w:t>Travel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5.1</w:t>
            </w:r>
          </w:p>
        </w:tc>
        <w:tc>
          <w:tcPr>
            <w:tcW w:w="10120" w:type="dxa"/>
            <w:vAlign w:val="bottom"/>
          </w:tcPr>
          <w:p>
            <w:pPr>
              <w:ind w:left="320"/>
              <w:spacing w:after="0"/>
              <w:rPr>
                <w:sz w:val="20"/>
                <w:szCs w:val="20"/>
                <w:color w:val="auto"/>
              </w:rPr>
            </w:pPr>
            <w:r>
              <w:rPr>
                <w:rFonts w:ascii="Arial" w:cs="Arial" w:eastAsia="Arial" w:hAnsi="Arial"/>
                <w:sz w:val="19"/>
                <w:szCs w:val="19"/>
                <w:color w:val="auto"/>
                <w:w w:val="91"/>
              </w:rPr>
              <w:t>The Executive acknowledges that the nature of the Position may require unscheduled travel within and outside of Australia. The</w:t>
            </w:r>
          </w:p>
        </w:tc>
      </w:tr>
      <w:tr>
        <w:trPr>
          <w:trHeight w:val="242"/>
        </w:trPr>
        <w:tc>
          <w:tcPr>
            <w:tcW w:w="560" w:type="dxa"/>
            <w:vAlign w:val="bottom"/>
          </w:tcPr>
          <w:p>
            <w:pPr>
              <w:spacing w:after="0"/>
              <w:rPr>
                <w:sz w:val="21"/>
                <w:szCs w:val="21"/>
                <w:color w:val="auto"/>
              </w:rPr>
            </w:pPr>
          </w:p>
        </w:tc>
        <w:tc>
          <w:tcPr>
            <w:tcW w:w="10120" w:type="dxa"/>
            <w:vAlign w:val="bottom"/>
          </w:tcPr>
          <w:p>
            <w:pPr>
              <w:ind w:left="320"/>
              <w:spacing w:after="0"/>
              <w:rPr>
                <w:sz w:val="20"/>
                <w:szCs w:val="20"/>
                <w:color w:val="auto"/>
              </w:rPr>
            </w:pPr>
            <w:r>
              <w:rPr>
                <w:rFonts w:ascii="Arial" w:cs="Arial" w:eastAsia="Arial" w:hAnsi="Arial"/>
                <w:sz w:val="19"/>
                <w:szCs w:val="19"/>
                <w:color w:val="auto"/>
              </w:rPr>
              <w:t>Executive must engage in such travel as reasonably required by the Employer without additional remuneration.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880" w:hanging="876"/>
        <w:spacing w:after="0"/>
        <w:tabs>
          <w:tab w:leader="none" w:pos="880" w:val="left"/>
        </w:tabs>
        <w:numPr>
          <w:ilvl w:val="0"/>
          <w:numId w:val="135"/>
        </w:numPr>
        <w:rPr>
          <w:rFonts w:ascii="Arial" w:cs="Arial" w:eastAsia="Arial" w:hAnsi="Arial"/>
          <w:sz w:val="21"/>
          <w:szCs w:val="21"/>
          <w:b w:val="1"/>
          <w:bCs w:val="1"/>
          <w:color w:val="auto"/>
        </w:rPr>
      </w:pPr>
      <w:r>
        <w:rPr>
          <w:rFonts w:ascii="Arial" w:cs="Arial" w:eastAsia="Arial" w:hAnsi="Arial"/>
          <w:sz w:val="21"/>
          <w:szCs w:val="21"/>
          <w:b w:val="1"/>
          <w:bCs w:val="1"/>
          <w:color w:val="auto"/>
        </w:rPr>
        <w:t>Conduct and Performance</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7"/>
          <w:szCs w:val="17"/>
          <w:color w:val="auto"/>
        </w:rPr>
        <w:t>The Executive must:</w:t>
      </w:r>
    </w:p>
    <w:p>
      <w:pPr>
        <w:spacing w:after="0" w:line="158" w:lineRule="exact"/>
        <w:rPr>
          <w:sz w:val="20"/>
          <w:szCs w:val="20"/>
          <w:color w:val="auto"/>
        </w:rPr>
      </w:pPr>
    </w:p>
    <w:p>
      <w:pPr>
        <w:ind w:left="1740" w:hanging="865"/>
        <w:spacing w:after="0"/>
        <w:tabs>
          <w:tab w:leader="none" w:pos="174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serve the Employer and fulfil her duties and responsibilities honestly, faithfully and in a professional manner;</w:t>
      </w:r>
    </w:p>
    <w:p>
      <w:pPr>
        <w:spacing w:after="0" w:line="200" w:lineRule="exact"/>
        <w:rPr>
          <w:sz w:val="20"/>
          <w:szCs w:val="20"/>
          <w:color w:val="auto"/>
        </w:rPr>
      </w:pPr>
    </w:p>
    <w:p>
      <w:pPr>
        <w:spacing w:after="0" w:line="312"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2</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7" w:name="page218"/>
    <w:bookmarkEnd w:id="217"/>
    <w:p>
      <w:pPr>
        <w:ind w:left="1740" w:hanging="865"/>
        <w:spacing w:after="0"/>
        <w:tabs>
          <w:tab w:leader="none" w:pos="17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use the Executive's best efforts to promote and protect the business of the Employer and the Group;</w:t>
      </w:r>
    </w:p>
    <w:p>
      <w:pPr>
        <w:spacing w:after="0" w:line="158" w:lineRule="exact"/>
        <w:rPr>
          <w:rFonts w:ascii="Arial" w:cs="Arial" w:eastAsia="Arial" w:hAnsi="Arial"/>
          <w:sz w:val="19"/>
          <w:szCs w:val="19"/>
          <w:color w:val="auto"/>
        </w:rPr>
      </w:pPr>
    </w:p>
    <w:p>
      <w:pPr>
        <w:ind w:left="1740" w:right="140" w:hanging="865"/>
        <w:spacing w:after="0" w:line="268" w:lineRule="auto"/>
        <w:tabs>
          <w:tab w:leader="none" w:pos="17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comply with the Employer's lawful directions and fully and truthfully answer any questions asked by the Employer relating in any way to the Employment or the Employer's business;</w:t>
      </w:r>
    </w:p>
    <w:p>
      <w:pPr>
        <w:spacing w:after="0" w:line="109" w:lineRule="exact"/>
        <w:rPr>
          <w:rFonts w:ascii="Arial" w:cs="Arial" w:eastAsia="Arial" w:hAnsi="Arial"/>
          <w:sz w:val="19"/>
          <w:szCs w:val="19"/>
          <w:color w:val="auto"/>
        </w:rPr>
      </w:pPr>
    </w:p>
    <w:p>
      <w:pPr>
        <w:ind w:left="1740" w:right="60" w:hanging="865"/>
        <w:spacing w:after="0" w:line="328" w:lineRule="auto"/>
        <w:tabs>
          <w:tab w:leader="none" w:pos="17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fully report to the Chief Executive Officer of the Employer all business opportunities which may advantage the Employer or Group Members and any significant threats to the business as soon as these come to the attention of the Executive;</w:t>
      </w:r>
    </w:p>
    <w:p>
      <w:pPr>
        <w:spacing w:after="0" w:line="63" w:lineRule="exact"/>
        <w:rPr>
          <w:rFonts w:ascii="Arial" w:cs="Arial" w:eastAsia="Arial" w:hAnsi="Arial"/>
          <w:sz w:val="17"/>
          <w:szCs w:val="17"/>
          <w:color w:val="auto"/>
        </w:rPr>
      </w:pPr>
    </w:p>
    <w:p>
      <w:pPr>
        <w:ind w:left="1740" w:right="500" w:hanging="865"/>
        <w:spacing w:after="0" w:line="268" w:lineRule="auto"/>
        <w:tabs>
          <w:tab w:leader="none" w:pos="17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fully report to the Chief Executive Officer of the Employer any unlawful act or omission of any Group Member or any Group Personnel; and</w:t>
      </w:r>
    </w:p>
    <w:p>
      <w:pPr>
        <w:spacing w:after="0" w:line="109" w:lineRule="exact"/>
        <w:rPr>
          <w:rFonts w:ascii="Arial" w:cs="Arial" w:eastAsia="Arial" w:hAnsi="Arial"/>
          <w:sz w:val="19"/>
          <w:szCs w:val="19"/>
          <w:color w:val="auto"/>
        </w:rPr>
      </w:pPr>
    </w:p>
    <w:p>
      <w:pPr>
        <w:ind w:left="1740" w:right="340" w:hanging="865"/>
        <w:spacing w:after="0" w:line="255" w:lineRule="auto"/>
        <w:tabs>
          <w:tab w:leader="none" w:pos="17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provide the Chief Executive Officer of the Employer with information and regular reports as to the financial status of the Employer so as to keep the Chief Executive Officer fully informed of the financial status and financial affairs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71374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880" w:hanging="876"/>
        <w:spacing w:after="0"/>
        <w:tabs>
          <w:tab w:leader="none" w:pos="880" w:val="left"/>
        </w:tabs>
        <w:numPr>
          <w:ilvl w:val="0"/>
          <w:numId w:val="138"/>
        </w:numPr>
        <w:rPr>
          <w:rFonts w:ascii="Arial" w:cs="Arial" w:eastAsia="Arial" w:hAnsi="Arial"/>
          <w:sz w:val="21"/>
          <w:szCs w:val="21"/>
          <w:b w:val="1"/>
          <w:bCs w:val="1"/>
          <w:color w:val="auto"/>
        </w:rPr>
      </w:pPr>
      <w:r>
        <w:rPr>
          <w:rFonts w:ascii="Arial" w:cs="Arial" w:eastAsia="Arial" w:hAnsi="Arial"/>
          <w:sz w:val="21"/>
          <w:szCs w:val="21"/>
          <w:b w:val="1"/>
          <w:bCs w:val="1"/>
          <w:color w:val="auto"/>
        </w:rPr>
        <w:t>Warranties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7.1</w:t>
            </w:r>
          </w:p>
        </w:tc>
        <w:tc>
          <w:tcPr>
            <w:tcW w:w="10040" w:type="dxa"/>
            <w:vAlign w:val="bottom"/>
          </w:tcPr>
          <w:p>
            <w:pPr>
              <w:ind w:left="320"/>
              <w:spacing w:after="0"/>
              <w:rPr>
                <w:sz w:val="20"/>
                <w:szCs w:val="20"/>
                <w:color w:val="auto"/>
              </w:rPr>
            </w:pPr>
            <w:r>
              <w:rPr>
                <w:rFonts w:ascii="Arial" w:cs="Arial" w:eastAsia="Arial" w:hAnsi="Arial"/>
                <w:sz w:val="19"/>
                <w:szCs w:val="19"/>
                <w:color w:val="auto"/>
                <w:w w:val="92"/>
              </w:rPr>
              <w:t>The Executive warrants that in entering into this contract and performing her duties, the Executive will not be in breach of any</w:t>
            </w:r>
          </w:p>
        </w:tc>
      </w:tr>
      <w:tr>
        <w:trPr>
          <w:trHeight w:val="242"/>
        </w:trPr>
        <w:tc>
          <w:tcPr>
            <w:tcW w:w="560" w:type="dxa"/>
            <w:vAlign w:val="bottom"/>
          </w:tcPr>
          <w:p>
            <w:pPr>
              <w:spacing w:after="0"/>
              <w:rPr>
                <w:sz w:val="21"/>
                <w:szCs w:val="21"/>
                <w:color w:val="auto"/>
              </w:rPr>
            </w:pPr>
          </w:p>
        </w:tc>
        <w:tc>
          <w:tcPr>
            <w:tcW w:w="10040" w:type="dxa"/>
            <w:vAlign w:val="bottom"/>
          </w:tcPr>
          <w:p>
            <w:pPr>
              <w:ind w:left="320"/>
              <w:spacing w:after="0"/>
              <w:rPr>
                <w:sz w:val="20"/>
                <w:szCs w:val="20"/>
                <w:color w:val="auto"/>
              </w:rPr>
            </w:pPr>
            <w:r>
              <w:rPr>
                <w:rFonts w:ascii="Arial" w:cs="Arial" w:eastAsia="Arial" w:hAnsi="Arial"/>
                <w:sz w:val="19"/>
                <w:szCs w:val="19"/>
                <w:color w:val="auto"/>
              </w:rPr>
              <w:t>agreement or obligation owed to any third party.</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7.2</w:t>
            </w:r>
          </w:p>
        </w:tc>
        <w:tc>
          <w:tcPr>
            <w:tcW w:w="10040" w:type="dxa"/>
            <w:vAlign w:val="bottom"/>
          </w:tcPr>
          <w:p>
            <w:pPr>
              <w:ind w:left="320"/>
              <w:spacing w:after="0"/>
              <w:rPr>
                <w:sz w:val="20"/>
                <w:szCs w:val="20"/>
                <w:color w:val="auto"/>
              </w:rPr>
            </w:pPr>
            <w:r>
              <w:rPr>
                <w:rFonts w:ascii="Arial" w:cs="Arial" w:eastAsia="Arial" w:hAnsi="Arial"/>
                <w:sz w:val="19"/>
                <w:szCs w:val="19"/>
                <w:color w:val="auto"/>
                <w:w w:val="91"/>
              </w:rPr>
              <w:t>The Executive warrants that he has disclosed all material information to the Employer which may be relevant to the Employer's</w:t>
            </w:r>
          </w:p>
        </w:tc>
      </w:tr>
      <w:tr>
        <w:trPr>
          <w:trHeight w:val="242"/>
        </w:trPr>
        <w:tc>
          <w:tcPr>
            <w:tcW w:w="560" w:type="dxa"/>
            <w:vAlign w:val="bottom"/>
          </w:tcPr>
          <w:p>
            <w:pPr>
              <w:spacing w:after="0"/>
              <w:rPr>
                <w:sz w:val="21"/>
                <w:szCs w:val="21"/>
                <w:color w:val="auto"/>
              </w:rPr>
            </w:pPr>
          </w:p>
        </w:tc>
        <w:tc>
          <w:tcPr>
            <w:tcW w:w="10040" w:type="dxa"/>
            <w:vAlign w:val="bottom"/>
          </w:tcPr>
          <w:p>
            <w:pPr>
              <w:ind w:left="320"/>
              <w:spacing w:after="0"/>
              <w:rPr>
                <w:sz w:val="20"/>
                <w:szCs w:val="20"/>
                <w:color w:val="auto"/>
              </w:rPr>
            </w:pPr>
            <w:r>
              <w:rPr>
                <w:rFonts w:ascii="Arial" w:cs="Arial" w:eastAsia="Arial" w:hAnsi="Arial"/>
                <w:sz w:val="19"/>
                <w:szCs w:val="19"/>
                <w:color w:val="auto"/>
              </w:rPr>
              <w:t>decision to offer the Executive employment under this contract.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880" w:hanging="876"/>
        <w:spacing w:after="0"/>
        <w:tabs>
          <w:tab w:leader="none" w:pos="880" w:val="left"/>
        </w:tabs>
        <w:numPr>
          <w:ilvl w:val="0"/>
          <w:numId w:val="139"/>
        </w:numPr>
        <w:rPr>
          <w:rFonts w:ascii="Arial" w:cs="Arial" w:eastAsia="Arial" w:hAnsi="Arial"/>
          <w:sz w:val="21"/>
          <w:szCs w:val="21"/>
          <w:b w:val="1"/>
          <w:bCs w:val="1"/>
          <w:color w:val="auto"/>
        </w:rPr>
      </w:pPr>
      <w:r>
        <w:rPr>
          <w:rFonts w:ascii="Arial" w:cs="Arial" w:eastAsia="Arial" w:hAnsi="Arial"/>
          <w:sz w:val="21"/>
          <w:szCs w:val="21"/>
          <w:b w:val="1"/>
          <w:bCs w:val="1"/>
          <w:color w:val="auto"/>
        </w:rPr>
        <w:t>Conflicts of Interest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8.1</w:t>
            </w: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w w:val="92"/>
              </w:rPr>
              <w:t>The Executive must not undertake any activity (whether paid or unpaid) which may either compete with, compromise or give rise to a</w:t>
            </w:r>
          </w:p>
        </w:tc>
      </w:tr>
      <w:tr>
        <w:trPr>
          <w:trHeight w:val="242"/>
        </w:trPr>
        <w:tc>
          <w:tcPr>
            <w:tcW w:w="560" w:type="dxa"/>
            <w:vAlign w:val="bottom"/>
          </w:tcPr>
          <w:p>
            <w:pPr>
              <w:spacing w:after="0"/>
              <w:rPr>
                <w:sz w:val="21"/>
                <w:szCs w:val="21"/>
                <w:color w:val="auto"/>
              </w:rPr>
            </w:pP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rPr>
              <w:t>conflict with either:</w:t>
            </w:r>
          </w:p>
        </w:tc>
      </w:tr>
      <w:tr>
        <w:trPr>
          <w:trHeight w:val="377"/>
        </w:trPr>
        <w:tc>
          <w:tcPr>
            <w:tcW w:w="5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9"/>
                <w:szCs w:val="19"/>
                <w:color w:val="auto"/>
              </w:rPr>
              <w:t>(a)</w:t>
            </w:r>
          </w:p>
        </w:tc>
        <w:tc>
          <w:tcPr>
            <w:tcW w:w="9800" w:type="dxa"/>
            <w:vAlign w:val="bottom"/>
          </w:tcPr>
          <w:p>
            <w:pPr>
              <w:ind w:left="320"/>
              <w:spacing w:after="0"/>
              <w:rPr>
                <w:sz w:val="20"/>
                <w:szCs w:val="20"/>
                <w:color w:val="auto"/>
              </w:rPr>
            </w:pPr>
            <w:r>
              <w:rPr>
                <w:rFonts w:ascii="Arial" w:cs="Arial" w:eastAsia="Arial" w:hAnsi="Arial"/>
                <w:sz w:val="19"/>
                <w:szCs w:val="19"/>
                <w:color w:val="auto"/>
              </w:rPr>
              <w:t>the Executive's duties and responsibilities under this contract; or</w:t>
            </w:r>
          </w:p>
        </w:tc>
      </w:tr>
      <w:tr>
        <w:trPr>
          <w:trHeight w:val="377"/>
        </w:trPr>
        <w:tc>
          <w:tcPr>
            <w:tcW w:w="5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9"/>
                <w:szCs w:val="19"/>
                <w:color w:val="auto"/>
              </w:rPr>
              <w:t>(b)</w:t>
            </w:r>
          </w:p>
        </w:tc>
        <w:tc>
          <w:tcPr>
            <w:tcW w:w="9800" w:type="dxa"/>
            <w:vAlign w:val="bottom"/>
          </w:tcPr>
          <w:p>
            <w:pPr>
              <w:ind w:left="320"/>
              <w:spacing w:after="0"/>
              <w:rPr>
                <w:sz w:val="20"/>
                <w:szCs w:val="20"/>
                <w:color w:val="auto"/>
              </w:rPr>
            </w:pPr>
            <w:r>
              <w:rPr>
                <w:rFonts w:ascii="Arial" w:cs="Arial" w:eastAsia="Arial" w:hAnsi="Arial"/>
                <w:sz w:val="19"/>
                <w:szCs w:val="19"/>
                <w:color w:val="auto"/>
              </w:rPr>
              <w:t>the business interests of the Employer,</w:t>
            </w:r>
          </w:p>
        </w:tc>
      </w:tr>
      <w:tr>
        <w:trPr>
          <w:trHeight w:val="377"/>
        </w:trPr>
        <w:tc>
          <w:tcPr>
            <w:tcW w:w="560" w:type="dxa"/>
            <w:vAlign w:val="bottom"/>
          </w:tcPr>
          <w:p>
            <w:pPr>
              <w:spacing w:after="0"/>
              <w:rPr>
                <w:sz w:val="24"/>
                <w:szCs w:val="24"/>
                <w:color w:val="auto"/>
              </w:rPr>
            </w:pP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rPr>
              <w:t>unless the Executive has obtained the prior consent of the Chief Executive Officer of the Employer in writing.</w:t>
            </w:r>
          </w:p>
        </w:tc>
      </w:tr>
      <w:tr>
        <w:trPr>
          <w:trHeight w:val="343"/>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8.2</w:t>
            </w: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w w:val="97"/>
              </w:rPr>
              <w:t>Without limiting the generality of the above, the Executive must not be engaged, employed, concerned or interested directly or</w:t>
            </w:r>
          </w:p>
        </w:tc>
      </w:tr>
      <w:tr>
        <w:trPr>
          <w:trHeight w:val="221"/>
        </w:trPr>
        <w:tc>
          <w:tcPr>
            <w:tcW w:w="560" w:type="dxa"/>
            <w:vAlign w:val="bottom"/>
          </w:tcPr>
          <w:p>
            <w:pPr>
              <w:spacing w:after="0"/>
              <w:rPr>
                <w:sz w:val="19"/>
                <w:szCs w:val="19"/>
                <w:color w:val="auto"/>
              </w:rPr>
            </w:pP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w w:val="92"/>
              </w:rPr>
              <w:t>indirectly in any business, company, proposal, project, assignment or development which is in or is related to the industry in which the</w:t>
            </w:r>
          </w:p>
        </w:tc>
      </w:tr>
      <w:tr>
        <w:trPr>
          <w:trHeight w:val="221"/>
        </w:trPr>
        <w:tc>
          <w:tcPr>
            <w:tcW w:w="560" w:type="dxa"/>
            <w:vAlign w:val="bottom"/>
          </w:tcPr>
          <w:p>
            <w:pPr>
              <w:spacing w:after="0"/>
              <w:rPr>
                <w:sz w:val="19"/>
                <w:szCs w:val="19"/>
                <w:color w:val="auto"/>
              </w:rPr>
            </w:pP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w w:val="90"/>
              </w:rPr>
              <w:t>Employer and/or any Group Member is concerned unless the Executive has obtained the prior consent of the Chief Executive Officer of</w:t>
            </w:r>
          </w:p>
        </w:tc>
      </w:tr>
      <w:tr>
        <w:trPr>
          <w:trHeight w:val="242"/>
        </w:trPr>
        <w:tc>
          <w:tcPr>
            <w:tcW w:w="560" w:type="dxa"/>
            <w:vAlign w:val="bottom"/>
          </w:tcPr>
          <w:p>
            <w:pPr>
              <w:spacing w:after="0"/>
              <w:rPr>
                <w:sz w:val="21"/>
                <w:szCs w:val="21"/>
                <w:color w:val="auto"/>
              </w:rPr>
            </w:pP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rPr>
              <w:t>the Employer in writing.</w:t>
            </w:r>
          </w:p>
        </w:tc>
      </w:tr>
      <w:tr>
        <w:trPr>
          <w:trHeight w:val="377"/>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8.3</w:t>
            </w:r>
          </w:p>
        </w:tc>
        <w:tc>
          <w:tcPr>
            <w:tcW w:w="10660" w:type="dxa"/>
            <w:vAlign w:val="bottom"/>
            <w:gridSpan w:val="2"/>
          </w:tcPr>
          <w:p>
            <w:pPr>
              <w:ind w:left="320"/>
              <w:spacing w:after="0"/>
              <w:rPr>
                <w:sz w:val="20"/>
                <w:szCs w:val="20"/>
                <w:color w:val="auto"/>
              </w:rPr>
            </w:pPr>
            <w:r>
              <w:rPr>
                <w:rFonts w:ascii="Arial" w:cs="Arial" w:eastAsia="Arial" w:hAnsi="Arial"/>
                <w:sz w:val="19"/>
                <w:szCs w:val="19"/>
                <w:color w:val="auto"/>
              </w:rPr>
              <w:t>The Executive must immediately and fully disclose in writing to the Employer any potential or actual conflicts of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880" w:hanging="876"/>
        <w:spacing w:after="0"/>
        <w:tabs>
          <w:tab w:leader="none" w:pos="880" w:val="left"/>
        </w:tabs>
        <w:numPr>
          <w:ilvl w:val="0"/>
          <w:numId w:val="140"/>
        </w:numPr>
        <w:rPr>
          <w:rFonts w:ascii="Arial" w:cs="Arial" w:eastAsia="Arial" w:hAnsi="Arial"/>
          <w:sz w:val="21"/>
          <w:szCs w:val="21"/>
          <w:b w:val="1"/>
          <w:bCs w:val="1"/>
          <w:color w:val="auto"/>
        </w:rPr>
      </w:pPr>
      <w:r>
        <w:rPr>
          <w:rFonts w:ascii="Arial" w:cs="Arial" w:eastAsia="Arial" w:hAnsi="Arial"/>
          <w:sz w:val="21"/>
          <w:szCs w:val="21"/>
          <w:b w:val="1"/>
          <w:bCs w:val="1"/>
          <w:color w:val="auto"/>
        </w:rPr>
        <w:t>Hours of Work</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 w:type="dxa"/>
            <w:vAlign w:val="bottom"/>
          </w:tcPr>
          <w:p>
            <w:pPr>
              <w:spacing w:after="0"/>
              <w:rPr>
                <w:sz w:val="20"/>
                <w:szCs w:val="20"/>
                <w:color w:val="auto"/>
              </w:rPr>
            </w:pPr>
            <w:r>
              <w:rPr>
                <w:rFonts w:ascii="Arial" w:cs="Arial" w:eastAsia="Arial" w:hAnsi="Arial"/>
                <w:sz w:val="19"/>
                <w:szCs w:val="19"/>
                <w:color w:val="auto"/>
              </w:rPr>
              <w:t>9.1</w:t>
            </w: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2"/>
              </w:rPr>
              <w:t>The Executive is engaged on a full-time basis and must reasonably devote her full-time and attention to the business of the Employer.</w:t>
            </w:r>
          </w:p>
        </w:tc>
      </w:tr>
      <w:tr>
        <w:trPr>
          <w:trHeight w:val="673"/>
        </w:trPr>
        <w:tc>
          <w:tcPr>
            <w:tcW w:w="3680" w:type="dxa"/>
            <w:vAlign w:val="bottom"/>
            <w:gridSpan w:val="2"/>
          </w:tcPr>
          <w:p>
            <w:pPr>
              <w:spacing w:after="0"/>
              <w:rPr>
                <w:sz w:val="20"/>
                <w:szCs w:val="20"/>
                <w:color w:val="auto"/>
              </w:rPr>
            </w:pPr>
            <w:r>
              <w:rPr>
                <w:rFonts w:ascii="Arial" w:cs="Arial" w:eastAsia="Arial" w:hAnsi="Arial"/>
                <w:sz w:val="12"/>
                <w:szCs w:val="12"/>
                <w:color w:val="auto"/>
              </w:rPr>
              <w:t>#1328149-v3\MELDMS\AUSKMB</w:t>
            </w:r>
          </w:p>
        </w:tc>
        <w:tc>
          <w:tcPr>
            <w:tcW w:w="3800" w:type="dxa"/>
            <w:vAlign w:val="bottom"/>
          </w:tcPr>
          <w:p>
            <w:pPr>
              <w:jc w:val="right"/>
              <w:ind w:right="1739"/>
              <w:spacing w:after="0"/>
              <w:rPr>
                <w:sz w:val="20"/>
                <w:szCs w:val="20"/>
                <w:color w:val="auto"/>
              </w:rPr>
            </w:pPr>
            <w:r>
              <w:rPr>
                <w:rFonts w:ascii="Arial" w:cs="Arial" w:eastAsia="Arial" w:hAnsi="Arial"/>
                <w:sz w:val="12"/>
                <w:szCs w:val="12"/>
                <w:color w:val="auto"/>
              </w:rPr>
              <w:t>3</w:t>
            </w:r>
          </w:p>
        </w:tc>
        <w:tc>
          <w:tcPr>
            <w:tcW w:w="3800" w:type="dxa"/>
            <w:vAlign w:val="bottom"/>
          </w:tcPr>
          <w:p>
            <w:pPr>
              <w:ind w:left="1800"/>
              <w:spacing w:after="0"/>
              <w:rPr>
                <w:sz w:val="20"/>
                <w:szCs w:val="20"/>
                <w:color w:val="auto"/>
              </w:rPr>
            </w:pPr>
            <w:r>
              <w:rPr>
                <w:rFonts w:ascii="Arial" w:cs="Arial" w:eastAsia="Arial" w:hAnsi="Arial"/>
                <w:sz w:val="14"/>
                <w:szCs w:val="14"/>
                <w:color w:val="auto"/>
                <w:w w:val="99"/>
              </w:rPr>
              <w:t>Executive Employment Contract</w:t>
            </w:r>
          </w:p>
        </w:tc>
      </w:tr>
      <w:tr>
        <w:trPr>
          <w:trHeight w:val="239"/>
        </w:trPr>
        <w:tc>
          <w:tcPr>
            <w:tcW w:w="560" w:type="dxa"/>
            <w:vAlign w:val="bottom"/>
            <w:tcBorders>
              <w:bottom w:val="single" w:sz="8" w:color="9A9A9A"/>
            </w:tcBorders>
          </w:tcPr>
          <w:p>
            <w:pPr>
              <w:spacing w:after="0"/>
              <w:rPr>
                <w:sz w:val="20"/>
                <w:szCs w:val="20"/>
                <w:color w:val="auto"/>
              </w:rPr>
            </w:pPr>
          </w:p>
        </w:tc>
        <w:tc>
          <w:tcPr>
            <w:tcW w:w="3120" w:type="dxa"/>
            <w:vAlign w:val="bottom"/>
            <w:tcBorders>
              <w:bottom w:val="single" w:sz="8" w:color="9A9A9A"/>
            </w:tcBorders>
          </w:tcPr>
          <w:p>
            <w:pPr>
              <w:spacing w:after="0"/>
              <w:rPr>
                <w:sz w:val="20"/>
                <w:szCs w:val="20"/>
                <w:color w:val="auto"/>
              </w:rPr>
            </w:pPr>
          </w:p>
        </w:tc>
        <w:tc>
          <w:tcPr>
            <w:tcW w:w="3800" w:type="dxa"/>
            <w:vAlign w:val="bottom"/>
            <w:tcBorders>
              <w:bottom w:val="single" w:sz="8" w:color="9A9A9A"/>
            </w:tcBorders>
          </w:tcPr>
          <w:p>
            <w:pPr>
              <w:spacing w:after="0"/>
              <w:rPr>
                <w:sz w:val="20"/>
                <w:szCs w:val="20"/>
                <w:color w:val="auto"/>
              </w:rPr>
            </w:pPr>
          </w:p>
        </w:tc>
        <w:tc>
          <w:tcPr>
            <w:tcW w:w="38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7135495</wp:posOffset>
            </wp:positionH>
            <wp:positionV relativeFrom="paragraph">
              <wp:posOffset>-28575</wp:posOffset>
            </wp:positionV>
            <wp:extent cx="3365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409" w:right="2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21"/>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9.2</w:t>
            </w:r>
          </w:p>
        </w:tc>
        <w:tc>
          <w:tcPr>
            <w:tcW w:w="10640" w:type="dxa"/>
            <w:vAlign w:val="bottom"/>
          </w:tcPr>
          <w:p>
            <w:pPr>
              <w:ind w:left="320"/>
              <w:spacing w:after="0"/>
              <w:rPr>
                <w:sz w:val="20"/>
                <w:szCs w:val="20"/>
                <w:color w:val="auto"/>
              </w:rPr>
            </w:pPr>
            <w:r>
              <w:rPr>
                <w:rFonts w:ascii="Arial" w:cs="Arial" w:eastAsia="Arial" w:hAnsi="Arial"/>
                <w:sz w:val="19"/>
                <w:szCs w:val="19"/>
                <w:color w:val="auto"/>
                <w:w w:val="90"/>
              </w:rPr>
              <w:t>The Executive will be required to work during ordinary business hours and also outside these hours as reasonably necessary to properly</w:t>
            </w:r>
          </w:p>
        </w:tc>
      </w:tr>
      <w:tr>
        <w:trPr>
          <w:trHeight w:val="242"/>
        </w:trPr>
        <w:tc>
          <w:tcPr>
            <w:tcW w:w="560" w:type="dxa"/>
            <w:vAlign w:val="bottom"/>
          </w:tcPr>
          <w:p>
            <w:pPr>
              <w:spacing w:after="0"/>
              <w:rPr>
                <w:sz w:val="21"/>
                <w:szCs w:val="21"/>
                <w:color w:val="auto"/>
              </w:rPr>
            </w:pPr>
          </w:p>
        </w:tc>
        <w:tc>
          <w:tcPr>
            <w:tcW w:w="10640" w:type="dxa"/>
            <w:vAlign w:val="bottom"/>
          </w:tcPr>
          <w:p>
            <w:pPr>
              <w:ind w:left="320"/>
              <w:spacing w:after="0"/>
              <w:rPr>
                <w:sz w:val="20"/>
                <w:szCs w:val="20"/>
                <w:color w:val="auto"/>
              </w:rPr>
            </w:pPr>
            <w:r>
              <w:rPr>
                <w:rFonts w:ascii="Arial" w:cs="Arial" w:eastAsia="Arial" w:hAnsi="Arial"/>
                <w:sz w:val="19"/>
                <w:szCs w:val="19"/>
                <w:color w:val="auto"/>
              </w:rPr>
              <w:t>perform duties of the position. The Executive agrees that she is available to work such reasonable additional hours.</w:t>
            </w:r>
          </w:p>
        </w:tc>
      </w:tr>
      <w:tr>
        <w:trPr>
          <w:trHeight w:val="356"/>
        </w:trPr>
        <w:tc>
          <w:tcPr>
            <w:tcW w:w="560" w:type="dxa"/>
            <w:vAlign w:val="bottom"/>
          </w:tcPr>
          <w:p>
            <w:pPr>
              <w:jc w:val="right"/>
              <w:ind w:right="225"/>
              <w:spacing w:after="0"/>
              <w:rPr>
                <w:sz w:val="20"/>
                <w:szCs w:val="20"/>
                <w:color w:val="auto"/>
              </w:rPr>
            </w:pPr>
            <w:r>
              <w:rPr>
                <w:rFonts w:ascii="Arial" w:cs="Arial" w:eastAsia="Arial" w:hAnsi="Arial"/>
                <w:sz w:val="19"/>
                <w:szCs w:val="19"/>
                <w:color w:val="auto"/>
                <w:w w:val="83"/>
              </w:rPr>
              <w:t>9.3</w:t>
            </w:r>
          </w:p>
        </w:tc>
        <w:tc>
          <w:tcPr>
            <w:tcW w:w="10640" w:type="dxa"/>
            <w:vAlign w:val="bottom"/>
          </w:tcPr>
          <w:p>
            <w:pPr>
              <w:ind w:left="320"/>
              <w:spacing w:after="0"/>
              <w:rPr>
                <w:sz w:val="20"/>
                <w:szCs w:val="20"/>
                <w:color w:val="auto"/>
              </w:rPr>
            </w:pPr>
            <w:r>
              <w:rPr>
                <w:rFonts w:ascii="Arial" w:cs="Arial" w:eastAsia="Arial" w:hAnsi="Arial"/>
                <w:sz w:val="19"/>
                <w:szCs w:val="19"/>
                <w:color w:val="auto"/>
                <w:w w:val="99"/>
              </w:rPr>
              <w:t>The Executive is not entitled to any additional pay or benefits for working outside of normal business hours. The Executive's</w:t>
            </w:r>
          </w:p>
        </w:tc>
      </w:tr>
      <w:tr>
        <w:trPr>
          <w:trHeight w:val="242"/>
        </w:trPr>
        <w:tc>
          <w:tcPr>
            <w:tcW w:w="560" w:type="dxa"/>
            <w:vAlign w:val="bottom"/>
          </w:tcPr>
          <w:p>
            <w:pPr>
              <w:spacing w:after="0"/>
              <w:rPr>
                <w:sz w:val="21"/>
                <w:szCs w:val="21"/>
                <w:color w:val="auto"/>
              </w:rPr>
            </w:pPr>
          </w:p>
        </w:tc>
        <w:tc>
          <w:tcPr>
            <w:tcW w:w="10640" w:type="dxa"/>
            <w:vAlign w:val="bottom"/>
          </w:tcPr>
          <w:p>
            <w:pPr>
              <w:ind w:left="320"/>
              <w:spacing w:after="0"/>
              <w:rPr>
                <w:sz w:val="20"/>
                <w:szCs w:val="20"/>
                <w:color w:val="auto"/>
              </w:rPr>
            </w:pPr>
            <w:r>
              <w:rPr>
                <w:rFonts w:ascii="Arial" w:cs="Arial" w:eastAsia="Arial" w:hAnsi="Arial"/>
                <w:sz w:val="19"/>
                <w:szCs w:val="19"/>
                <w:color w:val="auto"/>
              </w:rPr>
              <w:t>remuneration includes compensation for all hours worked.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261620</wp:posOffset>
            </wp:positionV>
            <wp:extent cx="71374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1"/>
          <w:szCs w:val="21"/>
          <w:b w:val="1"/>
          <w:bCs w:val="1"/>
          <w:color w:val="auto"/>
        </w:rPr>
        <w:t>Remuneration Package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Base salary</w:t>
      </w:r>
    </w:p>
    <w:p>
      <w:pPr>
        <w:spacing w:after="0" w:line="156" w:lineRule="exact"/>
        <w:rPr>
          <w:sz w:val="20"/>
          <w:szCs w:val="20"/>
          <w:color w:val="auto"/>
        </w:rPr>
      </w:pPr>
    </w:p>
    <w:p>
      <w:pPr>
        <w:ind w:left="880" w:right="220" w:hanging="870"/>
        <w:spacing w:after="0" w:line="268" w:lineRule="auto"/>
        <w:tabs>
          <w:tab w:leader="none" w:pos="86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color w:val="auto"/>
        </w:rPr>
        <w:t>The Executive will be paid a base salary of AUD$250,000 per annum, less tax. This amount is exclusive of statutory superannuation contributions.</w:t>
      </w:r>
    </w:p>
    <w:p>
      <w:pPr>
        <w:spacing w:after="0" w:line="110"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color w:val="auto"/>
        </w:rPr>
        <w:t>The salary will be paid on a monthly basis or such other basis as the parties agree.</w:t>
      </w:r>
    </w:p>
    <w:p>
      <w:pPr>
        <w:spacing w:after="0" w:line="158" w:lineRule="exact"/>
        <w:rPr>
          <w:sz w:val="20"/>
          <w:szCs w:val="20"/>
          <w:color w:val="auto"/>
        </w:rPr>
      </w:pPr>
    </w:p>
    <w:p>
      <w:pPr>
        <w:ind w:left="880" w:right="240" w:hanging="870"/>
        <w:spacing w:after="0" w:line="268" w:lineRule="auto"/>
        <w:tabs>
          <w:tab w:leader="none" w:pos="86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color w:val="auto"/>
        </w:rPr>
        <w:t>The Executive authorises and requests the Employer to deduct any monies owed by the Executive to the Employer from her monthly salary.</w:t>
      </w:r>
    </w:p>
    <w:p>
      <w:pPr>
        <w:spacing w:after="0" w:line="110" w:lineRule="exact"/>
        <w:rPr>
          <w:sz w:val="20"/>
          <w:szCs w:val="20"/>
          <w:color w:val="auto"/>
        </w:rPr>
      </w:pPr>
    </w:p>
    <w:p>
      <w:pPr>
        <w:ind w:left="880" w:right="180" w:hanging="870"/>
        <w:spacing w:after="0" w:line="255" w:lineRule="auto"/>
        <w:tabs>
          <w:tab w:leader="none" w:pos="86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9"/>
          <w:szCs w:val="19"/>
          <w:color w:val="auto"/>
        </w:rPr>
        <w:t>The Remuneration Package includes director’s fees payable in respect of any directorship in the Group held by the Executive, and the Executive is not entitled to additional director’s fees or other fees for or in respect of any directorship or other office held by the Executive in the Group.</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Superannuation</w:t>
      </w:r>
    </w:p>
    <w:p>
      <w:pPr>
        <w:spacing w:after="0" w:line="156" w:lineRule="exact"/>
        <w:rPr>
          <w:sz w:val="20"/>
          <w:szCs w:val="20"/>
          <w:color w:val="auto"/>
        </w:rPr>
      </w:pPr>
    </w:p>
    <w:p>
      <w:pPr>
        <w:ind w:left="880" w:right="760" w:hanging="870"/>
        <w:spacing w:after="0" w:line="255" w:lineRule="auto"/>
        <w:tabs>
          <w:tab w:leader="none" w:pos="86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color w:val="auto"/>
        </w:rPr>
        <w:t xml:space="preserve">The Employer will make the superannuation contributions component of the amount specified in clause 10.1 into a complying superannuation fund on behalf of the Executive so as to avoid liability for a charge under the </w:t>
      </w:r>
      <w:r>
        <w:rPr>
          <w:rFonts w:ascii="Arial" w:cs="Arial" w:eastAsia="Arial" w:hAnsi="Arial"/>
          <w:sz w:val="19"/>
          <w:szCs w:val="19"/>
          <w:i w:val="1"/>
          <w:iCs w:val="1"/>
          <w:color w:val="auto"/>
        </w:rPr>
        <w:t>Superannuation Guarantee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(Administration) Act 1992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Superannuation Guarantee Charge Act 1992</w:t>
      </w:r>
      <w:r>
        <w:rPr>
          <w:rFonts w:ascii="Arial" w:cs="Arial" w:eastAsia="Arial" w:hAnsi="Arial"/>
          <w:sz w:val="19"/>
          <w:szCs w:val="19"/>
          <w:color w:val="auto"/>
        </w:rPr>
        <w:t>.</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Incentive for Achievement of Key performance Indicators</w:t>
      </w:r>
    </w:p>
    <w:p>
      <w:pPr>
        <w:spacing w:after="0" w:line="156" w:lineRule="exact"/>
        <w:rPr>
          <w:sz w:val="20"/>
          <w:szCs w:val="20"/>
          <w:color w:val="auto"/>
        </w:rPr>
      </w:pPr>
    </w:p>
    <w:p>
      <w:pPr>
        <w:ind w:left="880" w:right="320" w:hanging="870"/>
        <w:spacing w:after="0" w:line="255" w:lineRule="auto"/>
        <w:tabs>
          <w:tab w:leader="none" w:pos="86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9"/>
          <w:szCs w:val="19"/>
          <w:color w:val="auto"/>
        </w:rPr>
        <w:t>From 1 July 2021, the Employee may be eligible to receive an annual bonus payment of up to 20% of the base salary if Key Performance Indicators, determined by the Chief Executive Officer and Board, in their absolute discretion, for the financial year are achieved during that year.</w:t>
      </w:r>
    </w:p>
    <w:p>
      <w:pPr>
        <w:spacing w:after="0" w:line="122"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10.7</w:t>
      </w:r>
      <w:r>
        <w:rPr>
          <w:sz w:val="20"/>
          <w:szCs w:val="20"/>
          <w:color w:val="auto"/>
        </w:rPr>
        <w:tab/>
      </w:r>
      <w:r>
        <w:rPr>
          <w:rFonts w:ascii="Arial" w:cs="Arial" w:eastAsia="Arial" w:hAnsi="Arial"/>
          <w:sz w:val="17"/>
          <w:szCs w:val="17"/>
          <w:color w:val="auto"/>
        </w:rPr>
        <w:t>Key Performance Indicators for the next 12 months will be determined for the Executive prior to or by September 30 of each year.</w:t>
      </w:r>
    </w:p>
    <w:p>
      <w:pPr>
        <w:spacing w:after="0" w:line="158" w:lineRule="exact"/>
        <w:rPr>
          <w:sz w:val="20"/>
          <w:szCs w:val="20"/>
          <w:color w:val="auto"/>
        </w:rPr>
      </w:pPr>
    </w:p>
    <w:p>
      <w:pPr>
        <w:ind w:left="880" w:right="100" w:hanging="870"/>
        <w:spacing w:after="0" w:line="268" w:lineRule="auto"/>
        <w:tabs>
          <w:tab w:leader="none" w:pos="860" w:val="left"/>
        </w:tabs>
        <w:rPr>
          <w:sz w:val="20"/>
          <w:szCs w:val="20"/>
          <w:color w:val="auto"/>
        </w:rPr>
      </w:pPr>
      <w:r>
        <w:rPr>
          <w:rFonts w:ascii="Arial" w:cs="Arial" w:eastAsia="Arial" w:hAnsi="Arial"/>
          <w:sz w:val="19"/>
          <w:szCs w:val="19"/>
          <w:color w:val="auto"/>
        </w:rPr>
        <w:t>10.8</w:t>
      </w:r>
      <w:r>
        <w:rPr>
          <w:sz w:val="20"/>
          <w:szCs w:val="20"/>
          <w:color w:val="auto"/>
        </w:rPr>
        <w:tab/>
      </w:r>
      <w:r>
        <w:rPr>
          <w:rFonts w:ascii="Arial" w:cs="Arial" w:eastAsia="Arial" w:hAnsi="Arial"/>
          <w:sz w:val="19"/>
          <w:szCs w:val="19"/>
          <w:color w:val="auto"/>
        </w:rPr>
        <w:t>For the avoidance of doubt, even if all Key Performance Indicators are achieved, the Board will, in its absolute discretion, determine if an annual bonus payment will be made and the amount of such bonus payment.</w:t>
      </w:r>
    </w:p>
    <w:p>
      <w:pPr>
        <w:spacing w:after="0" w:line="110" w:lineRule="exact"/>
        <w:rPr>
          <w:sz w:val="20"/>
          <w:szCs w:val="20"/>
          <w:color w:val="auto"/>
        </w:rPr>
      </w:pPr>
    </w:p>
    <w:p>
      <w:pPr>
        <w:ind w:left="880" w:right="180" w:hanging="870"/>
        <w:spacing w:after="0" w:line="268" w:lineRule="auto"/>
        <w:tabs>
          <w:tab w:leader="none" w:pos="860" w:val="left"/>
        </w:tabs>
        <w:rPr>
          <w:sz w:val="20"/>
          <w:szCs w:val="20"/>
          <w:color w:val="auto"/>
        </w:rPr>
      </w:pPr>
      <w:r>
        <w:rPr>
          <w:rFonts w:ascii="Arial" w:cs="Arial" w:eastAsia="Arial" w:hAnsi="Arial"/>
          <w:sz w:val="19"/>
          <w:szCs w:val="19"/>
          <w:color w:val="auto"/>
        </w:rPr>
        <w:t>10.9</w:t>
      </w:r>
      <w:r>
        <w:rPr>
          <w:sz w:val="20"/>
          <w:szCs w:val="20"/>
          <w:color w:val="auto"/>
        </w:rPr>
        <w:tab/>
      </w:r>
      <w:r>
        <w:rPr>
          <w:rFonts w:ascii="Arial" w:cs="Arial" w:eastAsia="Arial" w:hAnsi="Arial"/>
          <w:sz w:val="19"/>
          <w:szCs w:val="19"/>
          <w:color w:val="auto"/>
        </w:rPr>
        <w:t>The Executive will not be entitled to any incentive benefit, including an annual bonus payment, if either party terminates, or gives the other notice to terminate, this contract.</w:t>
      </w: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LTIP</w:t>
      </w:r>
    </w:p>
    <w:p>
      <w:pPr>
        <w:spacing w:after="0" w:line="156" w:lineRule="exact"/>
        <w:rPr>
          <w:sz w:val="20"/>
          <w:szCs w:val="20"/>
          <w:color w:val="auto"/>
        </w:rPr>
      </w:pPr>
    </w:p>
    <w:p>
      <w:pPr>
        <w:ind w:left="880" w:right="180" w:hanging="870"/>
        <w:spacing w:after="0" w:line="268" w:lineRule="auto"/>
        <w:tabs>
          <w:tab w:leader="none" w:pos="86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9"/>
          <w:szCs w:val="19"/>
          <w:color w:val="auto"/>
        </w:rPr>
        <w:t>Following completion of the Probationary Period, the Executive will be eligible to participate in the Company’s Long-Term Incentive Plan (LTIP) which is approved by the shareholders of the Employer, on the basis determined by the Employer.</w:t>
      </w:r>
    </w:p>
    <w:p>
      <w:pPr>
        <w:spacing w:after="0" w:line="200" w:lineRule="exact"/>
        <w:rPr>
          <w:sz w:val="20"/>
          <w:szCs w:val="20"/>
          <w:color w:val="auto"/>
        </w:rPr>
      </w:pPr>
    </w:p>
    <w:p>
      <w:pPr>
        <w:spacing w:after="0" w:line="263"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4</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9" w:name="page220"/>
    <w:bookmarkEnd w:id="219"/>
    <w:p>
      <w:pPr>
        <w:ind w:left="880" w:right="800" w:hanging="809"/>
        <w:spacing w:after="0" w:line="268" w:lineRule="auto"/>
        <w:rPr>
          <w:sz w:val="20"/>
          <w:szCs w:val="20"/>
          <w:color w:val="auto"/>
        </w:rPr>
      </w:pPr>
      <w:r>
        <w:rPr>
          <w:rFonts w:ascii="Arial" w:cs="Arial" w:eastAsia="Arial" w:hAnsi="Arial"/>
          <w:sz w:val="19"/>
          <w:szCs w:val="19"/>
          <w:color w:val="auto"/>
        </w:rPr>
        <w:t>10.11 The Employer hereby acknowledges the intention for the Executive to be invited to participate in the Company’s LTIP following completion of the Probationary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71374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21"/>
          <w:szCs w:val="21"/>
          <w:b w:val="1"/>
          <w:bCs w:val="1"/>
          <w:color w:val="auto"/>
        </w:rPr>
        <w:t>Refund of expenses</w:t>
      </w:r>
    </w:p>
    <w:p>
      <w:pPr>
        <w:spacing w:after="0" w:line="164" w:lineRule="exact"/>
        <w:rPr>
          <w:sz w:val="20"/>
          <w:szCs w:val="20"/>
          <w:color w:val="auto"/>
        </w:rPr>
      </w:pPr>
    </w:p>
    <w:p>
      <w:pPr>
        <w:ind w:left="880" w:right="700" w:hanging="870"/>
        <w:spacing w:after="0" w:line="268" w:lineRule="auto"/>
        <w:tabs>
          <w:tab w:leader="none" w:pos="86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9"/>
          <w:szCs w:val="19"/>
          <w:color w:val="auto"/>
        </w:rPr>
        <w:t>Any business expenses which the Executive necessarily incurs for the purpose of carrying out the duties of the Position will be reimbursed by the Employer provided that:</w:t>
      </w:r>
    </w:p>
    <w:p>
      <w:pPr>
        <w:spacing w:after="0" w:line="110" w:lineRule="exact"/>
        <w:rPr>
          <w:sz w:val="20"/>
          <w:szCs w:val="20"/>
          <w:color w:val="auto"/>
        </w:rPr>
      </w:pPr>
    </w:p>
    <w:p>
      <w:pPr>
        <w:ind w:left="1740" w:hanging="865"/>
        <w:spacing w:after="0"/>
        <w:tabs>
          <w:tab w:leader="none" w:pos="17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expenses are reasonable and related directly to the Employer's business;</w:t>
      </w:r>
    </w:p>
    <w:p>
      <w:pPr>
        <w:spacing w:after="0" w:line="158" w:lineRule="exact"/>
        <w:rPr>
          <w:rFonts w:ascii="Arial" w:cs="Arial" w:eastAsia="Arial" w:hAnsi="Arial"/>
          <w:sz w:val="19"/>
          <w:szCs w:val="19"/>
          <w:color w:val="auto"/>
        </w:rPr>
      </w:pPr>
    </w:p>
    <w:p>
      <w:pPr>
        <w:ind w:left="1740" w:right="380" w:hanging="865"/>
        <w:spacing w:after="0" w:line="268" w:lineRule="auto"/>
        <w:tabs>
          <w:tab w:leader="none" w:pos="17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Executive has provided the Employer with itemised receipts of these expenses, and any other additional evidence of these expenses as it may reasonably require; and</w:t>
      </w:r>
    </w:p>
    <w:p>
      <w:pPr>
        <w:spacing w:after="0" w:line="109" w:lineRule="exact"/>
        <w:rPr>
          <w:rFonts w:ascii="Arial" w:cs="Arial" w:eastAsia="Arial" w:hAnsi="Arial"/>
          <w:sz w:val="19"/>
          <w:szCs w:val="19"/>
          <w:color w:val="auto"/>
        </w:rPr>
      </w:pPr>
    </w:p>
    <w:p>
      <w:pPr>
        <w:ind w:left="1740" w:right="480" w:hanging="865"/>
        <w:spacing w:after="0" w:line="268" w:lineRule="auto"/>
        <w:tabs>
          <w:tab w:leader="none" w:pos="17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Executive complies with any other policy or procedure published by the Employer from time to time regarding the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71374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21"/>
          <w:szCs w:val="21"/>
          <w:b w:val="1"/>
          <w:bCs w:val="1"/>
          <w:color w:val="auto"/>
        </w:rPr>
        <w:t>Leave entitlements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and Long Service Leave</w:t>
      </w:r>
    </w:p>
    <w:p>
      <w:pPr>
        <w:spacing w:after="0" w:line="156" w:lineRule="exact"/>
        <w:rPr>
          <w:sz w:val="20"/>
          <w:szCs w:val="20"/>
          <w:color w:val="auto"/>
        </w:rPr>
      </w:pPr>
    </w:p>
    <w:p>
      <w:pPr>
        <w:ind w:left="880" w:right="480" w:hanging="870"/>
        <w:spacing w:after="0" w:line="296" w:lineRule="auto"/>
        <w:tabs>
          <w:tab w:leader="none" w:pos="860" w:val="left"/>
        </w:tabs>
        <w:rPr>
          <w:sz w:val="20"/>
          <w:szCs w:val="20"/>
          <w:color w:val="auto"/>
        </w:rPr>
      </w:pPr>
      <w:r>
        <w:rPr>
          <w:rFonts w:ascii="Arial" w:cs="Arial" w:eastAsia="Arial" w:hAnsi="Arial"/>
          <w:sz w:val="19"/>
          <w:szCs w:val="19"/>
          <w:color w:val="auto"/>
        </w:rPr>
        <w:t>12.1</w:t>
      </w:r>
      <w:r>
        <w:rPr>
          <w:sz w:val="20"/>
          <w:szCs w:val="20"/>
          <w:color w:val="auto"/>
        </w:rPr>
        <w:tab/>
      </w:r>
      <w:r>
        <w:rPr>
          <w:rFonts w:ascii="Arial" w:cs="Arial" w:eastAsia="Arial" w:hAnsi="Arial"/>
          <w:sz w:val="18"/>
          <w:szCs w:val="18"/>
          <w:color w:val="auto"/>
        </w:rPr>
        <w:t>The Executive is entitled to accrue annual holidays in accordance with applicable law. This entitlement currently amounts to four ordinary working weeks' paid leave per year of service. Untaken annual leave accumulates from year to year.</w:t>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7"/>
          <w:szCs w:val="17"/>
          <w:color w:val="auto"/>
        </w:rPr>
        <w:t>The Executive must take leave at a time that is mutually agreed between the Employer and the Executive.</w:t>
      </w:r>
    </w:p>
    <w:p>
      <w:pPr>
        <w:spacing w:after="0" w:line="158" w:lineRule="exact"/>
        <w:rPr>
          <w:sz w:val="20"/>
          <w:szCs w:val="20"/>
          <w:color w:val="auto"/>
        </w:rPr>
      </w:pPr>
    </w:p>
    <w:p>
      <w:pPr>
        <w:ind w:left="880" w:right="320" w:hanging="870"/>
        <w:spacing w:after="0" w:line="268" w:lineRule="auto"/>
        <w:tabs>
          <w:tab w:leader="none" w:pos="860" w:val="left"/>
        </w:tabs>
        <w:rPr>
          <w:sz w:val="20"/>
          <w:szCs w:val="20"/>
          <w:color w:val="auto"/>
        </w:rPr>
      </w:pPr>
      <w:r>
        <w:rPr>
          <w:rFonts w:ascii="Arial" w:cs="Arial" w:eastAsia="Arial" w:hAnsi="Arial"/>
          <w:sz w:val="19"/>
          <w:szCs w:val="19"/>
          <w:color w:val="auto"/>
        </w:rPr>
        <w:t>12.3</w:t>
      </w:r>
      <w:r>
        <w:rPr>
          <w:sz w:val="20"/>
          <w:szCs w:val="20"/>
          <w:color w:val="auto"/>
        </w:rPr>
        <w:tab/>
      </w:r>
      <w:r>
        <w:rPr>
          <w:rFonts w:ascii="Arial" w:cs="Arial" w:eastAsia="Arial" w:hAnsi="Arial"/>
          <w:sz w:val="19"/>
          <w:szCs w:val="19"/>
          <w:color w:val="auto"/>
        </w:rPr>
        <w:t xml:space="preserve">The Executive is entitled to accrue long service leave in accordance with the provisions of the </w:t>
      </w:r>
      <w:r>
        <w:rPr>
          <w:rFonts w:ascii="Arial" w:cs="Arial" w:eastAsia="Arial" w:hAnsi="Arial"/>
          <w:sz w:val="19"/>
          <w:szCs w:val="19"/>
          <w:i w:val="1"/>
          <w:iCs w:val="1"/>
          <w:color w:val="auto"/>
        </w:rPr>
        <w:t>Long Service Leave Act 1992 (Vic)</w:t>
      </w:r>
      <w:r>
        <w:rPr>
          <w:rFonts w:ascii="Arial" w:cs="Arial" w:eastAsia="Arial" w:hAnsi="Arial"/>
          <w:sz w:val="19"/>
          <w:szCs w:val="19"/>
          <w:color w:val="auto"/>
        </w:rPr>
        <w:t xml:space="preserve"> or any other applicable law.</w:t>
      </w:r>
    </w:p>
    <w:p>
      <w:pPr>
        <w:spacing w:after="0" w:line="110" w:lineRule="exact"/>
        <w:rPr>
          <w:sz w:val="20"/>
          <w:szCs w:val="20"/>
          <w:color w:val="auto"/>
        </w:rPr>
      </w:pPr>
    </w:p>
    <w:p>
      <w:pPr>
        <w:ind w:left="880" w:right="1200" w:hanging="870"/>
        <w:spacing w:after="0" w:line="268" w:lineRule="auto"/>
        <w:tabs>
          <w:tab w:leader="none" w:pos="860" w:val="left"/>
        </w:tabs>
        <w:rPr>
          <w:sz w:val="20"/>
          <w:szCs w:val="20"/>
          <w:color w:val="auto"/>
        </w:rPr>
      </w:pPr>
      <w:r>
        <w:rPr>
          <w:rFonts w:ascii="Arial" w:cs="Arial" w:eastAsia="Arial" w:hAnsi="Arial"/>
          <w:sz w:val="19"/>
          <w:szCs w:val="19"/>
          <w:color w:val="auto"/>
        </w:rPr>
        <w:t>12.4</w:t>
      </w:r>
      <w:r>
        <w:rPr>
          <w:sz w:val="20"/>
          <w:szCs w:val="20"/>
          <w:color w:val="auto"/>
        </w:rPr>
        <w:tab/>
      </w:r>
      <w:r>
        <w:rPr>
          <w:rFonts w:ascii="Arial" w:cs="Arial" w:eastAsia="Arial" w:hAnsi="Arial"/>
          <w:sz w:val="19"/>
          <w:szCs w:val="19"/>
          <w:color w:val="auto"/>
        </w:rPr>
        <w:t>Whilst on such leave, the Executive will not engage in any conduct which is inconsistent with the Executive's duties and responsibilities under this contract.</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Personal Leave</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12.5</w:t>
      </w:r>
      <w:r>
        <w:rPr>
          <w:sz w:val="20"/>
          <w:szCs w:val="20"/>
          <w:color w:val="auto"/>
        </w:rPr>
        <w:tab/>
      </w:r>
      <w:r>
        <w:rPr>
          <w:rFonts w:ascii="Arial" w:cs="Arial" w:eastAsia="Arial" w:hAnsi="Arial"/>
          <w:sz w:val="17"/>
          <w:szCs w:val="17"/>
          <w:color w:val="auto"/>
        </w:rPr>
        <w:t>The Executive will be entitled to personal leave in accordance with applicable law.</w:t>
      </w:r>
    </w:p>
    <w:p>
      <w:pPr>
        <w:spacing w:after="0" w:line="158" w:lineRule="exact"/>
        <w:rPr>
          <w:sz w:val="20"/>
          <w:szCs w:val="20"/>
          <w:color w:val="auto"/>
        </w:rPr>
      </w:pPr>
    </w:p>
    <w:p>
      <w:pPr>
        <w:ind w:left="880" w:right="160" w:hanging="870"/>
        <w:spacing w:after="0" w:line="268" w:lineRule="auto"/>
        <w:tabs>
          <w:tab w:leader="none" w:pos="860" w:val="left"/>
        </w:tabs>
        <w:rPr>
          <w:sz w:val="20"/>
          <w:szCs w:val="20"/>
          <w:color w:val="auto"/>
        </w:rPr>
      </w:pPr>
      <w:r>
        <w:rPr>
          <w:rFonts w:ascii="Arial" w:cs="Arial" w:eastAsia="Arial" w:hAnsi="Arial"/>
          <w:sz w:val="19"/>
          <w:szCs w:val="19"/>
          <w:color w:val="auto"/>
        </w:rPr>
        <w:t>12.6</w:t>
      </w:r>
      <w:r>
        <w:rPr>
          <w:sz w:val="20"/>
          <w:szCs w:val="20"/>
          <w:color w:val="auto"/>
        </w:rPr>
        <w:tab/>
      </w:r>
      <w:r>
        <w:rPr>
          <w:rFonts w:ascii="Arial" w:cs="Arial" w:eastAsia="Arial" w:hAnsi="Arial"/>
          <w:sz w:val="19"/>
          <w:szCs w:val="19"/>
          <w:color w:val="auto"/>
        </w:rPr>
        <w:t>The Executive will not be entitled to receive any payment for any accrued and unused personal leave upon termination or at any other time.</w:t>
      </w:r>
    </w:p>
    <w:p>
      <w:pPr>
        <w:spacing w:after="0" w:line="110" w:lineRule="exact"/>
        <w:rPr>
          <w:sz w:val="20"/>
          <w:szCs w:val="20"/>
          <w:color w:val="auto"/>
        </w:rPr>
      </w:pPr>
    </w:p>
    <w:p>
      <w:pPr>
        <w:ind w:left="880" w:right="20" w:hanging="870"/>
        <w:spacing w:after="0" w:line="251" w:lineRule="auto"/>
        <w:tabs>
          <w:tab w:leader="none" w:pos="860" w:val="left"/>
        </w:tabs>
        <w:rPr>
          <w:sz w:val="20"/>
          <w:szCs w:val="20"/>
          <w:color w:val="auto"/>
        </w:rPr>
      </w:pPr>
      <w:r>
        <w:rPr>
          <w:rFonts w:ascii="Arial" w:cs="Arial" w:eastAsia="Arial" w:hAnsi="Arial"/>
          <w:sz w:val="19"/>
          <w:szCs w:val="19"/>
          <w:color w:val="auto"/>
        </w:rPr>
        <w:t>12.7</w:t>
      </w:r>
      <w:r>
        <w:rPr>
          <w:sz w:val="20"/>
          <w:szCs w:val="20"/>
          <w:color w:val="auto"/>
        </w:rPr>
        <w:tab/>
      </w:r>
      <w:r>
        <w:rPr>
          <w:rFonts w:ascii="Arial" w:cs="Arial" w:eastAsia="Arial" w:hAnsi="Arial"/>
          <w:sz w:val="19"/>
          <w:szCs w:val="19"/>
          <w:color w:val="auto"/>
        </w:rPr>
        <w:t>Without limiting the above, the Employer may require the Executive to be examined by a medical practitioner nominated by the Employer to determine whether or not the Executive is fit for work, and the Executive consents to the Employer receiving a report from such a medical practitioner for this purpose. The Executive will confirm such consent in writing as and when required by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1374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21"/>
          <w:szCs w:val="21"/>
          <w:b w:val="1"/>
          <w:bCs w:val="1"/>
          <w:color w:val="auto"/>
        </w:rPr>
        <w:t>Policies and Procedures</w:t>
      </w:r>
    </w:p>
    <w:p>
      <w:pPr>
        <w:spacing w:after="0" w:line="164" w:lineRule="exact"/>
        <w:rPr>
          <w:sz w:val="20"/>
          <w:szCs w:val="20"/>
          <w:color w:val="auto"/>
        </w:rPr>
      </w:pPr>
    </w:p>
    <w:p>
      <w:pPr>
        <w:ind w:left="880" w:right="100" w:hanging="870"/>
        <w:spacing w:after="0" w:line="251" w:lineRule="auto"/>
        <w:tabs>
          <w:tab w:leader="none" w:pos="860" w:val="left"/>
        </w:tabs>
        <w:rPr>
          <w:sz w:val="20"/>
          <w:szCs w:val="20"/>
          <w:color w:val="auto"/>
        </w:rPr>
      </w:pPr>
      <w:r>
        <w:rPr>
          <w:rFonts w:ascii="Arial" w:cs="Arial" w:eastAsia="Arial" w:hAnsi="Arial"/>
          <w:sz w:val="19"/>
          <w:szCs w:val="19"/>
          <w:color w:val="auto"/>
        </w:rPr>
        <w:t>13.1</w:t>
      </w:r>
      <w:r>
        <w:rPr>
          <w:sz w:val="20"/>
          <w:szCs w:val="20"/>
          <w:color w:val="auto"/>
        </w:rPr>
        <w:tab/>
      </w:r>
      <w:r>
        <w:rPr>
          <w:rFonts w:ascii="Arial" w:cs="Arial" w:eastAsia="Arial" w:hAnsi="Arial"/>
          <w:sz w:val="19"/>
          <w:szCs w:val="19"/>
          <w:color w:val="auto"/>
        </w:rPr>
        <w:t>The Employer may issue policies from time to time in relation to the Employment. These policies do not form part of the Executive's employment contract with the Employer or give rise to any contractual rights. However, to the extent that these policies require the Executive to do any act or thing, or to refrain from doing any act or thing, these policies constitute directions from the Employer to the Executive with which the Executive must comply.</w:t>
      </w:r>
    </w:p>
    <w:p>
      <w:pPr>
        <w:spacing w:after="0" w:line="200" w:lineRule="exact"/>
        <w:rPr>
          <w:sz w:val="20"/>
          <w:szCs w:val="20"/>
          <w:color w:val="auto"/>
        </w:rPr>
      </w:pPr>
    </w:p>
    <w:p>
      <w:pPr>
        <w:spacing w:after="0" w:line="279"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5</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9">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0" w:name="page221"/>
    <w:bookmarkEnd w:id="220"/>
    <w:p>
      <w:pPr>
        <w:spacing w:after="0"/>
        <w:tabs>
          <w:tab w:leader="none" w:pos="860" w:val="left"/>
        </w:tabs>
        <w:rPr>
          <w:sz w:val="20"/>
          <w:szCs w:val="20"/>
          <w:color w:val="auto"/>
        </w:rPr>
      </w:pPr>
      <w:r>
        <w:rPr>
          <w:rFonts w:ascii="Arial" w:cs="Arial" w:eastAsia="Arial" w:hAnsi="Arial"/>
          <w:sz w:val="19"/>
          <w:szCs w:val="19"/>
          <w:color w:val="auto"/>
        </w:rPr>
        <w:t>13.2</w:t>
      </w:r>
      <w:r>
        <w:rPr>
          <w:sz w:val="20"/>
          <w:szCs w:val="20"/>
          <w:color w:val="auto"/>
        </w:rPr>
        <w:tab/>
      </w:r>
      <w:r>
        <w:rPr>
          <w:rFonts w:ascii="Arial" w:cs="Arial" w:eastAsia="Arial" w:hAnsi="Arial"/>
          <w:sz w:val="17"/>
          <w:szCs w:val="17"/>
          <w:color w:val="auto"/>
        </w:rPr>
        <w:t>The Employer has the right to vary or not apply these policies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276225</wp:posOffset>
            </wp:positionV>
            <wp:extent cx="71374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14</w:t>
      </w:r>
      <w:r>
        <w:rPr>
          <w:sz w:val="20"/>
          <w:szCs w:val="20"/>
          <w:color w:val="auto"/>
        </w:rPr>
        <w:tab/>
      </w:r>
      <w:r>
        <w:rPr>
          <w:rFonts w:ascii="Arial" w:cs="Arial" w:eastAsia="Arial" w:hAnsi="Arial"/>
          <w:sz w:val="21"/>
          <w:szCs w:val="21"/>
          <w:b w:val="1"/>
          <w:bCs w:val="1"/>
          <w:color w:val="auto"/>
        </w:rPr>
        <w:t>Anti-discrimination and Harassment</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14.1</w:t>
      </w:r>
      <w:r>
        <w:rPr>
          <w:sz w:val="20"/>
          <w:szCs w:val="20"/>
          <w:color w:val="auto"/>
        </w:rPr>
        <w:tab/>
      </w:r>
      <w:r>
        <w:rPr>
          <w:rFonts w:ascii="Arial" w:cs="Arial" w:eastAsia="Arial" w:hAnsi="Arial"/>
          <w:sz w:val="17"/>
          <w:szCs w:val="17"/>
          <w:color w:val="auto"/>
        </w:rPr>
        <w:t>The Employer is an equal opportunity employer and will not tolerate unlawful discrimination or harassment at its workplace.</w:t>
      </w:r>
    </w:p>
    <w:p>
      <w:pPr>
        <w:spacing w:after="0" w:line="158" w:lineRule="exact"/>
        <w:rPr>
          <w:sz w:val="20"/>
          <w:szCs w:val="20"/>
          <w:color w:val="auto"/>
        </w:rPr>
      </w:pPr>
    </w:p>
    <w:p>
      <w:pPr>
        <w:ind w:left="880" w:right="220" w:hanging="870"/>
        <w:spacing w:after="0" w:line="268" w:lineRule="auto"/>
        <w:tabs>
          <w:tab w:leader="none" w:pos="860" w:val="left"/>
        </w:tabs>
        <w:rPr>
          <w:sz w:val="20"/>
          <w:szCs w:val="20"/>
          <w:color w:val="auto"/>
        </w:rPr>
      </w:pPr>
      <w:r>
        <w:rPr>
          <w:rFonts w:ascii="Arial" w:cs="Arial" w:eastAsia="Arial" w:hAnsi="Arial"/>
          <w:sz w:val="19"/>
          <w:szCs w:val="19"/>
          <w:color w:val="auto"/>
        </w:rPr>
        <w:t>14.2</w:t>
      </w:r>
      <w:r>
        <w:rPr>
          <w:sz w:val="20"/>
          <w:szCs w:val="20"/>
          <w:color w:val="auto"/>
        </w:rPr>
        <w:tab/>
      </w:r>
      <w:r>
        <w:rPr>
          <w:rFonts w:ascii="Arial" w:cs="Arial" w:eastAsia="Arial" w:hAnsi="Arial"/>
          <w:sz w:val="19"/>
          <w:szCs w:val="19"/>
          <w:color w:val="auto"/>
        </w:rPr>
        <w:t>The Executive must at all times comply with and ensure that the employees of the Employer comply with the anti-discrimination and harassment policies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71374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15</w:t>
      </w:r>
      <w:r>
        <w:rPr>
          <w:sz w:val="20"/>
          <w:szCs w:val="20"/>
          <w:color w:val="auto"/>
        </w:rPr>
        <w:tab/>
      </w:r>
      <w:r>
        <w:rPr>
          <w:rFonts w:ascii="Arial" w:cs="Arial" w:eastAsia="Arial" w:hAnsi="Arial"/>
          <w:sz w:val="21"/>
          <w:szCs w:val="21"/>
          <w:b w:val="1"/>
          <w:bCs w:val="1"/>
          <w:color w:val="auto"/>
        </w:rPr>
        <w:t>Termination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within the Probation Period</w:t>
      </w:r>
    </w:p>
    <w:p>
      <w:pPr>
        <w:spacing w:after="0" w:line="156" w:lineRule="exact"/>
        <w:rPr>
          <w:sz w:val="20"/>
          <w:szCs w:val="20"/>
          <w:color w:val="auto"/>
        </w:rPr>
      </w:pPr>
    </w:p>
    <w:p>
      <w:pPr>
        <w:ind w:left="880" w:right="240" w:hanging="870"/>
        <w:spacing w:after="0" w:line="268" w:lineRule="auto"/>
        <w:tabs>
          <w:tab w:leader="none" w:pos="860" w:val="left"/>
        </w:tabs>
        <w:rPr>
          <w:sz w:val="20"/>
          <w:szCs w:val="20"/>
          <w:color w:val="auto"/>
        </w:rPr>
      </w:pPr>
      <w:r>
        <w:rPr>
          <w:rFonts w:ascii="Arial" w:cs="Arial" w:eastAsia="Arial" w:hAnsi="Arial"/>
          <w:sz w:val="19"/>
          <w:szCs w:val="19"/>
          <w:color w:val="auto"/>
        </w:rPr>
        <w:t>15.1</w:t>
      </w:r>
      <w:r>
        <w:rPr>
          <w:sz w:val="20"/>
          <w:szCs w:val="20"/>
          <w:color w:val="auto"/>
        </w:rPr>
        <w:tab/>
      </w:r>
      <w:r>
        <w:rPr>
          <w:rFonts w:ascii="Arial" w:cs="Arial" w:eastAsia="Arial" w:hAnsi="Arial"/>
          <w:sz w:val="19"/>
          <w:szCs w:val="19"/>
          <w:color w:val="auto"/>
        </w:rPr>
        <w:t>Within the first 4 months of Employment, the Employer may terminate the Employment with a 4-week notice period (the “Probation Period”).</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with prior notice</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15.2</w:t>
      </w:r>
      <w:r>
        <w:rPr>
          <w:sz w:val="20"/>
          <w:szCs w:val="20"/>
          <w:color w:val="auto"/>
        </w:rPr>
        <w:tab/>
      </w:r>
      <w:r>
        <w:rPr>
          <w:rFonts w:ascii="Arial" w:cs="Arial" w:eastAsia="Arial" w:hAnsi="Arial"/>
          <w:sz w:val="17"/>
          <w:szCs w:val="17"/>
          <w:color w:val="auto"/>
        </w:rPr>
        <w:t>Either party may terminate the Employment by giving the other not less than three months' notice.</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15.3</w:t>
      </w:r>
      <w:r>
        <w:rPr>
          <w:sz w:val="20"/>
          <w:szCs w:val="20"/>
          <w:color w:val="auto"/>
        </w:rPr>
        <w:tab/>
      </w:r>
      <w:r>
        <w:rPr>
          <w:rFonts w:ascii="Arial" w:cs="Arial" w:eastAsia="Arial" w:hAnsi="Arial"/>
          <w:sz w:val="17"/>
          <w:szCs w:val="17"/>
          <w:color w:val="auto"/>
        </w:rPr>
        <w:t>The Employer may also terminate the Employment by either:</w:t>
      </w:r>
    </w:p>
    <w:p>
      <w:pPr>
        <w:spacing w:after="0" w:line="158" w:lineRule="exact"/>
        <w:rPr>
          <w:sz w:val="20"/>
          <w:szCs w:val="20"/>
          <w:color w:val="auto"/>
        </w:rPr>
      </w:pPr>
    </w:p>
    <w:p>
      <w:pPr>
        <w:ind w:left="1740" w:hanging="865"/>
        <w:spacing w:after="0"/>
        <w:tabs>
          <w:tab w:leader="none" w:pos="17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making a payment in lieu of the entire notice period; or</w:t>
      </w:r>
    </w:p>
    <w:p>
      <w:pPr>
        <w:spacing w:after="0" w:line="158" w:lineRule="exact"/>
        <w:rPr>
          <w:rFonts w:ascii="Arial" w:cs="Arial" w:eastAsia="Arial" w:hAnsi="Arial"/>
          <w:sz w:val="19"/>
          <w:szCs w:val="19"/>
          <w:color w:val="auto"/>
        </w:rPr>
      </w:pPr>
    </w:p>
    <w:p>
      <w:pPr>
        <w:ind w:left="1740" w:hanging="865"/>
        <w:spacing w:after="0"/>
        <w:tabs>
          <w:tab w:leader="none" w:pos="17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requiring the Executive to work part of the notice period and making a payment in lieu of the balance of the notice period.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either case the Employment will be terminated upon the making of the payment in lieu of notice.</w:t>
      </w:r>
    </w:p>
    <w:p>
      <w:pPr>
        <w:spacing w:after="0" w:line="158" w:lineRule="exact"/>
        <w:rPr>
          <w:sz w:val="20"/>
          <w:szCs w:val="20"/>
          <w:color w:val="auto"/>
        </w:rPr>
      </w:pPr>
    </w:p>
    <w:p>
      <w:pPr>
        <w:ind w:left="880" w:right="140" w:hanging="870"/>
        <w:spacing w:after="0" w:line="255" w:lineRule="auto"/>
        <w:tabs>
          <w:tab w:leader="none" w:pos="860" w:val="left"/>
        </w:tabs>
        <w:rPr>
          <w:sz w:val="20"/>
          <w:szCs w:val="20"/>
          <w:color w:val="auto"/>
        </w:rPr>
      </w:pPr>
      <w:r>
        <w:rPr>
          <w:rFonts w:ascii="Arial" w:cs="Arial" w:eastAsia="Arial" w:hAnsi="Arial"/>
          <w:sz w:val="19"/>
          <w:szCs w:val="19"/>
          <w:color w:val="auto"/>
        </w:rPr>
        <w:t>15.4</w:t>
      </w:r>
      <w:r>
        <w:rPr>
          <w:sz w:val="20"/>
          <w:szCs w:val="20"/>
          <w:color w:val="auto"/>
        </w:rPr>
        <w:tab/>
      </w:r>
      <w:r>
        <w:rPr>
          <w:rFonts w:ascii="Arial" w:cs="Arial" w:eastAsia="Arial" w:hAnsi="Arial"/>
          <w:sz w:val="19"/>
          <w:szCs w:val="19"/>
          <w:color w:val="auto"/>
        </w:rPr>
        <w:t>Nothing in any policy, statement, or representation issued or made by the Employer will affect its ability to terminate the Employment by giving prior notice (or making a payment in lieu) or impose any requirement upon the Employer to follow any procedure before terminating the Employment other than the giving of prior notice (or making a payment in lieu).</w:t>
      </w:r>
    </w:p>
    <w:p>
      <w:pPr>
        <w:spacing w:after="0" w:line="122" w:lineRule="exact"/>
        <w:rPr>
          <w:sz w:val="20"/>
          <w:szCs w:val="20"/>
          <w:color w:val="auto"/>
        </w:rPr>
      </w:pPr>
    </w:p>
    <w:p>
      <w:pPr>
        <w:ind w:left="880" w:right="240" w:hanging="870"/>
        <w:spacing w:after="0" w:line="268" w:lineRule="auto"/>
        <w:tabs>
          <w:tab w:leader="none" w:pos="860" w:val="left"/>
        </w:tabs>
        <w:rPr>
          <w:sz w:val="20"/>
          <w:szCs w:val="20"/>
          <w:color w:val="auto"/>
        </w:rPr>
      </w:pPr>
      <w:r>
        <w:rPr>
          <w:rFonts w:ascii="Arial" w:cs="Arial" w:eastAsia="Arial" w:hAnsi="Arial"/>
          <w:sz w:val="19"/>
          <w:szCs w:val="19"/>
          <w:color w:val="auto"/>
        </w:rPr>
        <w:t>15.5</w:t>
      </w:r>
      <w:r>
        <w:rPr>
          <w:sz w:val="20"/>
          <w:szCs w:val="20"/>
          <w:color w:val="auto"/>
        </w:rPr>
        <w:tab/>
      </w:r>
      <w:r>
        <w:rPr>
          <w:rFonts w:ascii="Arial" w:cs="Arial" w:eastAsia="Arial" w:hAnsi="Arial"/>
          <w:sz w:val="19"/>
          <w:szCs w:val="19"/>
          <w:color w:val="auto"/>
        </w:rPr>
        <w:t>Where the Executive is required to work out a period of notice, including if terminated within the Probationary Period, the Employer may direct the Executive during some or all of the notice period:</w:t>
      </w:r>
    </w:p>
    <w:p>
      <w:pPr>
        <w:spacing w:after="0" w:line="110" w:lineRule="exact"/>
        <w:rPr>
          <w:sz w:val="20"/>
          <w:szCs w:val="20"/>
          <w:color w:val="auto"/>
        </w:rPr>
      </w:pPr>
    </w:p>
    <w:p>
      <w:pPr>
        <w:ind w:left="1740" w:hanging="865"/>
        <w:spacing w:after="0"/>
        <w:tabs>
          <w:tab w:leader="none" w:pos="17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not to attend any offices or premises of the Employer;</w:t>
      </w:r>
    </w:p>
    <w:p>
      <w:pPr>
        <w:spacing w:after="0" w:line="158" w:lineRule="exact"/>
        <w:rPr>
          <w:rFonts w:ascii="Arial" w:cs="Arial" w:eastAsia="Arial" w:hAnsi="Arial"/>
          <w:sz w:val="19"/>
          <w:szCs w:val="19"/>
          <w:color w:val="auto"/>
        </w:rPr>
      </w:pPr>
    </w:p>
    <w:p>
      <w:pPr>
        <w:ind w:left="1740" w:right="740" w:hanging="865"/>
        <w:spacing w:after="0" w:line="268" w:lineRule="auto"/>
        <w:tabs>
          <w:tab w:leader="none" w:pos="17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not to contact clients, customers, suppliers, employees or contractors of the Employer in relation to the Employer’s business;</w:t>
      </w:r>
    </w:p>
    <w:p>
      <w:pPr>
        <w:spacing w:after="0" w:line="109" w:lineRule="exact"/>
        <w:rPr>
          <w:rFonts w:ascii="Arial" w:cs="Arial" w:eastAsia="Arial" w:hAnsi="Arial"/>
          <w:sz w:val="19"/>
          <w:szCs w:val="19"/>
          <w:color w:val="auto"/>
        </w:rPr>
      </w:pPr>
    </w:p>
    <w:p>
      <w:pPr>
        <w:ind w:left="1740" w:hanging="865"/>
        <w:spacing w:after="0"/>
        <w:tabs>
          <w:tab w:leader="none" w:pos="17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not to perform the duties of the Position;</w:t>
      </w:r>
    </w:p>
    <w:p>
      <w:pPr>
        <w:spacing w:after="0" w:line="158" w:lineRule="exact"/>
        <w:rPr>
          <w:rFonts w:ascii="Arial" w:cs="Arial" w:eastAsia="Arial" w:hAnsi="Arial"/>
          <w:sz w:val="19"/>
          <w:szCs w:val="19"/>
          <w:color w:val="auto"/>
        </w:rPr>
      </w:pPr>
    </w:p>
    <w:p>
      <w:pPr>
        <w:ind w:left="1740" w:hanging="865"/>
        <w:spacing w:after="0"/>
        <w:tabs>
          <w:tab w:leader="none" w:pos="17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to perform the duties of the Position from home;</w:t>
      </w:r>
    </w:p>
    <w:p>
      <w:pPr>
        <w:spacing w:after="0" w:line="158" w:lineRule="exact"/>
        <w:rPr>
          <w:rFonts w:ascii="Arial" w:cs="Arial" w:eastAsia="Arial" w:hAnsi="Arial"/>
          <w:sz w:val="19"/>
          <w:szCs w:val="19"/>
          <w:color w:val="auto"/>
        </w:rPr>
      </w:pPr>
    </w:p>
    <w:p>
      <w:pPr>
        <w:ind w:left="1740" w:right="120" w:hanging="865"/>
        <w:spacing w:after="0" w:line="268" w:lineRule="auto"/>
        <w:tabs>
          <w:tab w:leader="none" w:pos="17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to assist the Employer arrange a proper handover of her duties and work (including a handover of clients, business contacts and business); or</w:t>
      </w:r>
    </w:p>
    <w:p>
      <w:pPr>
        <w:spacing w:after="0" w:line="109" w:lineRule="exact"/>
        <w:rPr>
          <w:rFonts w:ascii="Arial" w:cs="Arial" w:eastAsia="Arial" w:hAnsi="Arial"/>
          <w:sz w:val="19"/>
          <w:szCs w:val="19"/>
          <w:color w:val="auto"/>
        </w:rPr>
      </w:pPr>
    </w:p>
    <w:p>
      <w:pPr>
        <w:ind w:left="1740" w:hanging="865"/>
        <w:spacing w:after="0"/>
        <w:tabs>
          <w:tab w:leader="none" w:pos="17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any combination of the above.</w:t>
      </w:r>
    </w:p>
    <w:p>
      <w:pPr>
        <w:spacing w:after="0" w:line="200" w:lineRule="exact"/>
        <w:rPr>
          <w:sz w:val="20"/>
          <w:szCs w:val="20"/>
          <w:color w:val="auto"/>
        </w:rPr>
      </w:pPr>
    </w:p>
    <w:p>
      <w:pPr>
        <w:spacing w:after="0" w:line="312"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6</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221" w:name="page222"/>
    <w:bookmarkEnd w:id="221"/>
    <w:p>
      <w:pPr>
        <w:ind w:left="880" w:right="180" w:hanging="870"/>
        <w:spacing w:after="0" w:line="268" w:lineRule="auto"/>
        <w:tabs>
          <w:tab w:leader="none" w:pos="860" w:val="left"/>
        </w:tabs>
        <w:rPr>
          <w:sz w:val="20"/>
          <w:szCs w:val="20"/>
          <w:color w:val="auto"/>
        </w:rPr>
      </w:pPr>
      <w:r>
        <w:rPr>
          <w:rFonts w:ascii="Arial" w:cs="Arial" w:eastAsia="Arial" w:hAnsi="Arial"/>
          <w:sz w:val="19"/>
          <w:szCs w:val="19"/>
          <w:color w:val="auto"/>
        </w:rPr>
        <w:t>15.6</w:t>
      </w:r>
      <w:r>
        <w:rPr>
          <w:sz w:val="20"/>
          <w:szCs w:val="20"/>
          <w:color w:val="auto"/>
        </w:rPr>
        <w:tab/>
      </w:r>
      <w:r>
        <w:rPr>
          <w:rFonts w:ascii="Arial" w:cs="Arial" w:eastAsia="Arial" w:hAnsi="Arial"/>
          <w:sz w:val="19"/>
          <w:szCs w:val="19"/>
          <w:color w:val="auto"/>
        </w:rPr>
        <w:t>If the Executive gives the Employer notice of termination for the purpose of commencing work with a competitor of the Employer, or otherwise competing with the Employer, the Executive must:</w:t>
      </w:r>
    </w:p>
    <w:p>
      <w:pPr>
        <w:spacing w:after="0" w:line="110" w:lineRule="exact"/>
        <w:rPr>
          <w:sz w:val="20"/>
          <w:szCs w:val="20"/>
          <w:color w:val="auto"/>
        </w:rPr>
      </w:pPr>
    </w:p>
    <w:p>
      <w:pPr>
        <w:ind w:left="1740" w:right="360" w:hanging="865"/>
        <w:spacing w:after="0" w:line="328" w:lineRule="auto"/>
        <w:tabs>
          <w:tab w:leader="none" w:pos="17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immediately upon giving notice disclose full details of this purpose so as to enable the Employer to take steps to protect their business, and arrange the hand over of duties (including clients, suppliers and business) to another employee; and</w:t>
      </w:r>
    </w:p>
    <w:p>
      <w:pPr>
        <w:spacing w:after="0" w:line="63" w:lineRule="exact"/>
        <w:rPr>
          <w:rFonts w:ascii="Arial" w:cs="Arial" w:eastAsia="Arial" w:hAnsi="Arial"/>
          <w:sz w:val="17"/>
          <w:szCs w:val="17"/>
          <w:color w:val="auto"/>
        </w:rPr>
      </w:pPr>
    </w:p>
    <w:p>
      <w:pPr>
        <w:ind w:left="1740" w:hanging="865"/>
        <w:spacing w:after="0"/>
        <w:tabs>
          <w:tab w:leader="none" w:pos="17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comply with any directions given by the Employer for the purpose of giving effect to paragraph (a) above.</w:t>
      </w:r>
    </w:p>
    <w:p>
      <w:pPr>
        <w:spacing w:after="0" w:line="158" w:lineRule="exact"/>
        <w:rPr>
          <w:sz w:val="20"/>
          <w:szCs w:val="20"/>
          <w:color w:val="auto"/>
        </w:rPr>
      </w:pPr>
    </w:p>
    <w:p>
      <w:pPr>
        <w:ind w:left="880" w:right="640"/>
        <w:spacing w:after="0" w:line="268" w:lineRule="auto"/>
        <w:rPr>
          <w:sz w:val="20"/>
          <w:szCs w:val="20"/>
          <w:color w:val="auto"/>
        </w:rPr>
      </w:pPr>
      <w:r>
        <w:rPr>
          <w:rFonts w:ascii="Arial" w:cs="Arial" w:eastAsia="Arial" w:hAnsi="Arial"/>
          <w:sz w:val="19"/>
          <w:szCs w:val="19"/>
          <w:color w:val="auto"/>
        </w:rPr>
        <w:t>The obligation set out in this sub-clause above is not intended to detract from the Executive's general obligation to immediately disclose any conflict of interest to the Employer.</w:t>
      </w:r>
    </w:p>
    <w:p>
      <w:pPr>
        <w:spacing w:after="0" w:line="110" w:lineRule="exact"/>
        <w:rPr>
          <w:sz w:val="20"/>
          <w:szCs w:val="20"/>
          <w:color w:val="auto"/>
        </w:rPr>
      </w:pPr>
    </w:p>
    <w:p>
      <w:pPr>
        <w:ind w:left="880" w:right="80" w:hanging="870"/>
        <w:spacing w:after="0" w:line="247" w:lineRule="auto"/>
        <w:tabs>
          <w:tab w:leader="none" w:pos="860" w:val="left"/>
        </w:tabs>
        <w:rPr>
          <w:sz w:val="20"/>
          <w:szCs w:val="20"/>
          <w:color w:val="auto"/>
        </w:rPr>
      </w:pPr>
      <w:r>
        <w:rPr>
          <w:rFonts w:ascii="Arial" w:cs="Arial" w:eastAsia="Arial" w:hAnsi="Arial"/>
          <w:sz w:val="19"/>
          <w:szCs w:val="19"/>
          <w:color w:val="auto"/>
        </w:rPr>
        <w:t>15.7</w:t>
      </w:r>
      <w:r>
        <w:rPr>
          <w:sz w:val="20"/>
          <w:szCs w:val="20"/>
          <w:color w:val="auto"/>
        </w:rPr>
        <w:tab/>
      </w:r>
      <w:r>
        <w:rPr>
          <w:rFonts w:ascii="Arial" w:cs="Arial" w:eastAsia="Arial" w:hAnsi="Arial"/>
          <w:sz w:val="19"/>
          <w:szCs w:val="19"/>
          <w:color w:val="auto"/>
        </w:rPr>
        <w:t xml:space="preserve">The Executive will not be entitled to any benefits (including without limitation an increase in benefits) under this contract or otherwise in connection with the termination of the Employment at the expiration of the Term or otherwise, if the giving of such benefit will give rise to a breach of Part 2D.2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or any other provision of this Act, Chapter 10 of the </w:t>
      </w:r>
      <w:r>
        <w:rPr>
          <w:rFonts w:ascii="Arial" w:cs="Arial" w:eastAsia="Arial" w:hAnsi="Arial"/>
          <w:sz w:val="19"/>
          <w:szCs w:val="19"/>
          <w:i w:val="1"/>
          <w:iCs w:val="1"/>
          <w:color w:val="auto"/>
        </w:rPr>
        <w:t>ASX Listing Rules</w:t>
      </w:r>
      <w:r>
        <w:rPr>
          <w:rFonts w:ascii="Arial" w:cs="Arial" w:eastAsia="Arial" w:hAnsi="Arial"/>
          <w:sz w:val="19"/>
          <w:szCs w:val="19"/>
          <w:color w:val="auto"/>
        </w:rPr>
        <w:t xml:space="preserve"> or any other </w:t>
      </w:r>
      <w:r>
        <w:rPr>
          <w:rFonts w:ascii="Arial" w:cs="Arial" w:eastAsia="Arial" w:hAnsi="Arial"/>
          <w:sz w:val="19"/>
          <w:szCs w:val="19"/>
          <w:i w:val="1"/>
          <w:iCs w:val="1"/>
          <w:color w:val="auto"/>
        </w:rPr>
        <w:t>ASX Listing Rules</w:t>
      </w:r>
      <w:r>
        <w:rPr>
          <w:rFonts w:ascii="Arial" w:cs="Arial" w:eastAsia="Arial" w:hAnsi="Arial"/>
          <w:sz w:val="19"/>
          <w:szCs w:val="19"/>
          <w:color w:val="auto"/>
        </w:rPr>
        <w: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32"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15.8</w:t>
      </w:r>
      <w:r>
        <w:rPr>
          <w:sz w:val="20"/>
          <w:szCs w:val="20"/>
          <w:color w:val="auto"/>
        </w:rPr>
        <w:tab/>
      </w:r>
      <w:r>
        <w:rPr>
          <w:rFonts w:ascii="Arial" w:cs="Arial" w:eastAsia="Arial" w:hAnsi="Arial"/>
          <w:sz w:val="17"/>
          <w:szCs w:val="17"/>
          <w:color w:val="auto"/>
        </w:rPr>
        <w:t>Upon termination clauses 3 and 12 will apply.</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termination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15.9</w:t>
      </w:r>
      <w:r>
        <w:rPr>
          <w:sz w:val="20"/>
          <w:szCs w:val="20"/>
          <w:color w:val="auto"/>
        </w:rPr>
        <w:tab/>
      </w:r>
      <w:r>
        <w:rPr>
          <w:rFonts w:ascii="Arial" w:cs="Arial" w:eastAsia="Arial" w:hAnsi="Arial"/>
          <w:sz w:val="17"/>
          <w:szCs w:val="17"/>
          <w:color w:val="auto"/>
        </w:rPr>
        <w:t>The Employer may terminate the Employment at any time during the Employment without prior notice if the Executive:</w:t>
      </w:r>
    </w:p>
    <w:p>
      <w:pPr>
        <w:spacing w:after="0" w:line="158" w:lineRule="exact"/>
        <w:rPr>
          <w:sz w:val="20"/>
          <w:szCs w:val="20"/>
          <w:color w:val="auto"/>
        </w:rPr>
      </w:pPr>
    </w:p>
    <w:p>
      <w:pPr>
        <w:ind w:left="1740" w:hanging="865"/>
        <w:spacing w:after="0"/>
        <w:tabs>
          <w:tab w:leader="none" w:pos="17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is guilty of serious misconduct (including, but not limited to theft, fraud, or assault);</w:t>
      </w:r>
    </w:p>
    <w:p>
      <w:pPr>
        <w:spacing w:after="0" w:line="158" w:lineRule="exact"/>
        <w:rPr>
          <w:rFonts w:ascii="Arial" w:cs="Arial" w:eastAsia="Arial" w:hAnsi="Arial"/>
          <w:sz w:val="19"/>
          <w:szCs w:val="19"/>
          <w:color w:val="auto"/>
        </w:rPr>
      </w:pPr>
    </w:p>
    <w:p>
      <w:pPr>
        <w:ind w:left="1740" w:hanging="865"/>
        <w:spacing w:after="0"/>
        <w:tabs>
          <w:tab w:leader="none" w:pos="17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is grossly negligent or otherwise incompetent in the performance of the duties of the Position;</w:t>
      </w:r>
    </w:p>
    <w:p>
      <w:pPr>
        <w:spacing w:after="0" w:line="158" w:lineRule="exact"/>
        <w:rPr>
          <w:rFonts w:ascii="Arial" w:cs="Arial" w:eastAsia="Arial" w:hAnsi="Arial"/>
          <w:sz w:val="19"/>
          <w:szCs w:val="19"/>
          <w:color w:val="auto"/>
        </w:rPr>
      </w:pPr>
    </w:p>
    <w:p>
      <w:pPr>
        <w:ind w:left="1740" w:hanging="865"/>
        <w:spacing w:after="0"/>
        <w:tabs>
          <w:tab w:leader="none" w:pos="17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commits a serious or persistent breach of the terms of this contract;</w:t>
      </w:r>
    </w:p>
    <w:p>
      <w:pPr>
        <w:spacing w:after="0" w:line="158" w:lineRule="exact"/>
        <w:rPr>
          <w:rFonts w:ascii="Arial" w:cs="Arial" w:eastAsia="Arial" w:hAnsi="Arial"/>
          <w:sz w:val="19"/>
          <w:szCs w:val="19"/>
          <w:color w:val="auto"/>
        </w:rPr>
      </w:pPr>
    </w:p>
    <w:p>
      <w:pPr>
        <w:ind w:left="1740" w:hanging="865"/>
        <w:spacing w:after="0"/>
        <w:tabs>
          <w:tab w:leader="none" w:pos="17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refuses to carry out a lawful and reasonable instruction that is consistent with this contract;</w:t>
      </w:r>
    </w:p>
    <w:p>
      <w:pPr>
        <w:spacing w:after="0" w:line="158" w:lineRule="exact"/>
        <w:rPr>
          <w:rFonts w:ascii="Arial" w:cs="Arial" w:eastAsia="Arial" w:hAnsi="Arial"/>
          <w:sz w:val="19"/>
          <w:szCs w:val="19"/>
          <w:color w:val="auto"/>
        </w:rPr>
      </w:pPr>
    </w:p>
    <w:p>
      <w:pPr>
        <w:ind w:left="1740" w:hanging="865"/>
        <w:spacing w:after="0"/>
        <w:tabs>
          <w:tab w:leader="none" w:pos="1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becomes bankrupt or suspends payment or compounds with or assigns her estate for the benefit of her creditors; or</w:t>
      </w:r>
    </w:p>
    <w:p>
      <w:pPr>
        <w:spacing w:after="0" w:line="169" w:lineRule="exact"/>
        <w:rPr>
          <w:rFonts w:ascii="Arial" w:cs="Arial" w:eastAsia="Arial" w:hAnsi="Arial"/>
          <w:sz w:val="18"/>
          <w:szCs w:val="18"/>
          <w:color w:val="auto"/>
        </w:rPr>
      </w:pPr>
    </w:p>
    <w:p>
      <w:pPr>
        <w:ind w:left="1740" w:right="100" w:hanging="865"/>
        <w:spacing w:after="0" w:line="255" w:lineRule="auto"/>
        <w:tabs>
          <w:tab w:leader="none" w:pos="17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commits a crime or other civil wrong, which in the reasonable opinion of the Employer, may seriously impact on the Executive's ability to perform the duties of the Position or is likely to significantly damage the reputation or business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253365</wp:posOffset>
            </wp:positionV>
            <wp:extent cx="71374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16</w:t>
      </w:r>
      <w:r>
        <w:rPr>
          <w:sz w:val="20"/>
          <w:szCs w:val="20"/>
          <w:color w:val="auto"/>
        </w:rPr>
        <w:tab/>
      </w:r>
      <w:r>
        <w:rPr>
          <w:rFonts w:ascii="Arial" w:cs="Arial" w:eastAsia="Arial" w:hAnsi="Arial"/>
          <w:sz w:val="21"/>
          <w:szCs w:val="21"/>
          <w:b w:val="1"/>
          <w:bCs w:val="1"/>
          <w:color w:val="auto"/>
        </w:rPr>
        <w:t>Appointment to and Resignation from Offices</w:t>
      </w:r>
    </w:p>
    <w:p>
      <w:pPr>
        <w:spacing w:after="0" w:line="164" w:lineRule="exact"/>
        <w:rPr>
          <w:sz w:val="20"/>
          <w:szCs w:val="20"/>
          <w:color w:val="auto"/>
        </w:rPr>
      </w:pPr>
    </w:p>
    <w:p>
      <w:pPr>
        <w:ind w:left="880" w:right="360" w:hanging="870"/>
        <w:spacing w:after="0" w:line="268" w:lineRule="auto"/>
        <w:tabs>
          <w:tab w:leader="none" w:pos="860" w:val="left"/>
        </w:tabs>
        <w:rPr>
          <w:sz w:val="20"/>
          <w:szCs w:val="20"/>
          <w:color w:val="auto"/>
        </w:rPr>
      </w:pPr>
      <w:r>
        <w:rPr>
          <w:rFonts w:ascii="Arial" w:cs="Arial" w:eastAsia="Arial" w:hAnsi="Arial"/>
          <w:sz w:val="19"/>
          <w:szCs w:val="19"/>
          <w:color w:val="auto"/>
        </w:rPr>
        <w:t>16.1</w:t>
      </w:r>
      <w:r>
        <w:rPr>
          <w:sz w:val="20"/>
          <w:szCs w:val="20"/>
          <w:color w:val="auto"/>
        </w:rPr>
        <w:tab/>
      </w:r>
      <w:r>
        <w:rPr>
          <w:rFonts w:ascii="Arial" w:cs="Arial" w:eastAsia="Arial" w:hAnsi="Arial"/>
          <w:sz w:val="19"/>
          <w:szCs w:val="19"/>
          <w:color w:val="auto"/>
        </w:rPr>
        <w:t>The Employer may during the Employment, request that the Executive hold offices with the Employer. Unless otherwise agreed in writing, these offices will be held without any further remuneration to the Executive.</w:t>
      </w:r>
    </w:p>
    <w:p>
      <w:pPr>
        <w:spacing w:after="0" w:line="200" w:lineRule="exact"/>
        <w:rPr>
          <w:sz w:val="20"/>
          <w:szCs w:val="20"/>
          <w:color w:val="auto"/>
        </w:rPr>
      </w:pPr>
    </w:p>
    <w:p>
      <w:pPr>
        <w:spacing w:after="0" w:line="263"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7</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2" w:name="page223"/>
    <w:bookmarkEnd w:id="222"/>
    <w:p>
      <w:pPr>
        <w:ind w:left="880" w:right="20" w:hanging="870"/>
        <w:spacing w:after="0" w:line="276" w:lineRule="auto"/>
        <w:tabs>
          <w:tab w:leader="none" w:pos="860" w:val="left"/>
        </w:tabs>
        <w:rPr>
          <w:sz w:val="20"/>
          <w:szCs w:val="20"/>
          <w:color w:val="auto"/>
        </w:rPr>
      </w:pPr>
      <w:r>
        <w:rPr>
          <w:rFonts w:ascii="Arial" w:cs="Arial" w:eastAsia="Arial" w:hAnsi="Arial"/>
          <w:sz w:val="19"/>
          <w:szCs w:val="19"/>
          <w:color w:val="auto"/>
        </w:rPr>
        <w:t>16.2</w:t>
      </w:r>
      <w:r>
        <w:rPr>
          <w:sz w:val="20"/>
          <w:szCs w:val="20"/>
          <w:color w:val="auto"/>
        </w:rPr>
        <w:tab/>
      </w:r>
      <w:r>
        <w:rPr>
          <w:rFonts w:ascii="Arial" w:cs="Arial" w:eastAsia="Arial" w:hAnsi="Arial"/>
          <w:sz w:val="18"/>
          <w:szCs w:val="18"/>
          <w:color w:val="auto"/>
        </w:rPr>
        <w:t>On termination of the Employment the Executive must, at the request of the Employer, resign without any claim for compensation from any office (including the office of director) held by the Executive in the Employer and do any thing required to give effect to this resignation, and if the Executive does not formally so resign then the Executive shall be deemed to have so resigned.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241935</wp:posOffset>
            </wp:positionV>
            <wp:extent cx="71374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17</w:t>
      </w:r>
      <w:r>
        <w:rPr>
          <w:sz w:val="20"/>
          <w:szCs w:val="20"/>
          <w:color w:val="auto"/>
        </w:rPr>
        <w:tab/>
      </w:r>
      <w:r>
        <w:rPr>
          <w:rFonts w:ascii="Arial" w:cs="Arial" w:eastAsia="Arial" w:hAnsi="Arial"/>
          <w:sz w:val="21"/>
          <w:szCs w:val="21"/>
          <w:b w:val="1"/>
          <w:bCs w:val="1"/>
          <w:color w:val="auto"/>
        </w:rPr>
        <w:t>Suspension</w:t>
      </w:r>
    </w:p>
    <w:p>
      <w:pPr>
        <w:spacing w:after="0" w:line="164" w:lineRule="exact"/>
        <w:rPr>
          <w:sz w:val="20"/>
          <w:szCs w:val="20"/>
          <w:color w:val="auto"/>
        </w:rPr>
      </w:pPr>
    </w:p>
    <w:p>
      <w:pPr>
        <w:ind w:left="880" w:right="200" w:hanging="870"/>
        <w:spacing w:after="0" w:line="255" w:lineRule="auto"/>
        <w:tabs>
          <w:tab w:leader="none" w:pos="860" w:val="left"/>
        </w:tabs>
        <w:rPr>
          <w:sz w:val="20"/>
          <w:szCs w:val="20"/>
          <w:color w:val="auto"/>
        </w:rPr>
      </w:pPr>
      <w:r>
        <w:rPr>
          <w:rFonts w:ascii="Arial" w:cs="Arial" w:eastAsia="Arial" w:hAnsi="Arial"/>
          <w:sz w:val="19"/>
          <w:szCs w:val="19"/>
          <w:color w:val="auto"/>
        </w:rPr>
        <w:t>17.1</w:t>
      </w:r>
      <w:r>
        <w:rPr>
          <w:sz w:val="20"/>
          <w:szCs w:val="20"/>
          <w:color w:val="auto"/>
        </w:rPr>
        <w:tab/>
      </w:r>
      <w:r>
        <w:rPr>
          <w:rFonts w:ascii="Arial" w:cs="Arial" w:eastAsia="Arial" w:hAnsi="Arial"/>
          <w:sz w:val="19"/>
          <w:szCs w:val="19"/>
          <w:color w:val="auto"/>
        </w:rPr>
        <w:t>If the Employer suspects that the Executive has been involved in any improper conduct or involved in any other conduct which in the reasonable opinion of the Employer requires proper investigation, the Employer may suspend the Executive for the purposes of conducting an investigation.</w:t>
      </w:r>
    </w:p>
    <w:p>
      <w:pPr>
        <w:spacing w:after="0" w:line="122"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17.2</w:t>
      </w:r>
      <w:r>
        <w:rPr>
          <w:sz w:val="20"/>
          <w:szCs w:val="20"/>
          <w:color w:val="auto"/>
        </w:rPr>
        <w:tab/>
      </w:r>
      <w:r>
        <w:rPr>
          <w:rFonts w:ascii="Arial" w:cs="Arial" w:eastAsia="Arial" w:hAnsi="Arial"/>
          <w:sz w:val="17"/>
          <w:szCs w:val="17"/>
          <w:color w:val="auto"/>
        </w:rPr>
        <w:t>During the period of suspension the Executive will continue to receive the remuneration set out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276225</wp:posOffset>
            </wp:positionV>
            <wp:extent cx="65760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65760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18Confidential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Obligations of confidentiality</w:t>
      </w:r>
    </w:p>
    <w:p>
      <w:pPr>
        <w:spacing w:after="0" w:line="156" w:lineRule="exact"/>
        <w:rPr>
          <w:sz w:val="20"/>
          <w:szCs w:val="20"/>
          <w:color w:val="auto"/>
        </w:rPr>
      </w:pPr>
    </w:p>
    <w:p>
      <w:pPr>
        <w:ind w:left="880" w:right="100" w:hanging="870"/>
        <w:spacing w:after="0" w:line="268" w:lineRule="auto"/>
        <w:tabs>
          <w:tab w:leader="none" w:pos="860" w:val="left"/>
        </w:tabs>
        <w:rPr>
          <w:sz w:val="20"/>
          <w:szCs w:val="20"/>
          <w:color w:val="auto"/>
        </w:rPr>
      </w:pPr>
      <w:r>
        <w:rPr>
          <w:rFonts w:ascii="Arial" w:cs="Arial" w:eastAsia="Arial" w:hAnsi="Arial"/>
          <w:sz w:val="19"/>
          <w:szCs w:val="19"/>
          <w:color w:val="auto"/>
        </w:rPr>
        <w:t>18.1</w:t>
      </w:r>
      <w:r>
        <w:rPr>
          <w:sz w:val="20"/>
          <w:szCs w:val="20"/>
          <w:color w:val="auto"/>
        </w:rPr>
        <w:tab/>
      </w:r>
      <w:r>
        <w:rPr>
          <w:rFonts w:ascii="Arial" w:cs="Arial" w:eastAsia="Arial" w:hAnsi="Arial"/>
          <w:sz w:val="19"/>
          <w:szCs w:val="19"/>
          <w:color w:val="auto"/>
        </w:rPr>
        <w:t>In order to give effect to the Executive’s obligations of confidence to the Group, The Executive will execute an Employee Secrecy and Confidentiality Agreement in the form of Appendix 1.</w:t>
      </w:r>
    </w:p>
    <w:p>
      <w:pPr>
        <w:spacing w:after="0" w:line="110" w:lineRule="exact"/>
        <w:rPr>
          <w:sz w:val="20"/>
          <w:szCs w:val="20"/>
          <w:color w:val="auto"/>
        </w:rPr>
      </w:pPr>
    </w:p>
    <w:p>
      <w:pPr>
        <w:ind w:left="880" w:right="140" w:hanging="870"/>
        <w:spacing w:after="0" w:line="276" w:lineRule="auto"/>
        <w:tabs>
          <w:tab w:leader="none" w:pos="860" w:val="left"/>
        </w:tabs>
        <w:rPr>
          <w:sz w:val="20"/>
          <w:szCs w:val="20"/>
          <w:color w:val="auto"/>
        </w:rPr>
      </w:pPr>
      <w:r>
        <w:rPr>
          <w:rFonts w:ascii="Arial" w:cs="Arial" w:eastAsia="Arial" w:hAnsi="Arial"/>
          <w:sz w:val="19"/>
          <w:szCs w:val="19"/>
          <w:color w:val="auto"/>
        </w:rPr>
        <w:t>18.2</w:t>
      </w:r>
      <w:r>
        <w:rPr>
          <w:sz w:val="20"/>
          <w:szCs w:val="20"/>
          <w:color w:val="auto"/>
        </w:rPr>
        <w:tab/>
      </w:r>
      <w:r>
        <w:rPr>
          <w:rFonts w:ascii="Arial" w:cs="Arial" w:eastAsia="Arial" w:hAnsi="Arial"/>
          <w:sz w:val="18"/>
          <w:szCs w:val="18"/>
          <w:color w:val="auto"/>
        </w:rPr>
        <w:t>Without limiting the Executive's duties at common law, the Executive must at all times during employment with the Employer (except where required by law or in the proper course of her duties) and after its termination (howsoever caused), keep confidential and not disclose or allow to be disclosed to any unauthorised person, any Confidential Information.</w:t>
      </w:r>
    </w:p>
    <w:p>
      <w:pPr>
        <w:spacing w:after="0" w:line="105"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18.3</w:t>
      </w:r>
      <w:r>
        <w:rPr>
          <w:sz w:val="20"/>
          <w:szCs w:val="20"/>
          <w:color w:val="auto"/>
        </w:rPr>
        <w:tab/>
      </w:r>
      <w:r>
        <w:rPr>
          <w:rFonts w:ascii="Arial" w:cs="Arial" w:eastAsia="Arial" w:hAnsi="Arial"/>
          <w:sz w:val="17"/>
          <w:szCs w:val="17"/>
          <w:color w:val="auto"/>
        </w:rPr>
        <w:t>The Executive must take all reasonable steps to prevent the unauthorised disclosure or use of the Confidential Information.</w:t>
      </w:r>
    </w:p>
    <w:p>
      <w:pPr>
        <w:spacing w:after="0" w:line="158" w:lineRule="exact"/>
        <w:rPr>
          <w:sz w:val="20"/>
          <w:szCs w:val="20"/>
          <w:color w:val="auto"/>
        </w:rPr>
      </w:pPr>
    </w:p>
    <w:p>
      <w:pPr>
        <w:ind w:left="880" w:right="260" w:hanging="870"/>
        <w:spacing w:after="0" w:line="255" w:lineRule="auto"/>
        <w:tabs>
          <w:tab w:leader="none" w:pos="860" w:val="left"/>
        </w:tabs>
        <w:rPr>
          <w:sz w:val="20"/>
          <w:szCs w:val="20"/>
          <w:color w:val="auto"/>
        </w:rPr>
      </w:pPr>
      <w:r>
        <w:rPr>
          <w:rFonts w:ascii="Arial" w:cs="Arial" w:eastAsia="Arial" w:hAnsi="Arial"/>
          <w:sz w:val="19"/>
          <w:szCs w:val="19"/>
          <w:color w:val="auto"/>
        </w:rPr>
        <w:t>18.4</w:t>
      </w:r>
      <w:r>
        <w:rPr>
          <w:sz w:val="20"/>
          <w:szCs w:val="20"/>
          <w:color w:val="auto"/>
        </w:rPr>
        <w:tab/>
      </w:r>
      <w:r>
        <w:rPr>
          <w:rFonts w:ascii="Arial" w:cs="Arial" w:eastAsia="Arial" w:hAnsi="Arial"/>
          <w:sz w:val="19"/>
          <w:szCs w:val="19"/>
          <w:color w:val="auto"/>
        </w:rPr>
        <w:t>The Executive must execute all confidentiality agreements with the Employer or any Group Member which are designed to protect Confidential Information which comes to the attention of the Executive as a result of the Employment, as reasonably required by the Employer from time to time.</w:t>
      </w:r>
    </w:p>
    <w:p>
      <w:pPr>
        <w:spacing w:after="0" w:line="122" w:lineRule="exact"/>
        <w:rPr>
          <w:sz w:val="20"/>
          <w:szCs w:val="20"/>
          <w:color w:val="auto"/>
        </w:rPr>
      </w:pPr>
    </w:p>
    <w:p>
      <w:pPr>
        <w:ind w:left="880" w:right="120" w:hanging="870"/>
        <w:spacing w:after="0" w:line="268" w:lineRule="auto"/>
        <w:tabs>
          <w:tab w:leader="none" w:pos="860" w:val="left"/>
        </w:tabs>
        <w:rPr>
          <w:sz w:val="20"/>
          <w:szCs w:val="20"/>
          <w:color w:val="auto"/>
        </w:rPr>
      </w:pPr>
      <w:r>
        <w:rPr>
          <w:rFonts w:ascii="Arial" w:cs="Arial" w:eastAsia="Arial" w:hAnsi="Arial"/>
          <w:sz w:val="19"/>
          <w:szCs w:val="19"/>
          <w:color w:val="auto"/>
        </w:rPr>
        <w:t>18.5</w:t>
      </w:r>
      <w:r>
        <w:rPr>
          <w:sz w:val="20"/>
          <w:szCs w:val="20"/>
          <w:color w:val="auto"/>
        </w:rPr>
        <w:tab/>
      </w:r>
      <w:r>
        <w:rPr>
          <w:rFonts w:ascii="Arial" w:cs="Arial" w:eastAsia="Arial" w:hAnsi="Arial"/>
          <w:sz w:val="19"/>
          <w:szCs w:val="19"/>
          <w:color w:val="auto"/>
        </w:rPr>
        <w:t>The Executive must not copy or remove from the Employer's premises any Document which contains Confidential Information except for the purpose of properly performing the duties of the Position and for the benefit of the Employer.</w:t>
      </w:r>
    </w:p>
    <w:p>
      <w:pPr>
        <w:spacing w:after="0" w:line="110" w:lineRule="exact"/>
        <w:rPr>
          <w:sz w:val="20"/>
          <w:szCs w:val="20"/>
          <w:color w:val="auto"/>
        </w:rPr>
      </w:pPr>
    </w:p>
    <w:p>
      <w:pPr>
        <w:ind w:left="880" w:right="100" w:hanging="870"/>
        <w:spacing w:after="0" w:line="255" w:lineRule="auto"/>
        <w:tabs>
          <w:tab w:leader="none" w:pos="860" w:val="left"/>
        </w:tabs>
        <w:rPr>
          <w:sz w:val="20"/>
          <w:szCs w:val="20"/>
          <w:color w:val="auto"/>
        </w:rPr>
      </w:pPr>
      <w:r>
        <w:rPr>
          <w:rFonts w:ascii="Arial" w:cs="Arial" w:eastAsia="Arial" w:hAnsi="Arial"/>
          <w:sz w:val="19"/>
          <w:szCs w:val="19"/>
          <w:color w:val="auto"/>
        </w:rPr>
        <w:t>18.6</w:t>
      </w:r>
      <w:r>
        <w:rPr>
          <w:sz w:val="20"/>
          <w:szCs w:val="20"/>
          <w:color w:val="auto"/>
        </w:rPr>
        <w:tab/>
      </w:r>
      <w:r>
        <w:rPr>
          <w:rFonts w:ascii="Arial" w:cs="Arial" w:eastAsia="Arial" w:hAnsi="Arial"/>
          <w:sz w:val="19"/>
          <w:szCs w:val="19"/>
          <w:color w:val="auto"/>
        </w:rPr>
        <w:t>The Executive must promptly notify the Employer of any actual or threatened unauthorised disclosure of Confidential Information and must assist in any action taken by the Employer either to prevent the occurrence of, or recover loss in respect of, such unauthorised disclosure of Confidential Information.</w:t>
      </w:r>
    </w:p>
    <w:p>
      <w:pPr>
        <w:spacing w:after="0" w:line="122" w:lineRule="exact"/>
        <w:rPr>
          <w:sz w:val="20"/>
          <w:szCs w:val="20"/>
          <w:color w:val="auto"/>
        </w:rPr>
      </w:pPr>
    </w:p>
    <w:p>
      <w:pPr>
        <w:ind w:left="880" w:right="160" w:hanging="870"/>
        <w:spacing w:after="0" w:line="268" w:lineRule="auto"/>
        <w:tabs>
          <w:tab w:leader="none" w:pos="860" w:val="left"/>
        </w:tabs>
        <w:rPr>
          <w:sz w:val="20"/>
          <w:szCs w:val="20"/>
          <w:color w:val="auto"/>
        </w:rPr>
      </w:pPr>
      <w:r>
        <w:rPr>
          <w:rFonts w:ascii="Arial" w:cs="Arial" w:eastAsia="Arial" w:hAnsi="Arial"/>
          <w:sz w:val="19"/>
          <w:szCs w:val="19"/>
          <w:color w:val="auto"/>
        </w:rPr>
        <w:t>18.7</w:t>
      </w:r>
      <w:r>
        <w:rPr>
          <w:sz w:val="20"/>
          <w:szCs w:val="20"/>
          <w:color w:val="auto"/>
        </w:rPr>
        <w:tab/>
      </w:r>
      <w:r>
        <w:rPr>
          <w:rFonts w:ascii="Arial" w:cs="Arial" w:eastAsia="Arial" w:hAnsi="Arial"/>
          <w:sz w:val="19"/>
          <w:szCs w:val="19"/>
          <w:color w:val="auto"/>
        </w:rPr>
        <w:t>The Executive must provide assistance reasonably requested by the Employer in relation to proceedings any Group Member may take against any person for unauthorised use, copying or disclosure of Confidential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 Property</w:t>
      </w:r>
    </w:p>
    <w:p>
      <w:pPr>
        <w:spacing w:after="0" w:line="156" w:lineRule="exact"/>
        <w:rPr>
          <w:sz w:val="20"/>
          <w:szCs w:val="20"/>
          <w:color w:val="auto"/>
        </w:rPr>
      </w:pPr>
    </w:p>
    <w:p>
      <w:pPr>
        <w:ind w:left="880" w:right="600" w:hanging="870"/>
        <w:spacing w:after="0" w:line="268" w:lineRule="auto"/>
        <w:tabs>
          <w:tab w:leader="none" w:pos="860" w:val="left"/>
        </w:tabs>
        <w:rPr>
          <w:sz w:val="20"/>
          <w:szCs w:val="20"/>
          <w:color w:val="auto"/>
        </w:rPr>
      </w:pPr>
      <w:r>
        <w:rPr>
          <w:rFonts w:ascii="Arial" w:cs="Arial" w:eastAsia="Arial" w:hAnsi="Arial"/>
          <w:sz w:val="19"/>
          <w:szCs w:val="19"/>
          <w:color w:val="auto"/>
        </w:rPr>
        <w:t>18.8</w:t>
      </w:r>
      <w:r>
        <w:rPr>
          <w:sz w:val="20"/>
          <w:szCs w:val="20"/>
          <w:color w:val="auto"/>
        </w:rPr>
        <w:tab/>
      </w:r>
      <w:r>
        <w:rPr>
          <w:rFonts w:ascii="Arial" w:cs="Arial" w:eastAsia="Arial" w:hAnsi="Arial"/>
          <w:sz w:val="19"/>
          <w:szCs w:val="19"/>
          <w:color w:val="auto"/>
        </w:rPr>
        <w:t>The Executive understands that all documents (including computer records, facsimile and e-mail), materials created, received or transmitted in connection with her work or using the</w:t>
      </w:r>
    </w:p>
    <w:p>
      <w:pPr>
        <w:spacing w:after="0" w:line="200" w:lineRule="exact"/>
        <w:rPr>
          <w:sz w:val="20"/>
          <w:szCs w:val="20"/>
          <w:color w:val="auto"/>
        </w:rPr>
      </w:pPr>
    </w:p>
    <w:p>
      <w:pPr>
        <w:spacing w:after="0" w:line="263"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8</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3" w:name="page224"/>
    <w:bookmarkEnd w:id="223"/>
    <w:p>
      <w:pPr>
        <w:ind w:left="880" w:right="80"/>
        <w:spacing w:after="0" w:line="268" w:lineRule="auto"/>
        <w:rPr>
          <w:sz w:val="20"/>
          <w:szCs w:val="20"/>
          <w:color w:val="auto"/>
        </w:rPr>
      </w:pPr>
      <w:r>
        <w:rPr>
          <w:rFonts w:ascii="Arial" w:cs="Arial" w:eastAsia="Arial" w:hAnsi="Arial"/>
          <w:sz w:val="19"/>
          <w:szCs w:val="19"/>
          <w:color w:val="auto"/>
        </w:rPr>
        <w:t>facilities of the Employer, and property discovered during the drug development process is the property of the Employer and subject to inspection by the Employer, at any time.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Return of property and Documents upon termination</w:t>
      </w:r>
    </w:p>
    <w:p>
      <w:pPr>
        <w:spacing w:after="0" w:line="156" w:lineRule="exact"/>
        <w:rPr>
          <w:sz w:val="20"/>
          <w:szCs w:val="20"/>
          <w:color w:val="auto"/>
        </w:rPr>
      </w:pPr>
    </w:p>
    <w:p>
      <w:pPr>
        <w:ind w:left="880" w:right="300" w:hanging="870"/>
        <w:spacing w:after="0" w:line="268" w:lineRule="auto"/>
        <w:tabs>
          <w:tab w:leader="none" w:pos="860" w:val="left"/>
        </w:tabs>
        <w:rPr>
          <w:sz w:val="20"/>
          <w:szCs w:val="20"/>
          <w:color w:val="auto"/>
        </w:rPr>
      </w:pPr>
      <w:r>
        <w:rPr>
          <w:rFonts w:ascii="Arial" w:cs="Arial" w:eastAsia="Arial" w:hAnsi="Arial"/>
          <w:sz w:val="19"/>
          <w:szCs w:val="19"/>
          <w:color w:val="auto"/>
        </w:rPr>
        <w:t>18.9</w:t>
      </w:r>
      <w:r>
        <w:rPr>
          <w:sz w:val="20"/>
          <w:szCs w:val="20"/>
          <w:color w:val="auto"/>
        </w:rPr>
        <w:tab/>
      </w:r>
      <w:r>
        <w:rPr>
          <w:rFonts w:ascii="Arial" w:cs="Arial" w:eastAsia="Arial" w:hAnsi="Arial"/>
          <w:sz w:val="19"/>
          <w:szCs w:val="19"/>
          <w:color w:val="auto"/>
        </w:rPr>
        <w:t>Upon the termination of the Employment (howsoever caused), the Executive must immediately deliver to the Employer without any further demand:</w:t>
      </w:r>
    </w:p>
    <w:p>
      <w:pPr>
        <w:spacing w:after="0" w:line="110" w:lineRule="exact"/>
        <w:rPr>
          <w:sz w:val="20"/>
          <w:szCs w:val="20"/>
          <w:color w:val="auto"/>
        </w:rPr>
      </w:pPr>
    </w:p>
    <w:p>
      <w:pPr>
        <w:ind w:left="1740" w:hanging="865"/>
        <w:spacing w:after="0"/>
        <w:tabs>
          <w:tab w:leader="none" w:pos="17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all Documents and other property of the Employer and any Group Member; and</w:t>
      </w:r>
    </w:p>
    <w:p>
      <w:pPr>
        <w:spacing w:after="0" w:line="158" w:lineRule="exact"/>
        <w:rPr>
          <w:rFonts w:ascii="Arial" w:cs="Arial" w:eastAsia="Arial" w:hAnsi="Arial"/>
          <w:sz w:val="19"/>
          <w:szCs w:val="19"/>
          <w:color w:val="auto"/>
        </w:rPr>
      </w:pPr>
    </w:p>
    <w:p>
      <w:pPr>
        <w:ind w:left="1740" w:right="420" w:hanging="865"/>
        <w:spacing w:after="0" w:line="296" w:lineRule="auto"/>
        <w:tabs>
          <w:tab w:leader="none" w:pos="17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without limiting the generality of paragraph (a) above, all Documents which contain any Confidential Information, and Documents in the Executive's possession or control relating in any way to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231140</wp:posOffset>
            </wp:positionV>
            <wp:extent cx="71374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19</w:t>
      </w:r>
      <w:r>
        <w:rPr>
          <w:sz w:val="20"/>
          <w:szCs w:val="20"/>
          <w:color w:val="auto"/>
        </w:rPr>
        <w:tab/>
      </w:r>
      <w:r>
        <w:rPr>
          <w:rFonts w:ascii="Arial" w:cs="Arial" w:eastAsia="Arial" w:hAnsi="Arial"/>
          <w:sz w:val="21"/>
          <w:szCs w:val="21"/>
          <w:b w:val="1"/>
          <w:bCs w:val="1"/>
          <w:color w:val="auto"/>
        </w:rPr>
        <w:t>Inventions</w:t>
      </w:r>
    </w:p>
    <w:p>
      <w:pPr>
        <w:spacing w:after="0" w:line="164" w:lineRule="exact"/>
        <w:rPr>
          <w:sz w:val="20"/>
          <w:szCs w:val="20"/>
          <w:color w:val="auto"/>
        </w:rPr>
      </w:pPr>
    </w:p>
    <w:p>
      <w:pPr>
        <w:ind w:left="880" w:right="260" w:hanging="870"/>
        <w:spacing w:after="0" w:line="262" w:lineRule="auto"/>
        <w:tabs>
          <w:tab w:leader="none" w:pos="860" w:val="left"/>
        </w:tabs>
        <w:rPr>
          <w:sz w:val="20"/>
          <w:szCs w:val="20"/>
          <w:color w:val="auto"/>
        </w:rPr>
      </w:pPr>
      <w:r>
        <w:rPr>
          <w:rFonts w:ascii="Arial" w:cs="Arial" w:eastAsia="Arial" w:hAnsi="Arial"/>
          <w:sz w:val="19"/>
          <w:szCs w:val="19"/>
          <w:color w:val="auto"/>
        </w:rPr>
        <w:t>19.1</w:t>
      </w:r>
      <w:r>
        <w:rPr>
          <w:sz w:val="20"/>
          <w:szCs w:val="20"/>
          <w:color w:val="auto"/>
        </w:rPr>
        <w:tab/>
      </w:r>
      <w:r>
        <w:rPr>
          <w:rFonts w:ascii="Arial" w:cs="Arial" w:eastAsia="Arial" w:hAnsi="Arial"/>
          <w:sz w:val="18"/>
          <w:szCs w:val="18"/>
          <w:color w:val="auto"/>
        </w:rPr>
        <w:t>The Executive hereby acknowledges that the Employer shall be the sole owner of all rights, title and interest in all inventions, improvements, designs, original works of authorship, formulas, processes, compositions of matter, computer software programs, databases, mask works, concepts and trade secrets, whether or not patentable or registrable under patent, copyright, circuit layout design or similar laws in Australia or anywhere else in the world, which the Executive may solely or jointly conceive or develop or reduce to practice, or cause to be conceived or developed or reduced to practice, during the period of the Executive’s Employment at the Employer (whether or not during business hours) that are either related to the scope of her Employment at the Employer or make use, in any manner, of the resources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252095</wp:posOffset>
            </wp:positionV>
            <wp:extent cx="71374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20</w:t>
      </w:r>
      <w:r>
        <w:rPr>
          <w:sz w:val="20"/>
          <w:szCs w:val="20"/>
          <w:color w:val="auto"/>
        </w:rPr>
        <w:tab/>
      </w:r>
      <w:r>
        <w:rPr>
          <w:rFonts w:ascii="Arial" w:cs="Arial" w:eastAsia="Arial" w:hAnsi="Arial"/>
          <w:sz w:val="21"/>
          <w:szCs w:val="21"/>
          <w:b w:val="1"/>
          <w:bCs w:val="1"/>
          <w:color w:val="auto"/>
        </w:rPr>
        <w:t>Post-Employment Restrictions</w:t>
      </w:r>
    </w:p>
    <w:p>
      <w:pPr>
        <w:spacing w:after="0" w:line="164" w:lineRule="exact"/>
        <w:rPr>
          <w:sz w:val="20"/>
          <w:szCs w:val="20"/>
          <w:color w:val="auto"/>
        </w:rPr>
      </w:pPr>
    </w:p>
    <w:p>
      <w:pPr>
        <w:ind w:left="880" w:right="360" w:hanging="870"/>
        <w:spacing w:after="0" w:line="255" w:lineRule="auto"/>
        <w:tabs>
          <w:tab w:leader="none" w:pos="860" w:val="left"/>
        </w:tabs>
        <w:rPr>
          <w:sz w:val="20"/>
          <w:szCs w:val="20"/>
          <w:color w:val="auto"/>
        </w:rPr>
      </w:pPr>
      <w:r>
        <w:rPr>
          <w:rFonts w:ascii="Arial" w:cs="Arial" w:eastAsia="Arial" w:hAnsi="Arial"/>
          <w:sz w:val="19"/>
          <w:szCs w:val="19"/>
          <w:color w:val="auto"/>
        </w:rPr>
        <w:t>20.1</w:t>
      </w:r>
      <w:r>
        <w:rPr>
          <w:sz w:val="20"/>
          <w:szCs w:val="20"/>
          <w:color w:val="auto"/>
        </w:rPr>
        <w:tab/>
      </w:r>
      <w:r>
        <w:rPr>
          <w:rFonts w:ascii="Arial" w:cs="Arial" w:eastAsia="Arial" w:hAnsi="Arial"/>
          <w:sz w:val="19"/>
          <w:szCs w:val="19"/>
          <w:color w:val="auto"/>
        </w:rPr>
        <w:t>The Executive acknowledges that during the Employment, the Executive has or will become possessed of Confidential Information regarding the business of the Employer and the Group, and the disclosure or use of such information may materially harm the Employer and the Group.</w:t>
      </w:r>
    </w:p>
    <w:p>
      <w:pPr>
        <w:spacing w:after="0" w:line="122"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20.2</w:t>
      </w:r>
      <w:r>
        <w:rPr>
          <w:sz w:val="20"/>
          <w:szCs w:val="20"/>
          <w:color w:val="auto"/>
        </w:rPr>
        <w:tab/>
      </w:r>
      <w:r>
        <w:rPr>
          <w:rFonts w:ascii="Arial" w:cs="Arial" w:eastAsia="Arial" w:hAnsi="Arial"/>
          <w:sz w:val="17"/>
          <w:szCs w:val="17"/>
          <w:color w:val="auto"/>
        </w:rPr>
        <w:t>Post-Employment, the terms of the Employee Secrecy and Confidentiality Agreement will continue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276225</wp:posOffset>
            </wp:positionV>
            <wp:extent cx="71374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21</w:t>
      </w:r>
      <w:r>
        <w:rPr>
          <w:sz w:val="20"/>
          <w:szCs w:val="20"/>
          <w:color w:val="auto"/>
        </w:rPr>
        <w:tab/>
      </w:r>
      <w:r>
        <w:rPr>
          <w:rFonts w:ascii="Arial" w:cs="Arial" w:eastAsia="Arial" w:hAnsi="Arial"/>
          <w:sz w:val="21"/>
          <w:szCs w:val="21"/>
          <w:b w:val="1"/>
          <w:bCs w:val="1"/>
          <w:color w:val="auto"/>
        </w:rPr>
        <w:t>Entire Agreement</w:t>
      </w:r>
    </w:p>
    <w:p>
      <w:pPr>
        <w:spacing w:after="0" w:line="164" w:lineRule="exact"/>
        <w:rPr>
          <w:sz w:val="20"/>
          <w:szCs w:val="20"/>
          <w:color w:val="auto"/>
        </w:rPr>
      </w:pPr>
    </w:p>
    <w:p>
      <w:pPr>
        <w:ind w:left="880" w:right="40" w:hanging="870"/>
        <w:spacing w:after="0" w:line="328" w:lineRule="auto"/>
        <w:tabs>
          <w:tab w:leader="none" w:pos="86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7"/>
          <w:szCs w:val="17"/>
          <w:color w:val="auto"/>
        </w:rPr>
        <w:t>This contract constitutes the entire agreement relating to the Employment and supersedes all prior offers and representations whether in writing or verbal in relation to the Employment. This contract may only be amended by agreement in writing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374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22</w:t>
      </w:r>
      <w:r>
        <w:rPr>
          <w:sz w:val="20"/>
          <w:szCs w:val="20"/>
          <w:color w:val="auto"/>
        </w:rPr>
        <w:tab/>
      </w:r>
      <w:r>
        <w:rPr>
          <w:rFonts w:ascii="Arial" w:cs="Arial" w:eastAsia="Arial" w:hAnsi="Arial"/>
          <w:sz w:val="21"/>
          <w:szCs w:val="21"/>
          <w:b w:val="1"/>
          <w:bCs w:val="1"/>
          <w:color w:val="auto"/>
        </w:rPr>
        <w:t>No Representations and Warranties</w:t>
      </w:r>
    </w:p>
    <w:p>
      <w:pPr>
        <w:spacing w:after="0" w:line="164" w:lineRule="exact"/>
        <w:rPr>
          <w:sz w:val="20"/>
          <w:szCs w:val="20"/>
          <w:color w:val="auto"/>
        </w:rPr>
      </w:pPr>
    </w:p>
    <w:p>
      <w:pPr>
        <w:ind w:left="880" w:right="120" w:hanging="870"/>
        <w:spacing w:after="0" w:line="268" w:lineRule="auto"/>
        <w:tabs>
          <w:tab w:leader="none" w:pos="860" w:val="left"/>
        </w:tabs>
        <w:rPr>
          <w:sz w:val="20"/>
          <w:szCs w:val="20"/>
          <w:color w:val="auto"/>
        </w:rPr>
      </w:pPr>
      <w:r>
        <w:rPr>
          <w:rFonts w:ascii="Arial" w:cs="Arial" w:eastAsia="Arial" w:hAnsi="Arial"/>
          <w:sz w:val="19"/>
          <w:szCs w:val="19"/>
          <w:color w:val="auto"/>
        </w:rPr>
        <w:t>22.1</w:t>
      </w:r>
      <w:r>
        <w:rPr>
          <w:sz w:val="20"/>
          <w:szCs w:val="20"/>
          <w:color w:val="auto"/>
        </w:rPr>
        <w:tab/>
      </w:r>
      <w:r>
        <w:rPr>
          <w:rFonts w:ascii="Arial" w:cs="Arial" w:eastAsia="Arial" w:hAnsi="Arial"/>
          <w:sz w:val="19"/>
          <w:szCs w:val="19"/>
          <w:color w:val="auto"/>
        </w:rPr>
        <w:t>The Executive acknowledges that in entering into this contract, the Executive has not relied on any representations or warranties about its subject matter, except as provided in this contract.</w:t>
      </w:r>
    </w:p>
    <w:p>
      <w:pPr>
        <w:spacing w:after="0" w:line="200" w:lineRule="exact"/>
        <w:rPr>
          <w:sz w:val="20"/>
          <w:szCs w:val="20"/>
          <w:color w:val="auto"/>
        </w:rPr>
      </w:pPr>
    </w:p>
    <w:p>
      <w:pPr>
        <w:spacing w:after="0" w:line="263" w:lineRule="exact"/>
        <w:rPr>
          <w:sz w:val="20"/>
          <w:szCs w:val="20"/>
          <w:color w:val="auto"/>
        </w:rPr>
      </w:pPr>
    </w:p>
    <w:p>
      <w:pPr>
        <w:spacing w:after="0"/>
        <w:tabs>
          <w:tab w:leader="none" w:pos="560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9</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24" w:name="page225"/>
    <w:bookmarkEnd w:id="224"/>
    <w:p>
      <w:pPr>
        <w:spacing w:after="0"/>
        <w:tabs>
          <w:tab w:leader="none" w:pos="860" w:val="left"/>
        </w:tabs>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435610</wp:posOffset>
            </wp:positionV>
            <wp:extent cx="71374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137400" cy="8255"/>
                    </a:xfrm>
                    <a:prstGeom prst="rect">
                      <a:avLst/>
                    </a:prstGeom>
                    <a:noFill/>
                  </pic:spPr>
                </pic:pic>
              </a:graphicData>
            </a:graphic>
          </wp:anchor>
        </w:drawing>
        <w:t>23</w:t>
      </w:r>
      <w:r>
        <w:rPr>
          <w:sz w:val="20"/>
          <w:szCs w:val="20"/>
          <w:color w:val="auto"/>
        </w:rPr>
        <w:tab/>
      </w:r>
      <w:r>
        <w:rPr>
          <w:rFonts w:ascii="Arial" w:cs="Arial" w:eastAsia="Arial" w:hAnsi="Arial"/>
          <w:sz w:val="21"/>
          <w:szCs w:val="21"/>
          <w:b w:val="1"/>
          <w:bCs w:val="1"/>
          <w:color w:val="auto"/>
        </w:rPr>
        <w:t>Governing Law and Jurisdiction</w:t>
      </w:r>
    </w:p>
    <w:p>
      <w:pPr>
        <w:spacing w:after="0" w:line="164" w:lineRule="exact"/>
        <w:rPr>
          <w:sz w:val="20"/>
          <w:szCs w:val="20"/>
          <w:color w:val="auto"/>
        </w:rPr>
      </w:pPr>
    </w:p>
    <w:p>
      <w:pPr>
        <w:ind w:left="880" w:right="140" w:hanging="870"/>
        <w:spacing w:after="0" w:line="268" w:lineRule="auto"/>
        <w:tabs>
          <w:tab w:leader="none" w:pos="860" w:val="left"/>
        </w:tabs>
        <w:rPr>
          <w:sz w:val="20"/>
          <w:szCs w:val="20"/>
          <w:color w:val="auto"/>
        </w:rPr>
      </w:pPr>
      <w:r>
        <w:rPr>
          <w:rFonts w:ascii="Arial" w:cs="Arial" w:eastAsia="Arial" w:hAnsi="Arial"/>
          <w:sz w:val="19"/>
          <w:szCs w:val="19"/>
          <w:color w:val="auto"/>
        </w:rPr>
        <w:t>23.1</w:t>
      </w:r>
      <w:r>
        <w:rPr>
          <w:sz w:val="20"/>
          <w:szCs w:val="20"/>
          <w:color w:val="auto"/>
        </w:rPr>
        <w:tab/>
      </w:r>
      <w:r>
        <w:rPr>
          <w:rFonts w:ascii="Arial" w:cs="Arial" w:eastAsia="Arial" w:hAnsi="Arial"/>
          <w:sz w:val="19"/>
          <w:szCs w:val="19"/>
          <w:color w:val="auto"/>
        </w:rPr>
        <w:t>The Employment is governed by the laws in force in Victoria and both the Employer and the Executive irrevocably submit to the non-exclusive jurisdiction of the courts of this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245110</wp:posOffset>
            </wp:positionV>
            <wp:extent cx="71374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24</w:t>
      </w:r>
      <w:r>
        <w:rPr>
          <w:sz w:val="20"/>
          <w:szCs w:val="20"/>
          <w:color w:val="auto"/>
        </w:rPr>
        <w:tab/>
      </w:r>
      <w:r>
        <w:rPr>
          <w:rFonts w:ascii="Arial" w:cs="Arial" w:eastAsia="Arial" w:hAnsi="Arial"/>
          <w:sz w:val="21"/>
          <w:szCs w:val="21"/>
          <w:b w:val="1"/>
          <w:bCs w:val="1"/>
          <w:color w:val="auto"/>
        </w:rPr>
        <w:t>Independent Legal Advice</w:t>
      </w:r>
    </w:p>
    <w:p>
      <w:pPr>
        <w:spacing w:after="0" w:line="164" w:lineRule="exact"/>
        <w:rPr>
          <w:sz w:val="20"/>
          <w:szCs w:val="20"/>
          <w:color w:val="auto"/>
        </w:rPr>
      </w:pPr>
    </w:p>
    <w:p>
      <w:pPr>
        <w:ind w:left="880" w:right="440" w:hanging="870"/>
        <w:spacing w:after="0" w:line="268" w:lineRule="auto"/>
        <w:tabs>
          <w:tab w:leader="none" w:pos="860" w:val="left"/>
        </w:tabs>
        <w:rPr>
          <w:sz w:val="20"/>
          <w:szCs w:val="20"/>
          <w:color w:val="auto"/>
        </w:rPr>
      </w:pPr>
      <w:r>
        <w:rPr>
          <w:rFonts w:ascii="Arial" w:cs="Arial" w:eastAsia="Arial" w:hAnsi="Arial"/>
          <w:sz w:val="19"/>
          <w:szCs w:val="19"/>
          <w:color w:val="auto"/>
        </w:rPr>
        <w:t>24.1</w:t>
      </w:r>
      <w:r>
        <w:rPr>
          <w:sz w:val="20"/>
          <w:szCs w:val="20"/>
          <w:color w:val="auto"/>
        </w:rPr>
        <w:tab/>
      </w:r>
      <w:r>
        <w:rPr>
          <w:rFonts w:ascii="Arial" w:cs="Arial" w:eastAsia="Arial" w:hAnsi="Arial"/>
          <w:sz w:val="19"/>
          <w:szCs w:val="19"/>
          <w:color w:val="auto"/>
        </w:rPr>
        <w:t>The Executive acknowledges that the Executive has had a reasonable opportunity to obtain independent legal advice regarding the contents of this contract.</w:t>
      </w:r>
    </w:p>
    <w:p>
      <w:pPr>
        <w:spacing w:after="0" w:line="110" w:lineRule="exact"/>
        <w:rPr>
          <w:sz w:val="20"/>
          <w:szCs w:val="20"/>
          <w:color w:val="auto"/>
        </w:rPr>
      </w:pPr>
    </w:p>
    <w:p>
      <w:pPr>
        <w:ind w:left="880" w:right="140" w:hanging="870"/>
        <w:spacing w:after="0" w:line="268" w:lineRule="auto"/>
        <w:tabs>
          <w:tab w:leader="none" w:pos="860" w:val="left"/>
        </w:tabs>
        <w:rPr>
          <w:sz w:val="20"/>
          <w:szCs w:val="20"/>
          <w:color w:val="auto"/>
        </w:rPr>
      </w:pPr>
      <w:r>
        <w:rPr>
          <w:rFonts w:ascii="Arial" w:cs="Arial" w:eastAsia="Arial" w:hAnsi="Arial"/>
          <w:sz w:val="19"/>
          <w:szCs w:val="19"/>
          <w:color w:val="auto"/>
        </w:rPr>
        <w:t>24.2</w:t>
      </w:r>
      <w:r>
        <w:rPr>
          <w:sz w:val="20"/>
          <w:szCs w:val="20"/>
          <w:color w:val="auto"/>
        </w:rPr>
        <w:tab/>
      </w:r>
      <w:r>
        <w:rPr>
          <w:rFonts w:ascii="Arial" w:cs="Arial" w:eastAsia="Arial" w:hAnsi="Arial"/>
          <w:sz w:val="19"/>
          <w:szCs w:val="19"/>
          <w:color w:val="auto"/>
        </w:rPr>
        <w:t>The Executive acknowledges that the Executive has had sufficient time to review the contents of this contract and further, understands the contents of this contract.</w:t>
      </w:r>
    </w:p>
    <w:p>
      <w:pPr>
        <w:spacing w:after="0" w:line="110"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24.3</w:t>
      </w:r>
      <w:r>
        <w:rPr>
          <w:sz w:val="20"/>
          <w:szCs w:val="20"/>
          <w:color w:val="auto"/>
        </w:rPr>
        <w:tab/>
      </w:r>
      <w:r>
        <w:rPr>
          <w:rFonts w:ascii="Arial" w:cs="Arial" w:eastAsia="Arial" w:hAnsi="Arial"/>
          <w:sz w:val="17"/>
          <w:szCs w:val="17"/>
          <w:color w:val="auto"/>
        </w:rPr>
        <w:t>The Executive acknowledges that the Executive has not been placed under any under pressure to enter into this contract.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10</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225" w:name="page226"/>
    <w:bookmarkEnd w:id="225"/>
    <w:p>
      <w:pPr>
        <w:spacing w:after="0"/>
        <w:rPr>
          <w:sz w:val="20"/>
          <w:szCs w:val="20"/>
          <w:color w:val="auto"/>
        </w:rPr>
      </w:pPr>
      <w:r>
        <w:rPr>
          <w:rFonts w:ascii="Arial" w:cs="Arial" w:eastAsia="Arial" w:hAnsi="Arial"/>
          <w:sz w:val="24"/>
          <w:szCs w:val="24"/>
          <w:b w:val="1"/>
          <w:bCs w:val="1"/>
          <w:color w:val="auto"/>
        </w:rPr>
        <w:t>Execution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Executed </w:t>
      </w:r>
      <w:r>
        <w:rPr>
          <w:rFonts w:ascii="Arial" w:cs="Arial" w:eastAsia="Arial" w:hAnsi="Arial"/>
          <w:sz w:val="19"/>
          <w:szCs w:val="19"/>
          <w:color w:val="auto"/>
        </w:rPr>
        <w:t>as an agreement.</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Signed </w:t>
      </w:r>
      <w:r>
        <w:rPr>
          <w:rFonts w:ascii="Arial" w:cs="Arial" w:eastAsia="Arial" w:hAnsi="Arial"/>
          <w:sz w:val="19"/>
          <w:szCs w:val="19"/>
          <w:color w:val="auto"/>
        </w:rPr>
        <w:t>for and on behalf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Opthea Limited</w:t>
      </w:r>
    </w:p>
    <w:p>
      <w:pPr>
        <w:ind w:left="20"/>
        <w:spacing w:after="0"/>
        <w:rPr>
          <w:sz w:val="20"/>
          <w:szCs w:val="20"/>
          <w:color w:val="auto"/>
        </w:rPr>
      </w:pPr>
      <w:r>
        <w:rPr>
          <w:rFonts w:ascii="Arial" w:cs="Arial" w:eastAsia="Arial" w:hAnsi="Arial"/>
          <w:sz w:val="17"/>
          <w:szCs w:val="17"/>
          <w:color w:val="auto"/>
        </w:rPr>
        <w:t>by its duly authorised representative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32016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of witness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32016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Signed </w:t>
      </w:r>
      <w:r>
        <w:rPr>
          <w:rFonts w:ascii="Arial" w:cs="Arial" w:eastAsia="Arial" w:hAnsi="Arial"/>
          <w:sz w:val="19"/>
          <w:szCs w:val="19"/>
          <w:color w:val="auto"/>
        </w:rPr>
        <w:t>by</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Ms Karen Adams</w:t>
      </w:r>
    </w:p>
    <w:p>
      <w:pPr>
        <w:ind w:left="20"/>
        <w:spacing w:after="0"/>
        <w:rPr>
          <w:sz w:val="20"/>
          <w:szCs w:val="20"/>
          <w:color w:val="auto"/>
        </w:rPr>
      </w:pPr>
      <w:r>
        <w:rPr>
          <w:rFonts w:ascii="Arial" w:cs="Arial" w:eastAsia="Arial" w:hAnsi="Arial"/>
          <w:sz w:val="19"/>
          <w:szCs w:val="19"/>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32016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of witness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-135890</wp:posOffset>
            </wp:positionV>
            <wp:extent cx="32016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3201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Signature of 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3218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authorised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3218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(please 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960"/>
        <w:spacing w:after="0"/>
        <w:rPr>
          <w:sz w:val="20"/>
          <w:szCs w:val="20"/>
          <w:color w:val="auto"/>
        </w:rPr>
      </w:pPr>
      <w:r>
        <w:rPr>
          <w:rFonts w:ascii="Arial" w:cs="Arial" w:eastAsia="Arial" w:hAnsi="Arial"/>
          <w:sz w:val="18"/>
          <w:szCs w:val="18"/>
          <w:color w:val="auto"/>
        </w:rPr>
        <w:t xml:space="preserve">Signature of </w:t>
      </w:r>
      <w:r>
        <w:rPr>
          <w:rFonts w:ascii="Arial" w:cs="Arial" w:eastAsia="Arial" w:hAnsi="Arial"/>
          <w:sz w:val="18"/>
          <w:szCs w:val="18"/>
          <w:b w:val="1"/>
          <w:bCs w:val="1"/>
          <w:color w:val="auto"/>
        </w:rPr>
        <w:t>Ms Karen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3218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321818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1247775</wp:posOffset>
            </wp:positionV>
            <wp:extent cx="71374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079" w:lineRule="exact"/>
        <w:rPr>
          <w:sz w:val="20"/>
          <w:szCs w:val="20"/>
          <w:color w:val="auto"/>
        </w:rPr>
      </w:pPr>
    </w:p>
    <w:p>
      <w:pPr>
        <w:sectPr>
          <w:pgSz w:w="11900" w:h="16838" w:orient="portrait"/>
          <w:cols w:equalWidth="0" w:num="2">
            <w:col w:w="5040" w:space="720"/>
            <w:col w:w="5480"/>
          </w:cols>
          <w:pgMar w:left="320" w:top="4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11</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21"/>
          <w:szCs w:val="21"/>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374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Responsibilities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w:t>
      </w:r>
    </w:p>
    <w:p>
      <w:pPr>
        <w:spacing w:after="0" w:line="209" w:lineRule="exact"/>
        <w:rPr>
          <w:sz w:val="20"/>
          <w:szCs w:val="20"/>
          <w:color w:val="auto"/>
        </w:rPr>
      </w:pPr>
    </w:p>
    <w:p>
      <w:pPr>
        <w:ind w:left="880" w:right="580" w:hanging="434"/>
        <w:spacing w:after="0" w:line="244"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Partner with the CEO and CFO (CEO/CFO) on operational and strategic issues as they arise; provide strategic recommendations to the CEO/CFO based on financial analysis and projections, cost identification and allocation, and revenue/expense analysis.</w:t>
      </w:r>
    </w:p>
    <w:p>
      <w:pPr>
        <w:spacing w:after="0" w:line="173" w:lineRule="exact"/>
        <w:rPr>
          <w:rFonts w:ascii="Arial" w:cs="Arial" w:eastAsia="Arial" w:hAnsi="Arial"/>
          <w:sz w:val="17"/>
          <w:szCs w:val="17"/>
          <w:color w:val="auto"/>
        </w:rPr>
      </w:pPr>
    </w:p>
    <w:p>
      <w:pPr>
        <w:ind w:left="880" w:right="240" w:hanging="434"/>
        <w:spacing w:after="0" w:line="256"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Develop tools and systems to provide critical financial and operational information to the CEO/CFO and make actionable recommendations on both financial strategy and financial reporting.</w:t>
      </w:r>
    </w:p>
    <w:p>
      <w:pPr>
        <w:spacing w:after="0" w:line="160" w:lineRule="exact"/>
        <w:rPr>
          <w:rFonts w:ascii="Arial" w:cs="Arial" w:eastAsia="Arial" w:hAnsi="Arial"/>
          <w:sz w:val="17"/>
          <w:szCs w:val="17"/>
          <w:color w:val="auto"/>
        </w:rPr>
      </w:pPr>
    </w:p>
    <w:p>
      <w:pPr>
        <w:ind w:left="880" w:hanging="434"/>
        <w:spacing w:after="0"/>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Participate in the ongoing strategic planning process as an integral member of the senior management team.</w:t>
      </w:r>
    </w:p>
    <w:p>
      <w:pPr>
        <w:spacing w:after="0" w:line="200" w:lineRule="exact"/>
        <w:rPr>
          <w:rFonts w:ascii="Arial" w:cs="Arial" w:eastAsia="Arial" w:hAnsi="Arial"/>
          <w:sz w:val="17"/>
          <w:szCs w:val="17"/>
          <w:color w:val="auto"/>
        </w:rPr>
      </w:pPr>
    </w:p>
    <w:p>
      <w:pPr>
        <w:ind w:left="880" w:right="100" w:hanging="434"/>
        <w:spacing w:after="0" w:line="308" w:lineRule="auto"/>
        <w:tabs>
          <w:tab w:leader="none" w:pos="880" w:val="left"/>
        </w:tabs>
        <w:numPr>
          <w:ilvl w:val="0"/>
          <w:numId w:val="147"/>
        </w:numPr>
        <w:rPr>
          <w:rFonts w:ascii="Arial" w:cs="Arial" w:eastAsia="Arial" w:hAnsi="Arial"/>
          <w:sz w:val="16"/>
          <w:szCs w:val="16"/>
          <w:color w:val="auto"/>
        </w:rPr>
      </w:pPr>
      <w:r>
        <w:rPr>
          <w:rFonts w:ascii="Arial" w:cs="Arial" w:eastAsia="Arial" w:hAnsi="Arial"/>
          <w:sz w:val="19"/>
          <w:szCs w:val="19"/>
          <w:color w:val="auto"/>
        </w:rPr>
        <w:t>Oversee long-term budgetary planning and cost management in alignment with the Group’s strategic plan, especially as the organization considers joint ventures, potential acquisitions, and collaborations with external organizations.</w:t>
      </w:r>
    </w:p>
    <w:p>
      <w:pPr>
        <w:spacing w:after="0" w:line="114" w:lineRule="exact"/>
        <w:rPr>
          <w:rFonts w:ascii="Arial" w:cs="Arial" w:eastAsia="Arial" w:hAnsi="Arial"/>
          <w:sz w:val="16"/>
          <w:szCs w:val="16"/>
          <w:color w:val="auto"/>
        </w:rPr>
      </w:pPr>
    </w:p>
    <w:p>
      <w:pPr>
        <w:ind w:left="880" w:right="620" w:hanging="434"/>
        <w:spacing w:after="0" w:line="256"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Engage the senior management team to align financial management with short- and long-term financial planning and projections.</w:t>
      </w:r>
    </w:p>
    <w:p>
      <w:pPr>
        <w:spacing w:after="0" w:line="160" w:lineRule="exact"/>
        <w:rPr>
          <w:rFonts w:ascii="Arial" w:cs="Arial" w:eastAsia="Arial" w:hAnsi="Arial"/>
          <w:sz w:val="17"/>
          <w:szCs w:val="17"/>
          <w:color w:val="auto"/>
        </w:rPr>
      </w:pPr>
    </w:p>
    <w:p>
      <w:pPr>
        <w:ind w:left="880" w:right="1220" w:hanging="434"/>
        <w:spacing w:after="0" w:line="256"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Partner with the CEO/CFO to engage the board and audit committee around issues, trends, and changes in the biotech/pharmaceutical industry landscape.</w:t>
      </w:r>
    </w:p>
    <w:p>
      <w:pPr>
        <w:spacing w:after="0" w:line="160" w:lineRule="exact"/>
        <w:rPr>
          <w:rFonts w:ascii="Arial" w:cs="Arial" w:eastAsia="Arial" w:hAnsi="Arial"/>
          <w:sz w:val="17"/>
          <w:szCs w:val="17"/>
          <w:color w:val="auto"/>
        </w:rPr>
      </w:pPr>
    </w:p>
    <w:p>
      <w:pPr>
        <w:ind w:left="880" w:right="480" w:hanging="434"/>
        <w:spacing w:after="0" w:line="256"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Assist in establishing yearly objectives and meeting agendas, and selecting and engaging outside consultants (auditors, brokers/analysts, IR &amp;PR consultants).</w:t>
      </w:r>
    </w:p>
    <w:p>
      <w:pPr>
        <w:spacing w:after="0" w:line="160" w:lineRule="exact"/>
        <w:rPr>
          <w:rFonts w:ascii="Arial" w:cs="Arial" w:eastAsia="Arial" w:hAnsi="Arial"/>
          <w:sz w:val="17"/>
          <w:szCs w:val="17"/>
          <w:color w:val="auto"/>
        </w:rPr>
      </w:pPr>
    </w:p>
    <w:p>
      <w:pPr>
        <w:ind w:left="880" w:hanging="434"/>
        <w:spacing w:after="0"/>
        <w:tabs>
          <w:tab w:leader="none" w:pos="880" w:val="left"/>
        </w:tabs>
        <w:numPr>
          <w:ilvl w:val="0"/>
          <w:numId w:val="147"/>
        </w:numPr>
        <w:rPr>
          <w:rFonts w:ascii="Arial" w:cs="Arial" w:eastAsia="Arial" w:hAnsi="Arial"/>
          <w:sz w:val="16"/>
          <w:szCs w:val="16"/>
          <w:color w:val="auto"/>
        </w:rPr>
      </w:pPr>
      <w:r>
        <w:rPr>
          <w:rFonts w:ascii="Arial" w:cs="Arial" w:eastAsia="Arial" w:hAnsi="Arial"/>
          <w:sz w:val="19"/>
          <w:szCs w:val="19"/>
          <w:color w:val="auto"/>
        </w:rPr>
        <w:t>Support the management and implementation of any acquisitions/mergers including reviews &amp; due diligence processes.</w:t>
      </w:r>
    </w:p>
    <w:p>
      <w:pPr>
        <w:spacing w:after="0" w:line="223" w:lineRule="exact"/>
        <w:rPr>
          <w:rFonts w:ascii="Arial" w:cs="Arial" w:eastAsia="Arial" w:hAnsi="Arial"/>
          <w:sz w:val="16"/>
          <w:szCs w:val="16"/>
          <w:color w:val="auto"/>
        </w:rPr>
      </w:pPr>
    </w:p>
    <w:p>
      <w:pPr>
        <w:ind w:left="880" w:right="20" w:hanging="434"/>
        <w:spacing w:after="0" w:line="256"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Assist the CEO/CFO in identifying new funding opportunities and participate in capital raising activities as requested by the CEO/CFO.</w:t>
      </w:r>
    </w:p>
    <w:p>
      <w:pPr>
        <w:spacing w:after="0" w:line="160" w:lineRule="exact"/>
        <w:rPr>
          <w:rFonts w:ascii="Arial" w:cs="Arial" w:eastAsia="Arial" w:hAnsi="Arial"/>
          <w:sz w:val="17"/>
          <w:szCs w:val="17"/>
          <w:color w:val="auto"/>
        </w:rPr>
      </w:pPr>
    </w:p>
    <w:p>
      <w:pPr>
        <w:ind w:left="880" w:right="140" w:hanging="434"/>
        <w:spacing w:after="0" w:line="256" w:lineRule="auto"/>
        <w:tabs>
          <w:tab w:leader="none" w:pos="880" w:val="left"/>
        </w:tabs>
        <w:numPr>
          <w:ilvl w:val="0"/>
          <w:numId w:val="147"/>
        </w:numPr>
        <w:rPr>
          <w:rFonts w:ascii="Arial" w:cs="Arial" w:eastAsia="Arial" w:hAnsi="Arial"/>
          <w:sz w:val="17"/>
          <w:szCs w:val="17"/>
          <w:color w:val="auto"/>
        </w:rPr>
      </w:pPr>
      <w:r>
        <w:rPr>
          <w:rFonts w:ascii="Arial" w:cs="Arial" w:eastAsia="Arial" w:hAnsi="Arial"/>
          <w:sz w:val="21"/>
          <w:szCs w:val="21"/>
          <w:color w:val="auto"/>
        </w:rPr>
        <w:t>Assist in performing all tasks necessary to achieve the organization's mission and help execute staff succession and growth plans.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and Accounting</w:t>
      </w:r>
    </w:p>
    <w:p>
      <w:pPr>
        <w:spacing w:after="0" w:line="209" w:lineRule="exact"/>
        <w:rPr>
          <w:sz w:val="20"/>
          <w:szCs w:val="20"/>
          <w:color w:val="auto"/>
        </w:rPr>
      </w:pPr>
    </w:p>
    <w:p>
      <w:pPr>
        <w:ind w:left="880" w:hanging="434"/>
        <w:spacing w:after="0"/>
        <w:tabs>
          <w:tab w:leader="none" w:pos="880" w:val="left"/>
        </w:tabs>
        <w:numPr>
          <w:ilvl w:val="0"/>
          <w:numId w:val="148"/>
        </w:numPr>
        <w:rPr>
          <w:rFonts w:ascii="Arial" w:cs="Arial" w:eastAsia="Arial" w:hAnsi="Arial"/>
          <w:sz w:val="17"/>
          <w:szCs w:val="17"/>
          <w:color w:val="auto"/>
        </w:rPr>
      </w:pPr>
      <w:r>
        <w:rPr>
          <w:rFonts w:ascii="Arial" w:cs="Arial" w:eastAsia="Arial" w:hAnsi="Arial"/>
          <w:sz w:val="21"/>
          <w:szCs w:val="21"/>
          <w:color w:val="auto"/>
        </w:rPr>
        <w:t>Liaise with external auditors and tax agents.</w:t>
      </w:r>
    </w:p>
    <w:p>
      <w:pPr>
        <w:spacing w:after="0" w:line="226" w:lineRule="exact"/>
        <w:rPr>
          <w:rFonts w:ascii="Arial" w:cs="Arial" w:eastAsia="Arial" w:hAnsi="Arial"/>
          <w:sz w:val="17"/>
          <w:szCs w:val="17"/>
          <w:color w:val="auto"/>
        </w:rPr>
      </w:pPr>
    </w:p>
    <w:p>
      <w:pPr>
        <w:ind w:left="880" w:right="520" w:hanging="434"/>
        <w:spacing w:after="0" w:line="282" w:lineRule="auto"/>
        <w:tabs>
          <w:tab w:leader="none" w:pos="880" w:val="left"/>
        </w:tabs>
        <w:numPr>
          <w:ilvl w:val="0"/>
          <w:numId w:val="148"/>
        </w:numPr>
        <w:rPr>
          <w:rFonts w:ascii="Arial" w:cs="Arial" w:eastAsia="Arial" w:hAnsi="Arial"/>
          <w:sz w:val="16"/>
          <w:szCs w:val="16"/>
          <w:color w:val="auto"/>
        </w:rPr>
      </w:pPr>
      <w:r>
        <w:rPr>
          <w:rFonts w:ascii="Arial" w:cs="Arial" w:eastAsia="Arial" w:hAnsi="Arial"/>
          <w:sz w:val="19"/>
          <w:szCs w:val="19"/>
          <w:color w:val="auto"/>
        </w:rPr>
        <w:t>Work with the CEO/CFO to oversee the coordination and activities of independent auditors ensuring all PCAOB audit issues are resolved, and all compliance issues are met, and the preparation of the annual financial statements is in accordance with the Corporations Act 2001, Australian Accounting Standards and IFR Standards, and US</w:t>
      </w:r>
    </w:p>
    <w:p>
      <w:pPr>
        <w:spacing w:after="0" w:line="120"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12"/>
          <w:szCs w:val="12"/>
          <w:color w:val="auto"/>
        </w:rPr>
        <w:t>#1328149-v3\MELDMS\AUSKMB</w:t>
      </w:r>
      <w:r>
        <w:rPr>
          <w:sz w:val="20"/>
          <w:szCs w:val="20"/>
          <w:color w:val="auto"/>
        </w:rPr>
        <w:tab/>
      </w:r>
      <w:r>
        <w:rPr>
          <w:rFonts w:ascii="Arial" w:cs="Arial" w:eastAsia="Arial" w:hAnsi="Arial"/>
          <w:sz w:val="12"/>
          <w:szCs w:val="12"/>
          <w:color w:val="auto"/>
        </w:rPr>
        <w:t>12</w:t>
      </w:r>
      <w:r>
        <w:rPr>
          <w:sz w:val="20"/>
          <w:szCs w:val="20"/>
          <w:color w:val="auto"/>
        </w:rPr>
        <w:tab/>
      </w:r>
      <w:r>
        <w:rPr>
          <w:rFonts w:ascii="Arial" w:cs="Arial" w:eastAsia="Arial" w:hAnsi="Arial"/>
          <w:sz w:val="20"/>
          <w:szCs w:val="20"/>
          <w:color w:val="auto"/>
          <w:vertAlign w:val="subscript"/>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79310"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227" w:name="page228"/>
    <w:bookmarkEnd w:id="227"/>
    <w:p>
      <w:pPr>
        <w:ind w:left="880" w:right="700"/>
        <w:spacing w:after="0" w:line="256" w:lineRule="auto"/>
        <w:rPr>
          <w:sz w:val="20"/>
          <w:szCs w:val="20"/>
          <w:color w:val="auto"/>
        </w:rPr>
      </w:pPr>
      <w:r>
        <w:rPr>
          <w:rFonts w:ascii="Arial" w:cs="Arial" w:eastAsia="Arial" w:hAnsi="Arial"/>
          <w:sz w:val="21"/>
          <w:szCs w:val="21"/>
          <w:color w:val="auto"/>
        </w:rPr>
        <w:t>Generally Accepted Accounting Principles (US-GAAP), and other required standards, supplementary schedules and information.</w:t>
      </w:r>
    </w:p>
    <w:p>
      <w:pPr>
        <w:spacing w:after="0" w:line="187" w:lineRule="exact"/>
        <w:rPr>
          <w:sz w:val="20"/>
          <w:szCs w:val="20"/>
          <w:color w:val="auto"/>
        </w:rPr>
      </w:pPr>
    </w:p>
    <w:p>
      <w:pPr>
        <w:ind w:left="880" w:hanging="434"/>
        <w:spacing w:after="0"/>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Work with the CFO and Finance Manager in the preparation of Audit and Tax Schedules.</w:t>
      </w:r>
    </w:p>
    <w:p>
      <w:pPr>
        <w:spacing w:after="0" w:line="200" w:lineRule="exact"/>
        <w:rPr>
          <w:rFonts w:ascii="Arial" w:cs="Arial" w:eastAsia="Arial" w:hAnsi="Arial"/>
          <w:sz w:val="17"/>
          <w:szCs w:val="17"/>
          <w:color w:val="auto"/>
        </w:rPr>
      </w:pPr>
    </w:p>
    <w:p>
      <w:pPr>
        <w:ind w:left="880" w:right="560" w:hanging="434"/>
        <w:spacing w:after="0" w:line="256" w:lineRule="auto"/>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Assist with preparation of Annual Report and overseeing the production of the Annual Report in conjunction with the CEO/CFO and Finance Manager.</w:t>
      </w:r>
    </w:p>
    <w:p>
      <w:pPr>
        <w:spacing w:after="0" w:line="186" w:lineRule="exact"/>
        <w:rPr>
          <w:rFonts w:ascii="Arial" w:cs="Arial" w:eastAsia="Arial" w:hAnsi="Arial"/>
          <w:sz w:val="17"/>
          <w:szCs w:val="17"/>
          <w:color w:val="auto"/>
        </w:rPr>
      </w:pPr>
    </w:p>
    <w:p>
      <w:pPr>
        <w:ind w:left="880" w:right="300" w:hanging="434"/>
        <w:spacing w:after="0" w:line="256" w:lineRule="auto"/>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Work with the Finance Manager in the preparation &amp; lodgement of the Group’s ITR Schedules, R&amp;D Tax Schedules and Annual Application for R&amp;D Tax Concession in collaboration with tax agents.</w:t>
      </w:r>
    </w:p>
    <w:p>
      <w:pPr>
        <w:spacing w:after="0" w:line="186" w:lineRule="exact"/>
        <w:rPr>
          <w:rFonts w:ascii="Arial" w:cs="Arial" w:eastAsia="Arial" w:hAnsi="Arial"/>
          <w:sz w:val="17"/>
          <w:szCs w:val="17"/>
          <w:color w:val="auto"/>
        </w:rPr>
      </w:pPr>
    </w:p>
    <w:p>
      <w:pPr>
        <w:ind w:left="880" w:right="20" w:hanging="434"/>
        <w:spacing w:after="0" w:line="308" w:lineRule="auto"/>
        <w:tabs>
          <w:tab w:leader="none" w:pos="880" w:val="left"/>
        </w:tabs>
        <w:numPr>
          <w:ilvl w:val="0"/>
          <w:numId w:val="149"/>
        </w:numPr>
        <w:rPr>
          <w:rFonts w:ascii="Arial" w:cs="Arial" w:eastAsia="Arial" w:hAnsi="Arial"/>
          <w:sz w:val="16"/>
          <w:szCs w:val="16"/>
          <w:color w:val="auto"/>
        </w:rPr>
      </w:pPr>
      <w:r>
        <w:rPr>
          <w:rFonts w:ascii="Arial" w:cs="Arial" w:eastAsia="Arial" w:hAnsi="Arial"/>
          <w:sz w:val="19"/>
          <w:szCs w:val="19"/>
          <w:color w:val="auto"/>
        </w:rPr>
        <w:t>Work with the CEO/CFO to oversee compliance management including statutory compliance, taxation, annual accounts and audit, payroll, BAS, PAYG instalments, reporting superannuation, Workers Compensation, GST reporting</w:t>
      </w:r>
    </w:p>
    <w:p>
      <w:pPr>
        <w:spacing w:after="0" w:line="140" w:lineRule="exact"/>
        <w:rPr>
          <w:rFonts w:ascii="Arial" w:cs="Arial" w:eastAsia="Arial" w:hAnsi="Arial"/>
          <w:sz w:val="16"/>
          <w:szCs w:val="16"/>
          <w:color w:val="auto"/>
        </w:rPr>
      </w:pPr>
    </w:p>
    <w:p>
      <w:pPr>
        <w:ind w:left="880" w:right="380" w:hanging="434"/>
        <w:spacing w:after="0" w:line="256" w:lineRule="auto"/>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Work with the Finance Manager and CFO in the production of financial statements and cash flow projections for use by Executive management, as well as the Audit Committee and Board of Directors.</w:t>
      </w:r>
    </w:p>
    <w:p>
      <w:pPr>
        <w:spacing w:after="0" w:line="160" w:lineRule="exact"/>
        <w:rPr>
          <w:rFonts w:ascii="Arial" w:cs="Arial" w:eastAsia="Arial" w:hAnsi="Arial"/>
          <w:sz w:val="17"/>
          <w:szCs w:val="17"/>
          <w:color w:val="auto"/>
        </w:rPr>
      </w:pPr>
    </w:p>
    <w:p>
      <w:pPr>
        <w:ind w:left="880" w:right="640" w:hanging="434"/>
        <w:spacing w:after="0" w:line="308" w:lineRule="auto"/>
        <w:tabs>
          <w:tab w:leader="none" w:pos="880" w:val="left"/>
        </w:tabs>
        <w:numPr>
          <w:ilvl w:val="0"/>
          <w:numId w:val="149"/>
        </w:numPr>
        <w:rPr>
          <w:rFonts w:ascii="Arial" w:cs="Arial" w:eastAsia="Arial" w:hAnsi="Arial"/>
          <w:sz w:val="16"/>
          <w:szCs w:val="16"/>
          <w:color w:val="auto"/>
        </w:rPr>
      </w:pPr>
      <w:r>
        <w:rPr>
          <w:rFonts w:ascii="Arial" w:cs="Arial" w:eastAsia="Arial" w:hAnsi="Arial"/>
          <w:sz w:val="18"/>
          <w:szCs w:val="18"/>
          <w:color w:val="auto"/>
        </w:rPr>
        <w:t xml:space="preserve">Work with the CEO/CFO </w:t>
      </w:r>
      <w:r>
        <w:rPr>
          <w:rFonts w:ascii="Arial" w:cs="Arial" w:eastAsia="Arial" w:hAnsi="Arial"/>
          <w:sz w:val="19"/>
          <w:szCs w:val="19"/>
          <w:color w:val="auto"/>
        </w:rPr>
        <w:t>to oversee all accounts, ledgers, and reporting systems ensuring compliance with appropriate</w:t>
      </w:r>
      <w:r>
        <w:rPr>
          <w:rFonts w:ascii="Arial" w:cs="Arial" w:eastAsia="Arial" w:hAnsi="Arial"/>
          <w:sz w:val="18"/>
          <w:szCs w:val="18"/>
          <w:color w:val="auto"/>
        </w:rPr>
        <w:t xml:space="preserve"> </w:t>
      </w:r>
      <w:r>
        <w:rPr>
          <w:rFonts w:ascii="Arial" w:cs="Arial" w:eastAsia="Arial" w:hAnsi="Arial"/>
          <w:sz w:val="19"/>
          <w:szCs w:val="19"/>
          <w:color w:val="auto"/>
        </w:rPr>
        <w:t>Australian and applicable US standards and regulatory requirements and monitor the use of all funds.</w:t>
      </w:r>
    </w:p>
    <w:p>
      <w:pPr>
        <w:spacing w:after="0" w:line="140" w:lineRule="exact"/>
        <w:rPr>
          <w:rFonts w:ascii="Arial" w:cs="Arial" w:eastAsia="Arial" w:hAnsi="Arial"/>
          <w:sz w:val="16"/>
          <w:szCs w:val="16"/>
          <w:color w:val="auto"/>
        </w:rPr>
      </w:pPr>
    </w:p>
    <w:p>
      <w:pPr>
        <w:ind w:left="880" w:right="100" w:hanging="434"/>
        <w:spacing w:after="0" w:line="256" w:lineRule="auto"/>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Ensure that due diligence process in place in selecting key suppliers and checklist in place re criteria to be met for selection of suppliers and appropriately documented (including a financial health check on the supplier).</w:t>
      </w:r>
    </w:p>
    <w:p>
      <w:pPr>
        <w:spacing w:after="0" w:line="160" w:lineRule="exact"/>
        <w:rPr>
          <w:rFonts w:ascii="Arial" w:cs="Arial" w:eastAsia="Arial" w:hAnsi="Arial"/>
          <w:sz w:val="17"/>
          <w:szCs w:val="17"/>
          <w:color w:val="auto"/>
        </w:rPr>
      </w:pPr>
    </w:p>
    <w:p>
      <w:pPr>
        <w:ind w:left="880" w:hanging="434"/>
        <w:spacing w:after="0"/>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Manage and track the performance of invested assets in keeping with policies and investment guidelines.</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Contribute to structure of and implementation of any securities issues (shares, options rights etc.) by the Group.</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Assist in remuneration packaging including short term and long term incentives.</w:t>
      </w:r>
    </w:p>
    <w:p>
      <w:pPr>
        <w:spacing w:after="0" w:line="200" w:lineRule="exact"/>
        <w:rPr>
          <w:rFonts w:ascii="Arial" w:cs="Arial" w:eastAsia="Arial" w:hAnsi="Arial"/>
          <w:sz w:val="17"/>
          <w:szCs w:val="17"/>
          <w:color w:val="auto"/>
        </w:rPr>
      </w:pPr>
    </w:p>
    <w:p>
      <w:pPr>
        <w:ind w:left="880" w:right="940" w:hanging="434"/>
        <w:spacing w:after="0" w:line="256" w:lineRule="auto"/>
        <w:tabs>
          <w:tab w:leader="none" w:pos="880" w:val="left"/>
        </w:tabs>
        <w:numPr>
          <w:ilvl w:val="0"/>
          <w:numId w:val="149"/>
        </w:numPr>
        <w:rPr>
          <w:rFonts w:ascii="Arial" w:cs="Arial" w:eastAsia="Arial" w:hAnsi="Arial"/>
          <w:sz w:val="17"/>
          <w:szCs w:val="17"/>
          <w:color w:val="auto"/>
        </w:rPr>
      </w:pPr>
      <w:r>
        <w:rPr>
          <w:rFonts w:ascii="Arial" w:cs="Arial" w:eastAsia="Arial" w:hAnsi="Arial"/>
          <w:sz w:val="21"/>
          <w:szCs w:val="21"/>
          <w:color w:val="auto"/>
        </w:rPr>
        <w:t>Develop and provide guidance to the Finance Manager and other key management staff on raising awareness and knowledge of financial management matters.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09" w:lineRule="exact"/>
        <w:rPr>
          <w:sz w:val="20"/>
          <w:szCs w:val="20"/>
          <w:color w:val="auto"/>
        </w:rPr>
      </w:pPr>
    </w:p>
    <w:p>
      <w:pPr>
        <w:ind w:left="880" w:hanging="434"/>
        <w:spacing w:after="0"/>
        <w:tabs>
          <w:tab w:leader="none" w:pos="880" w:val="left"/>
        </w:tabs>
        <w:numPr>
          <w:ilvl w:val="0"/>
          <w:numId w:val="150"/>
        </w:numPr>
        <w:rPr>
          <w:rFonts w:ascii="Arial" w:cs="Arial" w:eastAsia="Arial" w:hAnsi="Arial"/>
          <w:sz w:val="17"/>
          <w:szCs w:val="17"/>
          <w:color w:val="auto"/>
        </w:rPr>
      </w:pPr>
      <w:r>
        <w:rPr>
          <w:rFonts w:ascii="Arial" w:cs="Arial" w:eastAsia="Arial" w:hAnsi="Arial"/>
          <w:sz w:val="21"/>
          <w:szCs w:val="21"/>
          <w:color w:val="auto"/>
        </w:rPr>
        <w:t>Ensure/facilitate the identification of significant operational, financial and economic risks to the company.</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50"/>
        </w:numPr>
        <w:rPr>
          <w:rFonts w:ascii="Arial" w:cs="Arial" w:eastAsia="Arial" w:hAnsi="Arial"/>
          <w:sz w:val="16"/>
          <w:szCs w:val="16"/>
          <w:color w:val="auto"/>
        </w:rPr>
      </w:pPr>
      <w:r>
        <w:rPr>
          <w:rFonts w:ascii="Arial" w:cs="Arial" w:eastAsia="Arial" w:hAnsi="Arial"/>
          <w:sz w:val="20"/>
          <w:szCs w:val="20"/>
          <w:color w:val="auto"/>
        </w:rPr>
        <w:t>Facilitate the adequate management of these risks: including that appropriate controls and processes are in place.</w:t>
      </w:r>
    </w:p>
    <w:p>
      <w:pPr>
        <w:spacing w:after="0" w:line="211" w:lineRule="exact"/>
        <w:rPr>
          <w:rFonts w:ascii="Arial" w:cs="Arial" w:eastAsia="Arial" w:hAnsi="Arial"/>
          <w:sz w:val="16"/>
          <w:szCs w:val="16"/>
          <w:color w:val="auto"/>
        </w:rPr>
      </w:pPr>
    </w:p>
    <w:p>
      <w:pPr>
        <w:ind w:left="880" w:hanging="434"/>
        <w:spacing w:after="0"/>
        <w:tabs>
          <w:tab w:leader="none" w:pos="880" w:val="left"/>
        </w:tabs>
        <w:numPr>
          <w:ilvl w:val="0"/>
          <w:numId w:val="150"/>
        </w:numPr>
        <w:rPr>
          <w:rFonts w:ascii="Arial" w:cs="Arial" w:eastAsia="Arial" w:hAnsi="Arial"/>
          <w:sz w:val="17"/>
          <w:szCs w:val="17"/>
          <w:color w:val="auto"/>
        </w:rPr>
      </w:pPr>
      <w:r>
        <w:rPr>
          <w:rFonts w:ascii="Arial" w:cs="Arial" w:eastAsia="Arial" w:hAnsi="Arial"/>
          <w:sz w:val="21"/>
          <w:szCs w:val="21"/>
          <w:color w:val="auto"/>
        </w:rPr>
        <w:t>Regularly review adequacy of risk management and business insurance plans.</w:t>
      </w:r>
    </w:p>
    <w:p>
      <w:pPr>
        <w:spacing w:after="0" w:line="351"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24"/>
          <w:szCs w:val="24"/>
          <w:color w:val="auto"/>
          <w:vertAlign w:val="superscript"/>
        </w:rPr>
        <w:t>#1328149-v3\MELDMS\AUSKMB</w:t>
      </w:r>
      <w:r>
        <w:rPr>
          <w:sz w:val="20"/>
          <w:szCs w:val="20"/>
          <w:color w:val="auto"/>
        </w:rPr>
        <w:tab/>
      </w:r>
      <w:r>
        <w:rPr>
          <w:rFonts w:ascii="Arial" w:cs="Arial" w:eastAsia="Arial" w:hAnsi="Arial"/>
          <w:sz w:val="24"/>
          <w:szCs w:val="24"/>
          <w:color w:val="auto"/>
          <w:vertAlign w:val="superscript"/>
        </w:rPr>
        <w:t>13</w:t>
      </w:r>
      <w:r>
        <w:rPr>
          <w:sz w:val="20"/>
          <w:szCs w:val="20"/>
          <w:color w:val="auto"/>
        </w:rPr>
        <w:tab/>
      </w:r>
      <w:r>
        <w:rPr>
          <w:rFonts w:ascii="Arial" w:cs="Arial" w:eastAsia="Arial" w:hAnsi="Arial"/>
          <w:sz w:val="13"/>
          <w:szCs w:val="13"/>
          <w:color w:val="auto"/>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717931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28" w:name="page229"/>
    <w:bookmarkEnd w:id="228"/>
    <w:p>
      <w:pPr>
        <w:ind w:left="880" w:hanging="434"/>
        <w:spacing w:after="0"/>
        <w:tabs>
          <w:tab w:leader="none" w:pos="880" w:val="left"/>
        </w:tabs>
        <w:numPr>
          <w:ilvl w:val="0"/>
          <w:numId w:val="151"/>
        </w:numPr>
        <w:rPr>
          <w:rFonts w:ascii="Arial" w:cs="Arial" w:eastAsia="Arial" w:hAnsi="Arial"/>
          <w:sz w:val="17"/>
          <w:szCs w:val="17"/>
          <w:color w:val="auto"/>
        </w:rPr>
      </w:pPr>
      <w:r>
        <w:rPr>
          <w:rFonts w:ascii="Arial" w:cs="Arial" w:eastAsia="Arial" w:hAnsi="Arial"/>
          <w:sz w:val="21"/>
          <w:szCs w:val="21"/>
          <w:color w:val="auto"/>
        </w:rPr>
        <w:t>Report corporate governance policies re company’s risk management process, to the CEO and Board.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Team Management</w:t>
      </w:r>
    </w:p>
    <w:p>
      <w:pPr>
        <w:spacing w:after="0" w:line="209" w:lineRule="exact"/>
        <w:rPr>
          <w:sz w:val="20"/>
          <w:szCs w:val="20"/>
          <w:color w:val="auto"/>
        </w:rPr>
      </w:pPr>
    </w:p>
    <w:p>
      <w:pPr>
        <w:ind w:left="880" w:right="460" w:hanging="434"/>
        <w:spacing w:after="0" w:line="256" w:lineRule="auto"/>
        <w:tabs>
          <w:tab w:leader="none" w:pos="880" w:val="left"/>
        </w:tabs>
        <w:numPr>
          <w:ilvl w:val="0"/>
          <w:numId w:val="152"/>
        </w:numPr>
        <w:rPr>
          <w:rFonts w:ascii="Arial" w:cs="Arial" w:eastAsia="Arial" w:hAnsi="Arial"/>
          <w:sz w:val="17"/>
          <w:szCs w:val="17"/>
          <w:color w:val="auto"/>
        </w:rPr>
      </w:pPr>
      <w:r>
        <w:rPr>
          <w:rFonts w:ascii="Arial" w:cs="Arial" w:eastAsia="Arial" w:hAnsi="Arial"/>
          <w:sz w:val="21"/>
          <w:szCs w:val="21"/>
          <w:color w:val="auto"/>
        </w:rPr>
        <w:t>Mentor the Finance Manager, managing work allocation, training, problem resolution, performance evaluation, and the building of an effective team dynamic.</w:t>
      </w:r>
    </w:p>
    <w:p>
      <w:pPr>
        <w:spacing w:after="0" w:line="160" w:lineRule="exact"/>
        <w:rPr>
          <w:rFonts w:ascii="Arial" w:cs="Arial" w:eastAsia="Arial" w:hAnsi="Arial"/>
          <w:sz w:val="17"/>
          <w:szCs w:val="17"/>
          <w:color w:val="auto"/>
        </w:rPr>
      </w:pPr>
    </w:p>
    <w:p>
      <w:pPr>
        <w:ind w:left="880" w:right="500" w:hanging="434"/>
        <w:spacing w:after="0" w:line="308" w:lineRule="auto"/>
        <w:tabs>
          <w:tab w:leader="none" w:pos="880" w:val="left"/>
        </w:tabs>
        <w:numPr>
          <w:ilvl w:val="0"/>
          <w:numId w:val="152"/>
        </w:numPr>
        <w:rPr>
          <w:rFonts w:ascii="Arial" w:cs="Arial" w:eastAsia="Arial" w:hAnsi="Arial"/>
          <w:sz w:val="16"/>
          <w:szCs w:val="16"/>
          <w:color w:val="auto"/>
        </w:rPr>
      </w:pPr>
      <w:r>
        <w:rPr>
          <w:rFonts w:ascii="Arial" w:cs="Arial" w:eastAsia="Arial" w:hAnsi="Arial"/>
          <w:sz w:val="19"/>
          <w:szCs w:val="19"/>
          <w:color w:val="auto"/>
        </w:rPr>
        <w:t>Engage other members of senior management team to facilitate collaboration that ensures that all financial, IT and HR solutions positively support the Group’s evolving strategy, operational delivery and data collection needs.</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Secretarial &amp; Corporate Governance</w:t>
      </w:r>
    </w:p>
    <w:p>
      <w:pPr>
        <w:spacing w:after="0" w:line="209" w:lineRule="exact"/>
        <w:rPr>
          <w:sz w:val="20"/>
          <w:szCs w:val="20"/>
          <w:color w:val="auto"/>
        </w:rPr>
      </w:pPr>
    </w:p>
    <w:p>
      <w:pPr>
        <w:ind w:left="880" w:hanging="434"/>
        <w:spacing w:after="0"/>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Ensure compliance with the company’s corporate governance policies.</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53"/>
        </w:numPr>
        <w:rPr>
          <w:rFonts w:ascii="Arial" w:cs="Arial" w:eastAsia="Arial" w:hAnsi="Arial"/>
          <w:sz w:val="16"/>
          <w:szCs w:val="16"/>
          <w:color w:val="auto"/>
        </w:rPr>
      </w:pPr>
      <w:r>
        <w:rPr>
          <w:rFonts w:ascii="Arial" w:cs="Arial" w:eastAsia="Arial" w:hAnsi="Arial"/>
          <w:sz w:val="20"/>
          <w:szCs w:val="20"/>
          <w:color w:val="auto"/>
        </w:rPr>
        <w:t>Prepare and lodge ASX announcements and work with the CFO to ensure compliance with US SEC requirements.</w:t>
      </w:r>
    </w:p>
    <w:p>
      <w:pPr>
        <w:spacing w:after="0" w:line="211" w:lineRule="exact"/>
        <w:rPr>
          <w:rFonts w:ascii="Arial" w:cs="Arial" w:eastAsia="Arial" w:hAnsi="Arial"/>
          <w:sz w:val="16"/>
          <w:szCs w:val="16"/>
          <w:color w:val="auto"/>
        </w:rPr>
      </w:pPr>
    </w:p>
    <w:p>
      <w:pPr>
        <w:ind w:left="880" w:hanging="434"/>
        <w:spacing w:after="0"/>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Ensure ASIC lodging as required by Corporations Law.</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Prepare and lodge various forms/disclosures as required by the ASX Listing Rules.</w:t>
      </w:r>
    </w:p>
    <w:p>
      <w:pPr>
        <w:spacing w:after="0" w:line="200" w:lineRule="exact"/>
        <w:rPr>
          <w:rFonts w:ascii="Arial" w:cs="Arial" w:eastAsia="Arial" w:hAnsi="Arial"/>
          <w:sz w:val="17"/>
          <w:szCs w:val="17"/>
          <w:color w:val="auto"/>
        </w:rPr>
      </w:pPr>
    </w:p>
    <w:p>
      <w:pPr>
        <w:ind w:left="880" w:right="840" w:hanging="434"/>
        <w:spacing w:after="0" w:line="256" w:lineRule="auto"/>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Manage the relationship and activities (including those related to the annual general meeting in Australia) with the company’s share registry company.</w:t>
      </w:r>
    </w:p>
    <w:p>
      <w:pPr>
        <w:spacing w:after="0" w:line="160" w:lineRule="exact"/>
        <w:rPr>
          <w:rFonts w:ascii="Arial" w:cs="Arial" w:eastAsia="Arial" w:hAnsi="Arial"/>
          <w:sz w:val="17"/>
          <w:szCs w:val="17"/>
          <w:color w:val="auto"/>
        </w:rPr>
      </w:pPr>
    </w:p>
    <w:p>
      <w:pPr>
        <w:ind w:left="880" w:hanging="434"/>
        <w:spacing w:after="0"/>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Prepare Board papers and minutes of meetings.</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Attend Board and Subcommittee meetings as directed by the Board and CEO.</w:t>
      </w:r>
    </w:p>
    <w:p>
      <w:pPr>
        <w:spacing w:after="0" w:line="200" w:lineRule="exact"/>
        <w:rPr>
          <w:rFonts w:ascii="Arial" w:cs="Arial" w:eastAsia="Arial" w:hAnsi="Arial"/>
          <w:sz w:val="17"/>
          <w:szCs w:val="17"/>
          <w:color w:val="auto"/>
        </w:rPr>
      </w:pPr>
    </w:p>
    <w:p>
      <w:pPr>
        <w:ind w:left="880" w:hanging="434"/>
        <w:spacing w:after="0"/>
        <w:tabs>
          <w:tab w:leader="none" w:pos="880" w:val="left"/>
        </w:tabs>
        <w:numPr>
          <w:ilvl w:val="0"/>
          <w:numId w:val="153"/>
        </w:numPr>
        <w:rPr>
          <w:rFonts w:ascii="Arial" w:cs="Arial" w:eastAsia="Arial" w:hAnsi="Arial"/>
          <w:sz w:val="17"/>
          <w:szCs w:val="17"/>
          <w:color w:val="auto"/>
        </w:rPr>
      </w:pPr>
      <w:r>
        <w:rPr>
          <w:rFonts w:ascii="Arial" w:cs="Arial" w:eastAsia="Arial" w:hAnsi="Arial"/>
          <w:sz w:val="21"/>
          <w:szCs w:val="21"/>
          <w:color w:val="auto"/>
        </w:rPr>
        <w:t>Contribute to IR/PR strategy and investor relations activities as directed by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223520</wp:posOffset>
            </wp:positionV>
            <wp:extent cx="71374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12"/>
          <w:szCs w:val="12"/>
          <w:color w:val="auto"/>
        </w:rPr>
        <w:t>#1328149-v3\MELDMS\AUSKMB</w:t>
      </w:r>
      <w:r>
        <w:rPr>
          <w:sz w:val="20"/>
          <w:szCs w:val="20"/>
          <w:color w:val="auto"/>
        </w:rPr>
        <w:tab/>
      </w:r>
      <w:r>
        <w:rPr>
          <w:rFonts w:ascii="Arial" w:cs="Arial" w:eastAsia="Arial" w:hAnsi="Arial"/>
          <w:sz w:val="12"/>
          <w:szCs w:val="12"/>
          <w:color w:val="auto"/>
        </w:rPr>
        <w:t>14</w:t>
      </w:r>
      <w:r>
        <w:rPr>
          <w:sz w:val="20"/>
          <w:szCs w:val="20"/>
          <w:color w:val="auto"/>
        </w:rPr>
        <w:tab/>
      </w:r>
      <w:r>
        <w:rPr>
          <w:rFonts w:ascii="Arial" w:cs="Arial" w:eastAsia="Arial" w:hAnsi="Arial"/>
          <w:sz w:val="20"/>
          <w:szCs w:val="20"/>
          <w:color w:val="auto"/>
          <w:vertAlign w:val="subscript"/>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79310"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229" w:name="page230"/>
    <w:bookmarkEnd w:id="229"/>
    <w:p>
      <w:pPr>
        <w:spacing w:after="0"/>
        <w:rPr>
          <w:sz w:val="20"/>
          <w:szCs w:val="20"/>
          <w:color w:val="auto"/>
        </w:rPr>
      </w:pPr>
      <w:r>
        <w:rPr>
          <w:rFonts w:ascii="Arial" w:cs="Arial" w:eastAsia="Arial" w:hAnsi="Arial"/>
          <w:sz w:val="21"/>
          <w:szCs w:val="21"/>
          <w:b w:val="1"/>
          <w:bCs w:val="1"/>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374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Secrecy and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71374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5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 consideration of employment as an employee with Opthea Limited of Suite 0403, Level 4, 650 Chapel Street, South Yarra, Victoria 3141 (the “</w:t>
      </w:r>
      <w:r>
        <w:rPr>
          <w:rFonts w:ascii="Arial" w:cs="Arial" w:eastAsia="Arial" w:hAnsi="Arial"/>
          <w:sz w:val="19"/>
          <w:szCs w:val="19"/>
          <w:b w:val="1"/>
          <w:bCs w:val="1"/>
          <w:color w:val="auto"/>
        </w:rPr>
        <w:t>Company</w:t>
      </w:r>
      <w:r>
        <w:rPr>
          <w:rFonts w:ascii="Arial" w:cs="Arial" w:eastAsia="Arial" w:hAnsi="Arial"/>
          <w:sz w:val="19"/>
          <w:szCs w:val="19"/>
          <w:color w:val="auto"/>
        </w:rPr>
        <w:t>”), the undersigned (the “</w:t>
      </w:r>
      <w:r>
        <w:rPr>
          <w:rFonts w:ascii="Arial" w:cs="Arial" w:eastAsia="Arial" w:hAnsi="Arial"/>
          <w:sz w:val="19"/>
          <w:szCs w:val="19"/>
          <w:b w:val="1"/>
          <w:bCs w:val="1"/>
          <w:color w:val="auto"/>
        </w:rPr>
        <w:t>Participant</w:t>
      </w:r>
      <w:r>
        <w:rPr>
          <w:rFonts w:ascii="Arial" w:cs="Arial" w:eastAsia="Arial" w:hAnsi="Arial"/>
          <w:sz w:val="19"/>
          <w:szCs w:val="19"/>
          <w:color w:val="auto"/>
        </w:rPr>
        <w:t>”) agrees and covenants as follows:</w:t>
      </w:r>
    </w:p>
    <w:p>
      <w:pPr>
        <w:spacing w:after="0" w:line="156" w:lineRule="exact"/>
        <w:rPr>
          <w:sz w:val="20"/>
          <w:szCs w:val="20"/>
          <w:color w:val="auto"/>
        </w:rPr>
      </w:pPr>
    </w:p>
    <w:p>
      <w:pPr>
        <w:jc w:val="both"/>
        <w:ind w:left="880" w:hanging="876"/>
        <w:spacing w:after="0" w:line="250" w:lineRule="auto"/>
        <w:tabs>
          <w:tab w:leader="none" w:pos="8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Employment with the Company as an employee (the “</w:t>
      </w:r>
      <w:r>
        <w:rPr>
          <w:rFonts w:ascii="Arial" w:cs="Arial" w:eastAsia="Arial" w:hAnsi="Arial"/>
          <w:sz w:val="19"/>
          <w:szCs w:val="19"/>
          <w:b w:val="1"/>
          <w:bCs w:val="1"/>
          <w:color w:val="auto"/>
        </w:rPr>
        <w:t>Engagement</w:t>
      </w:r>
      <w:r>
        <w:rPr>
          <w:rFonts w:ascii="Arial" w:cs="Arial" w:eastAsia="Arial" w:hAnsi="Arial"/>
          <w:sz w:val="19"/>
          <w:szCs w:val="19"/>
          <w:color w:val="auto"/>
        </w:rPr>
        <w:t>”) will give the Participant access to proprietary and confidential information belonging to the Company (the proprietary and confidential information is collectively referred to in this Agreement as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Confidential Information includes but is not limited to customer lists, marketing plans, proposals, contracts, commercial, technical and/or financial information, databases, software and know-how. All Confidential Information remains the confidential and proprietary information of the Company.</w:t>
      </w:r>
    </w:p>
    <w:p>
      <w:pPr>
        <w:spacing w:after="0" w:line="180" w:lineRule="exact"/>
        <w:rPr>
          <w:rFonts w:ascii="Arial" w:cs="Arial" w:eastAsia="Arial" w:hAnsi="Arial"/>
          <w:sz w:val="19"/>
          <w:szCs w:val="19"/>
          <w:color w:val="auto"/>
        </w:rPr>
      </w:pPr>
    </w:p>
    <w:p>
      <w:pPr>
        <w:ind w:left="880" w:hanging="876"/>
        <w:spacing w:after="0"/>
        <w:tabs>
          <w:tab w:leader="none" w:pos="8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the purposes of this Agreement, “Company” shall include the Company and its affiliates, subsidiaries and associated companies.</w:t>
      </w:r>
    </w:p>
    <w:p>
      <w:pPr>
        <w:spacing w:after="0" w:line="227" w:lineRule="exact"/>
        <w:rPr>
          <w:rFonts w:ascii="Arial" w:cs="Arial" w:eastAsia="Arial" w:hAnsi="Arial"/>
          <w:sz w:val="17"/>
          <w:szCs w:val="17"/>
          <w:color w:val="auto"/>
        </w:rPr>
      </w:pPr>
    </w:p>
    <w:p>
      <w:pPr>
        <w:ind w:left="880" w:hanging="876"/>
        <w:spacing w:after="0" w:line="274" w:lineRule="auto"/>
        <w:tabs>
          <w:tab w:leader="none" w:pos="8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As referred to herein, the “</w:t>
      </w:r>
      <w:r>
        <w:rPr>
          <w:rFonts w:ascii="Arial" w:cs="Arial" w:eastAsia="Arial" w:hAnsi="Arial"/>
          <w:sz w:val="19"/>
          <w:szCs w:val="19"/>
          <w:b w:val="1"/>
          <w:bCs w:val="1"/>
          <w:color w:val="auto"/>
        </w:rPr>
        <w:t>Business of the Company</w:t>
      </w:r>
      <w:r>
        <w:rPr>
          <w:rFonts w:ascii="Arial" w:cs="Arial" w:eastAsia="Arial" w:hAnsi="Arial"/>
          <w:sz w:val="19"/>
          <w:szCs w:val="19"/>
          <w:color w:val="auto"/>
        </w:rPr>
        <w:t>” shall relate to the business of the Company or as determined by the Board of Directors of the Company from time to time.</w:t>
      </w:r>
    </w:p>
    <w:p>
      <w:pPr>
        <w:spacing w:after="0" w:line="156" w:lineRule="exact"/>
        <w:rPr>
          <w:rFonts w:ascii="Arial" w:cs="Arial" w:eastAsia="Arial" w:hAnsi="Arial"/>
          <w:sz w:val="19"/>
          <w:szCs w:val="19"/>
          <w:color w:val="auto"/>
        </w:rPr>
      </w:pPr>
    </w:p>
    <w:p>
      <w:pPr>
        <w:jc w:val="both"/>
        <w:ind w:left="880" w:hanging="876"/>
        <w:spacing w:after="0" w:line="276" w:lineRule="auto"/>
        <w:tabs>
          <w:tab w:leader="none" w:pos="8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Participant may in the course of the Engagement conceive, develop or contribute to material or information related to the Business of the Company, including, without limitation, software, technical documentation, ideas, inventions (whether or not patentable), hardware, know-how, marketing plans, designs, techniques, documentation and records, regardless of the form or media, if any, on which such is stored (referred to in this Agreement as “</w:t>
      </w:r>
      <w:r>
        <w:rPr>
          <w:rFonts w:ascii="Arial" w:cs="Arial" w:eastAsia="Arial" w:hAnsi="Arial"/>
          <w:sz w:val="17"/>
          <w:szCs w:val="17"/>
          <w:b w:val="1"/>
          <w:bCs w:val="1"/>
          <w:color w:val="auto"/>
        </w:rPr>
        <w:t>Proprietary Property</w:t>
      </w:r>
      <w:r>
        <w:rPr>
          <w:rFonts w:ascii="Arial" w:cs="Arial" w:eastAsia="Arial" w:hAnsi="Arial"/>
          <w:sz w:val="17"/>
          <w:szCs w:val="17"/>
          <w:color w:val="auto"/>
        </w:rPr>
        <w:t>”). The Company shall exclusively own all Proprietary Property which the Participant conceives, develops or contributes to in the course of the Engagement and all intellectual and industrial property and other rights of any kind in or relating to the Proprietary Property, including but not limited to all copyright, patent, trade secret and trade-mark rights in or relating to the Proprietary Property. For greater certainty, the Participant hereby assigns to the Company any and all rights that the Participant may have or obtain in or to the Proprietary Property. Material or information conceived, developed or contributed to by the Participant outside work hours on the Company’s premises or through the use of the Company’s property and/or assets shall also be Proprietary Property and be governed by this Agreement if such material or information relates to the Business of the Company. The Participant shall keep full and accurate records accessible at all times to the Company relating to all Proprietary Property and shall promptly disclose and deliver to the Company all Proprietary Property.</w:t>
      </w:r>
    </w:p>
    <w:p>
      <w:pPr>
        <w:spacing w:after="0" w:line="161" w:lineRule="exact"/>
        <w:rPr>
          <w:rFonts w:ascii="Arial" w:cs="Arial" w:eastAsia="Arial" w:hAnsi="Arial"/>
          <w:sz w:val="17"/>
          <w:szCs w:val="17"/>
          <w:color w:val="auto"/>
        </w:rPr>
      </w:pPr>
    </w:p>
    <w:p>
      <w:pPr>
        <w:jc w:val="both"/>
        <w:ind w:left="880" w:hanging="876"/>
        <w:spacing w:after="0" w:line="255" w:lineRule="auto"/>
        <w:tabs>
          <w:tab w:leader="none" w:pos="8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Participant shall, both during and after the Engagement, keep all Confidential Information and Proprietary Property confidential and shall not use any of it except for the purpose of carrying out authorized activities on behalf of the Company. The Participant may, however, use or disclose Confidential Information which:</w:t>
      </w:r>
    </w:p>
    <w:p>
      <w:pPr>
        <w:spacing w:after="0" w:line="174" w:lineRule="exact"/>
        <w:rPr>
          <w:rFonts w:ascii="Arial" w:cs="Arial" w:eastAsia="Arial" w:hAnsi="Arial"/>
          <w:sz w:val="19"/>
          <w:szCs w:val="19"/>
          <w:color w:val="auto"/>
        </w:rPr>
      </w:pPr>
    </w:p>
    <w:p>
      <w:pPr>
        <w:ind w:left="1680" w:hanging="784"/>
        <w:spacing w:after="0"/>
        <w:tabs>
          <w:tab w:leader="none" w:pos="168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is or becomes public other than through a breach of this Agreement;</w:t>
      </w:r>
    </w:p>
    <w:p>
      <w:pPr>
        <w:spacing w:after="0" w:line="210" w:lineRule="exact"/>
        <w:rPr>
          <w:rFonts w:ascii="Arial" w:cs="Arial" w:eastAsia="Arial" w:hAnsi="Arial"/>
          <w:sz w:val="19"/>
          <w:szCs w:val="19"/>
          <w:color w:val="auto"/>
        </w:rPr>
      </w:pPr>
    </w:p>
    <w:p>
      <w:pPr>
        <w:ind w:left="900" w:hanging="4"/>
        <w:spacing w:after="0" w:line="268" w:lineRule="auto"/>
        <w:tabs>
          <w:tab w:leader="none" w:pos="1739" w:val="left"/>
        </w:tabs>
        <w:numPr>
          <w:ilvl w:val="1"/>
          <w:numId w:val="154"/>
        </w:numPr>
        <w:rPr>
          <w:rFonts w:ascii="Arial" w:cs="Arial" w:eastAsia="Arial" w:hAnsi="Arial"/>
          <w:sz w:val="19"/>
          <w:szCs w:val="19"/>
          <w:color w:val="auto"/>
        </w:rPr>
      </w:pPr>
      <w:r>
        <w:rPr>
          <w:rFonts w:ascii="Arial" w:cs="Arial" w:eastAsia="Arial" w:hAnsi="Arial"/>
          <w:sz w:val="19"/>
          <w:szCs w:val="19"/>
          <w:color w:val="auto"/>
        </w:rPr>
        <w:t>is known to the Participant prior to the date of this Agreement and with respect to which the Participant does not have any obligation of confidentiality; or</w:t>
      </w:r>
    </w:p>
    <w:p>
      <w:pPr>
        <w:spacing w:after="0" w:line="346"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12"/>
          <w:szCs w:val="12"/>
          <w:color w:val="auto"/>
        </w:rPr>
        <w:t>#1328149-v3\MELDMS\AUSKMB</w:t>
      </w:r>
      <w:r>
        <w:rPr>
          <w:sz w:val="20"/>
          <w:szCs w:val="20"/>
          <w:color w:val="auto"/>
        </w:rPr>
        <w:tab/>
      </w:r>
      <w:r>
        <w:rPr>
          <w:rFonts w:ascii="Arial" w:cs="Arial" w:eastAsia="Arial" w:hAnsi="Arial"/>
          <w:sz w:val="12"/>
          <w:szCs w:val="12"/>
          <w:color w:val="auto"/>
        </w:rPr>
        <w:t>15</w:t>
      </w:r>
      <w:r>
        <w:rPr>
          <w:sz w:val="20"/>
          <w:szCs w:val="20"/>
          <w:color w:val="auto"/>
        </w:rPr>
        <w:tab/>
      </w:r>
      <w:r>
        <w:rPr>
          <w:rFonts w:ascii="Arial" w:cs="Arial" w:eastAsia="Arial" w:hAnsi="Arial"/>
          <w:sz w:val="20"/>
          <w:szCs w:val="20"/>
          <w:color w:val="auto"/>
          <w:vertAlign w:val="subscript"/>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79310"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230" w:name="page231"/>
    <w:bookmarkEnd w:id="230"/>
    <w:p>
      <w:pPr>
        <w:jc w:val="both"/>
        <w:ind w:left="900" w:hanging="4"/>
        <w:spacing w:after="0" w:line="255" w:lineRule="auto"/>
        <w:tabs>
          <w:tab w:leader="none" w:pos="179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is required to be disclosed by law, whether under an order of a court or government tribunal or other legal process, provided that Participant informs the Company of such requirement in sufficient time to allow the Company to avoid such disclosure by the Participant.</w:t>
      </w:r>
    </w:p>
    <w:p>
      <w:pPr>
        <w:spacing w:after="0" w:line="174" w:lineRule="exact"/>
        <w:rPr>
          <w:sz w:val="20"/>
          <w:szCs w:val="20"/>
          <w:color w:val="auto"/>
        </w:rPr>
      </w:pPr>
    </w:p>
    <w:p>
      <w:pPr>
        <w:jc w:val="both"/>
        <w:ind w:left="900"/>
        <w:spacing w:after="0" w:line="255" w:lineRule="auto"/>
        <w:rPr>
          <w:sz w:val="20"/>
          <w:szCs w:val="20"/>
          <w:color w:val="auto"/>
        </w:rPr>
      </w:pPr>
      <w:r>
        <w:rPr>
          <w:rFonts w:ascii="Arial" w:cs="Arial" w:eastAsia="Arial" w:hAnsi="Arial"/>
          <w:sz w:val="19"/>
          <w:szCs w:val="19"/>
          <w:color w:val="auto"/>
        </w:rPr>
        <w:t>The Participant shall return or destroy, as directed by the Company, Confidential Information and Proprietary Property to the Company upon request by the Company at any time. The Participant shall certify, by way of affidavit or statutory declaration, that all such Confidential Information and Proprietary Property has been returned or destroyed, as applicable.</w:t>
      </w:r>
    </w:p>
    <w:p>
      <w:pPr>
        <w:spacing w:after="0" w:line="174" w:lineRule="exact"/>
        <w:rPr>
          <w:sz w:val="20"/>
          <w:szCs w:val="20"/>
          <w:color w:val="auto"/>
        </w:rPr>
      </w:pPr>
    </w:p>
    <w:p>
      <w:pPr>
        <w:jc w:val="both"/>
        <w:ind w:left="880" w:hanging="876"/>
        <w:spacing w:after="0" w:line="247" w:lineRule="auto"/>
        <w:tabs>
          <w:tab w:leader="none" w:pos="8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Participant covenants and agrees not to make any unauthorized use whatsoever of or to bring onto the Company’s premises (including any premises rented by the Company as part of the Business of the Company) for the purpose of making any unauthorized use whatsoever of any trade secrets, confidential information or proprietary property of any third party, including without limitation any trade-marks or copyrighted materials, during the course of the Engagement. The Participant agrees and represents that the Engagement and the execution of this Agreement do not and will not breach any agreement to which the Participant is currently a party or which currently applies to the Participant.</w:t>
      </w:r>
    </w:p>
    <w:p>
      <w:pPr>
        <w:spacing w:after="0" w:line="184" w:lineRule="exact"/>
        <w:rPr>
          <w:rFonts w:ascii="Arial" w:cs="Arial" w:eastAsia="Arial" w:hAnsi="Arial"/>
          <w:sz w:val="19"/>
          <w:szCs w:val="19"/>
          <w:color w:val="auto"/>
        </w:rPr>
      </w:pPr>
    </w:p>
    <w:p>
      <w:pPr>
        <w:jc w:val="both"/>
        <w:ind w:left="880" w:hanging="876"/>
        <w:spacing w:after="0" w:line="285" w:lineRule="auto"/>
        <w:tabs>
          <w:tab w:leader="none" w:pos="8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At the reasonable request and at the sole expense of the Company, the Participant shall do all reasonable acts necessary and sign all reasonable documentation necessary in order to ensure the Company’s ownership of the Proprietary Property and all intellectual and industrial property rights and other rights in the same, including but not limited to providing to the Company written assignments of all rights to the Company and any other documents required to enable the Company to document rights to and/or register patents, copyrights, trade-marks, industrial designs and such other protections as the Company considers advisable anywhere in the world.</w:t>
      </w:r>
    </w:p>
    <w:p>
      <w:pPr>
        <w:spacing w:after="0" w:line="151" w:lineRule="exact"/>
        <w:rPr>
          <w:rFonts w:ascii="Arial" w:cs="Arial" w:eastAsia="Arial" w:hAnsi="Arial"/>
          <w:sz w:val="17"/>
          <w:szCs w:val="17"/>
          <w:color w:val="auto"/>
        </w:rPr>
      </w:pPr>
    </w:p>
    <w:p>
      <w:pPr>
        <w:ind w:left="880" w:hanging="876"/>
        <w:spacing w:after="0" w:line="268" w:lineRule="auto"/>
        <w:tabs>
          <w:tab w:leader="none" w:pos="8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Participant hereby irrevocably and unconditionally waives all moral rights the Participant may now or in the future have in any Proprietary Property.</w:t>
      </w:r>
    </w:p>
    <w:p>
      <w:pPr>
        <w:spacing w:after="0" w:line="161" w:lineRule="exact"/>
        <w:rPr>
          <w:rFonts w:ascii="Arial" w:cs="Arial" w:eastAsia="Arial" w:hAnsi="Arial"/>
          <w:sz w:val="19"/>
          <w:szCs w:val="19"/>
          <w:color w:val="auto"/>
        </w:rPr>
      </w:pPr>
    </w:p>
    <w:p>
      <w:pPr>
        <w:jc w:val="both"/>
        <w:ind w:left="880" w:hanging="876"/>
        <w:spacing w:after="0" w:line="255" w:lineRule="auto"/>
        <w:tabs>
          <w:tab w:leader="none" w:pos="8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Participant agrees that the Participant will, if requested from time to time by the Company, execute such further reasonable agreements as to confidentiality and proprietary rights as the Company’s customers or suppliers reasonably required to protect Confidential Information or Proprietary Property.</w:t>
      </w:r>
    </w:p>
    <w:p>
      <w:pPr>
        <w:spacing w:after="0" w:line="174" w:lineRule="exact"/>
        <w:rPr>
          <w:rFonts w:ascii="Arial" w:cs="Arial" w:eastAsia="Arial" w:hAnsi="Arial"/>
          <w:sz w:val="19"/>
          <w:szCs w:val="19"/>
          <w:color w:val="auto"/>
        </w:rPr>
      </w:pPr>
    </w:p>
    <w:p>
      <w:pPr>
        <w:jc w:val="both"/>
        <w:ind w:left="880" w:hanging="876"/>
        <w:spacing w:after="0" w:line="255" w:lineRule="auto"/>
        <w:tabs>
          <w:tab w:leader="none" w:pos="8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Regardless of any changes in position, salary or otherwise, including, without limitation, termination of the Engagement, unless otherwise stipulated pursuant to the terms hereof, the Participant will continue to be subject to each of the terms and conditions of this Agreement and any other(s) executed pursuant to the preceding paragraph.</w:t>
      </w:r>
    </w:p>
    <w:p>
      <w:pPr>
        <w:spacing w:after="0" w:line="174" w:lineRule="exact"/>
        <w:rPr>
          <w:rFonts w:ascii="Arial" w:cs="Arial" w:eastAsia="Arial" w:hAnsi="Arial"/>
          <w:sz w:val="19"/>
          <w:szCs w:val="19"/>
          <w:color w:val="auto"/>
        </w:rPr>
      </w:pPr>
    </w:p>
    <w:p>
      <w:pPr>
        <w:jc w:val="both"/>
        <w:ind w:left="880" w:hanging="876"/>
        <w:spacing w:after="0" w:line="255" w:lineRule="auto"/>
        <w:tabs>
          <w:tab w:leader="none" w:pos="8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Participant agrees that the Participant’s sole and exclusive remedy for any breach of this Agreement or any other agreement by the Company will be limited to monetary damages and that the Participant will not make any claim in respect of any rights to or interest in any Confidential Information or Proprietary Property.</w:t>
      </w:r>
    </w:p>
    <w:p>
      <w:pPr>
        <w:spacing w:after="0" w:line="174" w:lineRule="exact"/>
        <w:rPr>
          <w:rFonts w:ascii="Arial" w:cs="Arial" w:eastAsia="Arial" w:hAnsi="Arial"/>
          <w:sz w:val="19"/>
          <w:szCs w:val="19"/>
          <w:color w:val="auto"/>
        </w:rPr>
      </w:pPr>
    </w:p>
    <w:p>
      <w:pPr>
        <w:jc w:val="both"/>
        <w:ind w:left="880" w:hanging="876"/>
        <w:spacing w:after="0" w:line="264" w:lineRule="auto"/>
        <w:tabs>
          <w:tab w:leader="none" w:pos="8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Participant acknowledges that the services provided by the Participant to the Company are unique. The Participant further agrees that irreparable harm will be suffered by the Company in the event of the Participant’s breach or threatened breach of any of his or her obligations under this Agreement, and that the Company will be entitled to seek, in addition to any other rights and remedies that it may have at law or equity, a temporary or permanent injunction restraining the Participant from engaging in or continuing any such breach hereof. Any claims asserted by the Participant against the Company shall not constitute a defense in any injunction action, application or motion brought against the Participant by the Company.</w:t>
      </w:r>
    </w:p>
    <w:p>
      <w:pPr>
        <w:spacing w:after="0" w:line="377" w:lineRule="exact"/>
        <w:rPr>
          <w:sz w:val="20"/>
          <w:szCs w:val="20"/>
          <w:color w:val="auto"/>
        </w:rPr>
      </w:pPr>
    </w:p>
    <w:p>
      <w:pPr>
        <w:spacing w:after="0"/>
        <w:tabs>
          <w:tab w:leader="none" w:pos="5560" w:val="left"/>
          <w:tab w:leader="none" w:pos="9260" w:val="left"/>
        </w:tabs>
        <w:rPr>
          <w:sz w:val="20"/>
          <w:szCs w:val="20"/>
          <w:color w:val="auto"/>
        </w:rPr>
      </w:pPr>
      <w:r>
        <w:rPr>
          <w:rFonts w:ascii="Arial" w:cs="Arial" w:eastAsia="Arial" w:hAnsi="Arial"/>
          <w:sz w:val="12"/>
          <w:szCs w:val="12"/>
          <w:color w:val="auto"/>
        </w:rPr>
        <w:t>#1328149-v3\MELDMS\AUSKMB</w:t>
      </w:r>
      <w:r>
        <w:rPr>
          <w:sz w:val="20"/>
          <w:szCs w:val="20"/>
          <w:color w:val="auto"/>
        </w:rPr>
        <w:tab/>
      </w:r>
      <w:r>
        <w:rPr>
          <w:rFonts w:ascii="Arial" w:cs="Arial" w:eastAsia="Arial" w:hAnsi="Arial"/>
          <w:sz w:val="12"/>
          <w:szCs w:val="12"/>
          <w:color w:val="auto"/>
        </w:rPr>
        <w:t>16</w:t>
      </w:r>
      <w:r>
        <w:rPr>
          <w:sz w:val="20"/>
          <w:szCs w:val="20"/>
          <w:color w:val="auto"/>
        </w:rPr>
        <w:tab/>
      </w:r>
      <w:r>
        <w:rPr>
          <w:rFonts w:ascii="Arial" w:cs="Arial" w:eastAsia="Arial" w:hAnsi="Arial"/>
          <w:sz w:val="20"/>
          <w:szCs w:val="20"/>
          <w:color w:val="auto"/>
          <w:vertAlign w:val="subscript"/>
        </w:rPr>
        <w:t>Executive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213360</wp:posOffset>
            </wp:positionV>
            <wp:extent cx="7179310" cy="419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7179310" cy="4191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1" w:name="page232"/>
    <w:bookmarkEnd w:id="231"/>
    <w:p>
      <w:pPr>
        <w:jc w:val="both"/>
        <w:ind w:left="880" w:hanging="876"/>
        <w:spacing w:after="0" w:line="255" w:lineRule="auto"/>
        <w:tabs>
          <w:tab w:leader="none" w:pos="88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This Agreement is governed by the laws of the State of Victoria, Australia. The Participant submits unconditionally to the non-exclusive jurisdiction of the Courts of Victoria, the Federal Court of Australia, and courts with jurisdiction to hear appeals from the lower courts.</w:t>
      </w:r>
    </w:p>
    <w:p>
      <w:pPr>
        <w:spacing w:after="0" w:line="174" w:lineRule="exact"/>
        <w:rPr>
          <w:rFonts w:ascii="Arial" w:cs="Arial" w:eastAsia="Arial" w:hAnsi="Arial"/>
          <w:sz w:val="19"/>
          <w:szCs w:val="19"/>
          <w:color w:val="auto"/>
        </w:rPr>
      </w:pPr>
    </w:p>
    <w:p>
      <w:pPr>
        <w:ind w:left="880" w:hanging="876"/>
        <w:spacing w:after="0" w:line="268" w:lineRule="auto"/>
        <w:tabs>
          <w:tab w:leader="none" w:pos="88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any provision of this Agreement is held by a court of competent jurisdiction to be invalid or unenforceable, that provision shall be deleted and the other provisions shall remain in effect.</w:t>
      </w:r>
    </w:p>
    <w:p>
      <w:pPr>
        <w:spacing w:after="0" w:line="183" w:lineRule="exact"/>
        <w:rPr>
          <w:rFonts w:ascii="Arial" w:cs="Arial" w:eastAsia="Arial" w:hAnsi="Arial"/>
          <w:sz w:val="19"/>
          <w:szCs w:val="19"/>
          <w:color w:val="auto"/>
        </w:rPr>
      </w:pPr>
    </w:p>
    <w:p>
      <w:pPr>
        <w:ind w:left="880" w:hanging="876"/>
        <w:spacing w:after="0" w:line="256" w:lineRule="auto"/>
        <w:tabs>
          <w:tab w:leader="none" w:pos="88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This Agreement shall be effective once it is executed by the Participant, irrespective of whether it is executed by the Company.</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Company has caused this Agreement to be executed as of</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the ________ day of ____________________, 2021.</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Signed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00" w:type="dxa"/>
            <w:vAlign w:val="bottom"/>
            <w:tcBorders>
              <w:top w:val="single" w:sz="8" w:color="auto"/>
            </w:tcBorders>
          </w:tcPr>
          <w:p>
            <w:pPr>
              <w:ind w:left="620"/>
              <w:spacing w:after="0"/>
              <w:rPr>
                <w:sz w:val="20"/>
                <w:szCs w:val="20"/>
                <w:color w:val="auto"/>
              </w:rPr>
            </w:pPr>
            <w:r>
              <w:rPr>
                <w:rFonts w:ascii="Arial" w:cs="Arial" w:eastAsia="Arial" w:hAnsi="Arial"/>
                <w:sz w:val="19"/>
                <w:szCs w:val="19"/>
                <w:color w:val="auto"/>
              </w:rPr>
              <w:t>(a)  PARTICIPANT</w:t>
            </w:r>
          </w:p>
        </w:tc>
        <w:tc>
          <w:tcPr>
            <w:tcW w:w="460" w:type="dxa"/>
            <w:vAlign w:val="bottom"/>
          </w:tcPr>
          <w:p>
            <w:pPr>
              <w:spacing w:after="0"/>
              <w:rPr>
                <w:sz w:val="22"/>
                <w:szCs w:val="22"/>
                <w:color w:val="auto"/>
              </w:rPr>
            </w:pPr>
          </w:p>
        </w:tc>
        <w:tc>
          <w:tcPr>
            <w:tcW w:w="920" w:type="dxa"/>
            <w:vAlign w:val="bottom"/>
            <w:tcBorders>
              <w:top w:val="single" w:sz="8" w:color="auto"/>
            </w:tcBorders>
          </w:tcPr>
          <w:p>
            <w:pPr>
              <w:ind w:left="600"/>
              <w:spacing w:after="0"/>
              <w:rPr>
                <w:sz w:val="20"/>
                <w:szCs w:val="20"/>
                <w:color w:val="auto"/>
              </w:rPr>
            </w:pPr>
            <w:r>
              <w:rPr>
                <w:rFonts w:ascii="Arial" w:cs="Arial" w:eastAsia="Arial" w:hAnsi="Arial"/>
                <w:sz w:val="19"/>
                <w:szCs w:val="19"/>
                <w:color w:val="auto"/>
              </w:rPr>
              <w:t>(b)</w:t>
            </w:r>
          </w:p>
        </w:tc>
        <w:tc>
          <w:tcPr>
            <w:tcW w:w="4460" w:type="dxa"/>
            <w:vAlign w:val="bottom"/>
            <w:tcBorders>
              <w:top w:val="single" w:sz="8" w:color="auto"/>
            </w:tcBorders>
          </w:tcPr>
          <w:p>
            <w:pPr>
              <w:ind w:left="100"/>
              <w:spacing w:after="0"/>
              <w:rPr>
                <w:sz w:val="20"/>
                <w:szCs w:val="20"/>
                <w:color w:val="auto"/>
              </w:rPr>
            </w:pPr>
            <w:r>
              <w:rPr>
                <w:rFonts w:ascii="Arial" w:cs="Arial" w:eastAsia="Arial" w:hAnsi="Arial"/>
                <w:sz w:val="19"/>
                <w:szCs w:val="19"/>
                <w:color w:val="auto"/>
              </w:rPr>
              <w:t>WITNESS to PARTICIPANT</w:t>
            </w:r>
          </w:p>
        </w:tc>
        <w:tc>
          <w:tcPr>
            <w:tcW w:w="20" w:type="dxa"/>
            <w:vAlign w:val="bottom"/>
          </w:tcPr>
          <w:p>
            <w:pPr>
              <w:spacing w:after="0"/>
              <w:rPr>
                <w:sz w:val="22"/>
                <w:szCs w:val="22"/>
                <w:color w:val="auto"/>
              </w:rPr>
            </w:pPr>
          </w:p>
        </w:tc>
      </w:tr>
      <w:tr>
        <w:trPr>
          <w:trHeight w:val="343"/>
        </w:trPr>
        <w:tc>
          <w:tcPr>
            <w:tcW w:w="540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6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9"/>
        </w:trPr>
        <w:tc>
          <w:tcPr>
            <w:tcW w:w="5400" w:type="dxa"/>
            <w:vAlign w:val="bottom"/>
          </w:tcPr>
          <w:p>
            <w:pPr>
              <w:spacing w:after="0"/>
              <w:rPr>
                <w:sz w:val="20"/>
                <w:szCs w:val="20"/>
                <w:color w:val="auto"/>
              </w:rPr>
            </w:pPr>
            <w:r>
              <w:rPr>
                <w:rFonts w:ascii="Arial" w:cs="Arial" w:eastAsia="Arial" w:hAnsi="Arial"/>
                <w:sz w:val="12"/>
                <w:szCs w:val="12"/>
                <w:color w:val="auto"/>
              </w:rPr>
              <w:t>#1328149-v3\MELDMS\AUSKMB</w:t>
            </w:r>
          </w:p>
        </w:tc>
        <w:tc>
          <w:tcPr>
            <w:tcW w:w="460" w:type="dxa"/>
            <w:vAlign w:val="bottom"/>
          </w:tcPr>
          <w:p>
            <w:pPr>
              <w:jc w:val="right"/>
              <w:ind w:right="99"/>
              <w:spacing w:after="0"/>
              <w:rPr>
                <w:sz w:val="20"/>
                <w:szCs w:val="20"/>
                <w:color w:val="auto"/>
              </w:rPr>
            </w:pPr>
            <w:r>
              <w:rPr>
                <w:rFonts w:ascii="Arial" w:cs="Arial" w:eastAsia="Arial" w:hAnsi="Arial"/>
                <w:sz w:val="12"/>
                <w:szCs w:val="12"/>
                <w:color w:val="auto"/>
              </w:rPr>
              <w:t>17</w:t>
            </w:r>
          </w:p>
        </w:tc>
        <w:tc>
          <w:tcPr>
            <w:tcW w:w="920" w:type="dxa"/>
            <w:vAlign w:val="bottom"/>
          </w:tcPr>
          <w:p>
            <w:pPr>
              <w:spacing w:after="0"/>
              <w:rPr>
                <w:sz w:val="24"/>
                <w:szCs w:val="24"/>
                <w:color w:val="auto"/>
              </w:rPr>
            </w:pPr>
          </w:p>
        </w:tc>
        <w:tc>
          <w:tcPr>
            <w:tcW w:w="4480" w:type="dxa"/>
            <w:vAlign w:val="bottom"/>
            <w:gridSpan w:val="2"/>
          </w:tcPr>
          <w:p>
            <w:pPr>
              <w:ind w:left="2500"/>
              <w:spacing w:after="0"/>
              <w:rPr>
                <w:sz w:val="20"/>
                <w:szCs w:val="20"/>
                <w:color w:val="auto"/>
              </w:rPr>
            </w:pPr>
            <w:r>
              <w:rPr>
                <w:rFonts w:ascii="Arial" w:cs="Arial" w:eastAsia="Arial" w:hAnsi="Arial"/>
                <w:sz w:val="14"/>
                <w:szCs w:val="14"/>
                <w:color w:val="auto"/>
                <w:w w:val="98"/>
              </w:rPr>
              <w:t>Executive Employment Contract</w:t>
            </w:r>
          </w:p>
        </w:tc>
      </w:tr>
    </w:tbl>
    <w:p>
      <w:pPr>
        <w:sectPr>
          <w:pgSz w:w="11900" w:h="16838" w:orient="portrait"/>
          <w:cols w:equalWidth="0" w:num="1">
            <w:col w:w="11240"/>
          </w:cols>
          <w:pgMar w:left="320" w:top="409"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7"/>
          <w:szCs w:val="17"/>
          <w:b w:val="1"/>
          <w:bCs w:val="1"/>
          <w:color w:val="auto"/>
        </w:rPr>
        <w:t>Exhibit 8.1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11240"/>
          </w:cols>
          <w:pgMar w:left="320" w:top="329"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Subsidiary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Vegenics Pty Ltd.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Opthea US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Jurisdiction of Organization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Australia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ectPr>
          <w:pgSz w:w="11900" w:h="16838" w:orient="portrait"/>
          <w:cols w:equalWidth="0" w:num="2">
            <w:col w:w="5140" w:space="720"/>
            <w:col w:w="5380"/>
          </w:cols>
          <w:pgMar w:left="320" w:top="329" w:right="339" w:bottom="1440" w:gutter="0" w:footer="0" w:header="0"/>
          <w:type w:val="continuous"/>
        </w:sectPr>
      </w:pPr>
    </w:p>
    <w:bookmarkStart w:id="233" w:name="page234"/>
    <w:bookmarkEnd w:id="233"/>
    <w:p>
      <w:pPr>
        <w:jc w:val="right"/>
        <w:spacing w:after="0"/>
        <w:rPr>
          <w:sz w:val="20"/>
          <w:szCs w:val="20"/>
          <w:color w:val="auto"/>
        </w:rPr>
      </w:pPr>
      <w:r>
        <w:rPr>
          <w:rFonts w:ascii="Arial" w:cs="Arial" w:eastAsia="Arial" w:hAnsi="Arial"/>
          <w:sz w:val="17"/>
          <w:szCs w:val="17"/>
          <w:b w:val="1"/>
          <w:bCs w:val="1"/>
          <w:color w:val="auto"/>
        </w:rPr>
        <w:t>Exhibit 12.1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 Megan Baldwin, certify that:</w:t>
      </w:r>
    </w:p>
    <w:p>
      <w:pPr>
        <w:spacing w:after="0" w:line="116" w:lineRule="exact"/>
        <w:rPr>
          <w:sz w:val="20"/>
          <w:szCs w:val="20"/>
          <w:color w:val="auto"/>
        </w:rPr>
      </w:pPr>
    </w:p>
    <w:p>
      <w:pPr>
        <w:ind w:left="1000" w:hanging="502"/>
        <w:spacing w:after="0"/>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Opthea Limited,</w:t>
      </w:r>
    </w:p>
    <w:p>
      <w:pPr>
        <w:spacing w:after="0" w:line="116" w:lineRule="exact"/>
        <w:rPr>
          <w:rFonts w:ascii="Arial" w:cs="Arial" w:eastAsia="Arial" w:hAnsi="Arial"/>
          <w:sz w:val="17"/>
          <w:szCs w:val="17"/>
          <w:color w:val="auto"/>
        </w:rPr>
      </w:pPr>
    </w:p>
    <w:p>
      <w:pPr>
        <w:jc w:val="both"/>
        <w:ind w:left="1000" w:right="180" w:hanging="502"/>
        <w:spacing w:after="0" w:line="270" w:lineRule="auto"/>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1000" w:right="140" w:hanging="502"/>
        <w:spacing w:after="0" w:line="318"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2" w:lineRule="exact"/>
        <w:rPr>
          <w:rFonts w:ascii="Arial" w:cs="Arial" w:eastAsia="Arial" w:hAnsi="Arial"/>
          <w:sz w:val="16"/>
          <w:szCs w:val="16"/>
          <w:color w:val="auto"/>
        </w:rPr>
      </w:pPr>
    </w:p>
    <w:p>
      <w:pPr>
        <w:ind w:left="1000" w:right="220" w:hanging="502"/>
        <w:spacing w:after="0" w:line="285" w:lineRule="auto"/>
        <w:tabs>
          <w:tab w:leader="none" w:pos="10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55" w:lineRule="exact"/>
        <w:rPr>
          <w:rFonts w:ascii="Arial" w:cs="Arial" w:eastAsia="Arial" w:hAnsi="Arial"/>
          <w:sz w:val="17"/>
          <w:szCs w:val="17"/>
          <w:color w:val="auto"/>
        </w:rPr>
      </w:pPr>
    </w:p>
    <w:p>
      <w:pPr>
        <w:ind w:left="1520" w:right="80" w:hanging="502"/>
        <w:spacing w:after="0" w:line="270" w:lineRule="auto"/>
        <w:tabs>
          <w:tab w:leader="none" w:pos="15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520" w:right="360" w:hanging="502"/>
        <w:spacing w:after="0" w:line="355" w:lineRule="auto"/>
        <w:tabs>
          <w:tab w:leader="none" w:pos="1520" w:val="left"/>
        </w:tabs>
        <w:numPr>
          <w:ilvl w:val="1"/>
          <w:numId w:val="158"/>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5"/>
          <w:szCs w:val="15"/>
          <w:color w:val="auto"/>
        </w:rPr>
      </w:pPr>
    </w:p>
    <w:p>
      <w:pPr>
        <w:jc w:val="both"/>
        <w:ind w:left="1520" w:hanging="502"/>
        <w:spacing w:after="0" w:line="270" w:lineRule="auto"/>
        <w:tabs>
          <w:tab w:leader="none" w:pos="15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7" w:lineRule="exact"/>
        <w:rPr>
          <w:rFonts w:ascii="Arial" w:cs="Arial" w:eastAsia="Arial" w:hAnsi="Arial"/>
          <w:sz w:val="17"/>
          <w:szCs w:val="17"/>
          <w:color w:val="auto"/>
        </w:rPr>
      </w:pPr>
    </w:p>
    <w:p>
      <w:pPr>
        <w:ind w:left="1000" w:right="180" w:hanging="502"/>
        <w:spacing w:after="0" w:line="318"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2" w:lineRule="exact"/>
        <w:rPr>
          <w:rFonts w:ascii="Arial" w:cs="Arial" w:eastAsia="Arial" w:hAnsi="Arial"/>
          <w:sz w:val="16"/>
          <w:szCs w:val="16"/>
          <w:color w:val="auto"/>
        </w:rPr>
      </w:pPr>
    </w:p>
    <w:p>
      <w:pPr>
        <w:ind w:left="1520" w:right="600" w:hanging="502"/>
        <w:spacing w:after="0" w:line="318" w:lineRule="auto"/>
        <w:tabs>
          <w:tab w:leader="none" w:pos="15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2" w:lineRule="exact"/>
        <w:rPr>
          <w:rFonts w:ascii="Arial" w:cs="Arial" w:eastAsia="Arial" w:hAnsi="Arial"/>
          <w:sz w:val="16"/>
          <w:szCs w:val="16"/>
          <w:color w:val="auto"/>
        </w:rPr>
      </w:pPr>
    </w:p>
    <w:p>
      <w:pPr>
        <w:ind w:left="1520" w:right="340" w:hanging="502"/>
        <w:spacing w:after="0" w:line="285" w:lineRule="auto"/>
        <w:tabs>
          <w:tab w:leader="none" w:pos="15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7"/>
          <w:szCs w:val="17"/>
          <w:color w:val="auto"/>
        </w:rPr>
        <w:t>Date: 28 October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15875</wp:posOffset>
            </wp:positionV>
            <wp:extent cx="3308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Megan Baldwin</w:t>
      </w:r>
    </w:p>
    <w:p>
      <w:pPr>
        <w:spacing w:after="0" w:line="31"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342"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b w:val="1"/>
          <w:bCs w:val="1"/>
          <w:color w:val="auto"/>
        </w:rPr>
        <w:t>Exhibit 12.2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 Karen Adams, certify that:</w:t>
      </w:r>
    </w:p>
    <w:p>
      <w:pPr>
        <w:spacing w:after="0" w:line="116" w:lineRule="exact"/>
        <w:rPr>
          <w:sz w:val="20"/>
          <w:szCs w:val="20"/>
          <w:color w:val="auto"/>
        </w:rPr>
      </w:pPr>
    </w:p>
    <w:p>
      <w:pPr>
        <w:ind w:left="1000" w:hanging="502"/>
        <w:spacing w:after="0"/>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Opthea Limited;</w:t>
      </w:r>
    </w:p>
    <w:p>
      <w:pPr>
        <w:spacing w:after="0" w:line="116" w:lineRule="exact"/>
        <w:rPr>
          <w:rFonts w:ascii="Arial" w:cs="Arial" w:eastAsia="Arial" w:hAnsi="Arial"/>
          <w:sz w:val="17"/>
          <w:szCs w:val="17"/>
          <w:color w:val="auto"/>
        </w:rPr>
      </w:pPr>
    </w:p>
    <w:p>
      <w:pPr>
        <w:jc w:val="both"/>
        <w:ind w:left="1000" w:right="180" w:hanging="502"/>
        <w:spacing w:after="0" w:line="270"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1000" w:right="140" w:hanging="502"/>
        <w:spacing w:after="0" w:line="318" w:lineRule="auto"/>
        <w:tabs>
          <w:tab w:leader="none" w:pos="10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2" w:lineRule="exact"/>
        <w:rPr>
          <w:rFonts w:ascii="Arial" w:cs="Arial" w:eastAsia="Arial" w:hAnsi="Arial"/>
          <w:sz w:val="16"/>
          <w:szCs w:val="16"/>
          <w:color w:val="auto"/>
        </w:rPr>
      </w:pPr>
    </w:p>
    <w:p>
      <w:pPr>
        <w:ind w:left="1000" w:right="220" w:hanging="502"/>
        <w:spacing w:after="0" w:line="285"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55" w:lineRule="exact"/>
        <w:rPr>
          <w:rFonts w:ascii="Arial" w:cs="Arial" w:eastAsia="Arial" w:hAnsi="Arial"/>
          <w:sz w:val="17"/>
          <w:szCs w:val="17"/>
          <w:color w:val="auto"/>
        </w:rPr>
      </w:pPr>
    </w:p>
    <w:p>
      <w:pPr>
        <w:ind w:left="1520" w:right="80" w:hanging="502"/>
        <w:spacing w:after="0" w:line="270" w:lineRule="auto"/>
        <w:tabs>
          <w:tab w:leader="none" w:pos="15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ind w:left="1520" w:right="360" w:hanging="502"/>
        <w:spacing w:after="0" w:line="355" w:lineRule="auto"/>
        <w:tabs>
          <w:tab w:leader="none" w:pos="152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5"/>
          <w:szCs w:val="15"/>
          <w:color w:val="auto"/>
        </w:rPr>
      </w:pPr>
    </w:p>
    <w:p>
      <w:pPr>
        <w:jc w:val="both"/>
        <w:ind w:left="1520" w:hanging="502"/>
        <w:spacing w:after="0" w:line="270" w:lineRule="auto"/>
        <w:tabs>
          <w:tab w:leader="none" w:pos="15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7" w:lineRule="exact"/>
        <w:rPr>
          <w:rFonts w:ascii="Arial" w:cs="Arial" w:eastAsia="Arial" w:hAnsi="Arial"/>
          <w:sz w:val="17"/>
          <w:szCs w:val="17"/>
          <w:color w:val="auto"/>
        </w:rPr>
      </w:pPr>
    </w:p>
    <w:p>
      <w:pPr>
        <w:ind w:left="1000" w:right="180" w:hanging="502"/>
        <w:spacing w:after="0" w:line="318" w:lineRule="auto"/>
        <w:tabs>
          <w:tab w:leader="none" w:pos="10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2" w:lineRule="exact"/>
        <w:rPr>
          <w:rFonts w:ascii="Arial" w:cs="Arial" w:eastAsia="Arial" w:hAnsi="Arial"/>
          <w:sz w:val="16"/>
          <w:szCs w:val="16"/>
          <w:color w:val="auto"/>
        </w:rPr>
      </w:pPr>
    </w:p>
    <w:p>
      <w:pPr>
        <w:ind w:left="1520" w:right="600" w:hanging="502"/>
        <w:spacing w:after="0" w:line="318" w:lineRule="auto"/>
        <w:tabs>
          <w:tab w:leader="none" w:pos="15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2" w:lineRule="exact"/>
        <w:rPr>
          <w:rFonts w:ascii="Arial" w:cs="Arial" w:eastAsia="Arial" w:hAnsi="Arial"/>
          <w:sz w:val="16"/>
          <w:szCs w:val="16"/>
          <w:color w:val="auto"/>
        </w:rPr>
      </w:pPr>
    </w:p>
    <w:p>
      <w:pPr>
        <w:ind w:left="1520" w:right="340" w:hanging="502"/>
        <w:spacing w:after="0" w:line="285" w:lineRule="auto"/>
        <w:tabs>
          <w:tab w:leader="none" w:pos="152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85"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17"/>
          <w:szCs w:val="17"/>
          <w:color w:val="auto"/>
        </w:rPr>
        <w:t>Date: 28 October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Karen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15875</wp:posOffset>
            </wp:positionV>
            <wp:extent cx="330898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Karen Adams</w:t>
      </w:r>
    </w:p>
    <w:p>
      <w:pPr>
        <w:spacing w:after="0" w:line="31"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Principal Finance Officer</w:t>
      </w:r>
    </w:p>
    <w:p>
      <w:pPr>
        <w:sectPr>
          <w:pgSz w:w="11900" w:h="16838" w:orient="portrait"/>
          <w:cols w:equalWidth="0" w:num="1">
            <w:col w:w="11240"/>
          </w:cols>
          <w:pgMar w:left="320" w:top="342"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7"/>
          <w:szCs w:val="17"/>
          <w:b w:val="1"/>
          <w:bCs w:val="1"/>
          <w:color w:val="auto"/>
        </w:rPr>
        <w:t>Exhibit 13.1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The certification set forth below is being submitted in connection with the Annual Report on Form 20-F for the year ended June 30, 2021 (the “Report”) for the purpose of complying with Rule 13a-14(b) or Rule 15d-14(b) of the Securities Exchange Act of 1934 (the “Exchange Act”) and Section 1350 of Chapter 63 of Title 18 of the United States Code.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 Megan Baldwin, certify that:</w:t>
      </w:r>
    </w:p>
    <w:p>
      <w:pPr>
        <w:spacing w:after="0" w:line="116" w:lineRule="exact"/>
        <w:rPr>
          <w:sz w:val="20"/>
          <w:szCs w:val="20"/>
          <w:color w:val="auto"/>
        </w:rPr>
      </w:pPr>
    </w:p>
    <w:p>
      <w:pPr>
        <w:ind w:left="1000" w:hanging="502"/>
        <w:spacing w:after="0"/>
        <w:tabs>
          <w:tab w:leader="none" w:pos="10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16" w:lineRule="exact"/>
        <w:rPr>
          <w:rFonts w:ascii="Arial" w:cs="Arial" w:eastAsia="Arial" w:hAnsi="Arial"/>
          <w:sz w:val="17"/>
          <w:szCs w:val="17"/>
          <w:color w:val="auto"/>
        </w:rPr>
      </w:pPr>
    </w:p>
    <w:p>
      <w:pPr>
        <w:ind w:left="1000" w:hanging="502"/>
        <w:spacing w:after="0"/>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7"/>
          <w:szCs w:val="17"/>
          <w:color w:val="auto"/>
        </w:rPr>
        <w:t>Date: 28 October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15875</wp:posOffset>
            </wp:positionV>
            <wp:extent cx="33089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Megan Baldwin</w:t>
      </w:r>
    </w:p>
    <w:p>
      <w:pPr>
        <w:spacing w:after="0" w:line="31"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342"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7"/>
          <w:szCs w:val="17"/>
          <w:b w:val="1"/>
          <w:bCs w:val="1"/>
          <w:color w:val="auto"/>
        </w:rPr>
        <w:t>Exhibit 13.2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The certification set forth below is being submitted in connection with the Annual Report on Form 20-F for the year ended June 30, 2021 (the “Report”) for the purpose of complying with Rule 13a-14(b) or Rule 15d-14(b) of the Securities Exchange Act of 1934 (the “Exchange Act”) and Section 1350 of Chapter 63 of Title 18 of the United States Code.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I, Karen Adams, certify that:</w:t>
      </w:r>
    </w:p>
    <w:p>
      <w:pPr>
        <w:spacing w:after="0" w:line="116" w:lineRule="exact"/>
        <w:rPr>
          <w:sz w:val="20"/>
          <w:szCs w:val="20"/>
          <w:color w:val="auto"/>
        </w:rPr>
      </w:pPr>
    </w:p>
    <w:p>
      <w:pPr>
        <w:ind w:left="1000" w:hanging="502"/>
        <w:spacing w:after="0"/>
        <w:tabs>
          <w:tab w:leader="none" w:pos="10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Exchange Act; and</w:t>
      </w:r>
    </w:p>
    <w:p>
      <w:pPr>
        <w:spacing w:after="0" w:line="116" w:lineRule="exact"/>
        <w:rPr>
          <w:rFonts w:ascii="Arial" w:cs="Arial" w:eastAsia="Arial" w:hAnsi="Arial"/>
          <w:sz w:val="17"/>
          <w:szCs w:val="17"/>
          <w:color w:val="auto"/>
        </w:rPr>
      </w:pPr>
    </w:p>
    <w:p>
      <w:pPr>
        <w:ind w:left="1000" w:hanging="502"/>
        <w:spacing w:after="0"/>
        <w:tabs>
          <w:tab w:leader="none" w:pos="10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p>
      <w:pPr>
        <w:spacing w:after="0"/>
        <w:tabs>
          <w:tab w:leader="none" w:pos="5680" w:val="left"/>
          <w:tab w:leader="none" w:pos="8040" w:val="left"/>
        </w:tabs>
        <w:rPr>
          <w:sz w:val="20"/>
          <w:szCs w:val="20"/>
          <w:color w:val="auto"/>
        </w:rPr>
      </w:pPr>
      <w:r>
        <w:rPr>
          <w:rFonts w:ascii="Arial" w:cs="Arial" w:eastAsia="Arial" w:hAnsi="Arial"/>
          <w:sz w:val="17"/>
          <w:szCs w:val="17"/>
          <w:color w:val="auto"/>
        </w:rPr>
        <w:t>Date: 28 October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Karen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15875</wp:posOffset>
            </wp:positionV>
            <wp:extent cx="330898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Karen Adams</w:t>
      </w:r>
    </w:p>
    <w:p>
      <w:pPr>
        <w:spacing w:after="0" w:line="31"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Vice President Finance</w:t>
      </w:r>
    </w:p>
    <w:p>
      <w:pPr>
        <w:sectPr>
          <w:pgSz w:w="11900" w:h="16838" w:orient="portrait"/>
          <w:cols w:equalWidth="0" w:num="1">
            <w:col w:w="11240"/>
          </w:cols>
          <w:pgMar w:left="320" w:top="342"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7"/>
          <w:szCs w:val="17"/>
          <w:b w:val="1"/>
          <w:bCs w:val="1"/>
          <w:color w:val="auto"/>
        </w:rPr>
        <w:t>Exhibit 15.1</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consent to the incorporation by reference in Registration Statement No. 333-251052 on Form S-8, of our report dated October 28, 2021 relating to the financial statements of Opthea Limited appearing in this Annual Report on Form 20-F for the year ended June 30, 2021.</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/s/ Deloitte Touche Tohmatsu</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Perth, Australia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October 28,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1)"/>
      <w:numFmt w:val="lowerRoman"/>
      <w:start w:val="2"/>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1."/>
      <w:numFmt w:val="decimal"/>
      <w:start w:val="12"/>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1)"/>
      <w:numFmt w:val="decimal"/>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1)"/>
      <w:numFmt w:val="decimal"/>
      <w:start w:val="13"/>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1)"/>
      <w:numFmt w:val="lowerLetter"/>
      <w:start w:val="3"/>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1)"/>
      <w:numFmt w:val="lowerRoman"/>
      <w:start w:val="2"/>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
      <w:numFmt w:val="bullet"/>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1."/>
      <w:numFmt w:val="decimal"/>
      <w:start w:val="20"/>
    </w:lvl>
    <w:lvl w:ilvl="1">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1)"/>
      <w:numFmt w:val="lowerLetter"/>
      <w:start w:val="3"/>
    </w:lvl>
  </w:abstractNum>
  <w:abstractNum w:abstractNumId="101">
    <w:nsid w:val="5399C654"/>
    <w:multiLevelType w:val="hybridMultilevel"/>
    <w:lvl w:ilvl="0">
      <w:lvlJc w:val="left"/>
      <w:lvlText w:val="(%1)"/>
      <w:numFmt w:val="decimal"/>
      <w:start w:val="1"/>
    </w:lvl>
  </w:abstractNum>
  <w:abstractNum w:abstractNumId="102">
    <w:nsid w:val="20EE1348"/>
    <w:multiLevelType w:val="hybridMultilevel"/>
    <w:lvl w:ilvl="0">
      <w:lvlJc w:val="left"/>
      <w:lvlText w:val="(%1)"/>
      <w:numFmt w:val="lowerRoman"/>
      <w:start w:val="1"/>
    </w:lvl>
  </w:abstractNum>
  <w:abstractNum w:abstractNumId="103">
    <w:nsid w:val="4427069A"/>
    <w:multiLevelType w:val="hybridMultilevel"/>
    <w:lvl w:ilvl="0">
      <w:lvlJc w:val="left"/>
      <w:lvlText w:val="(%1)"/>
      <w:numFmt w:val="lowerRoman"/>
      <w:start w:val="1"/>
    </w:lvl>
    <w:lvl w:ilvl="1">
      <w:lvlJc w:val="left"/>
      <w:lvlText w:val="•"/>
      <w:numFmt w:val="bullet"/>
      <w:start w:val="1"/>
    </w:lvl>
  </w:abstractNum>
  <w:abstractNum w:abstractNumId="104">
    <w:nsid w:val="B37E80A"/>
    <w:multiLevelType w:val="hybridMultilevel"/>
    <w:lvl w:ilvl="0">
      <w:lvlJc w:val="left"/>
      <w:lvlText w:val="(%1)"/>
      <w:numFmt w:val="lowerRoman"/>
      <w:start w:val="4"/>
    </w:lvl>
  </w:abstractNum>
  <w:abstractNum w:abstractNumId="105">
    <w:nsid w:val="2157F6BC"/>
    <w:multiLevelType w:val="hybridMultilevel"/>
    <w:lvl w:ilvl="0">
      <w:lvlJc w:val="left"/>
      <w:lvlText w:val="(%1)"/>
      <w:numFmt w:val="lowerRoman"/>
      <w:start w:val="4"/>
    </w:lvl>
  </w:abstractNum>
  <w:abstractNum w:abstractNumId="106">
    <w:nsid w:val="704E1DD5"/>
    <w:multiLevelType w:val="hybridMultilevel"/>
    <w:lvl w:ilvl="0">
      <w:lvlJc w:val="left"/>
      <w:lvlText w:val="(%1)"/>
      <w:numFmt w:val="lowerRoman"/>
      <w:start w:val="5"/>
    </w:lvl>
  </w:abstractNum>
  <w:abstractNum w:abstractNumId="107">
    <w:nsid w:val="57D2F10E"/>
    <w:multiLevelType w:val="hybridMultilevel"/>
    <w:lvl w:ilvl="0">
      <w:lvlJc w:val="left"/>
      <w:lvlText w:val="(%1)"/>
      <w:numFmt w:val="lowerRoman"/>
      <w:start w:val="6"/>
    </w:lvl>
  </w:abstractNum>
  <w:abstractNum w:abstractNumId="108">
    <w:nsid w:val="BFFAE18"/>
    <w:multiLevelType w:val="hybridMultilevel"/>
    <w:lvl w:ilvl="0">
      <w:lvlJc w:val="left"/>
      <w:lvlText w:val="(%1)"/>
      <w:numFmt w:val="lowerLetter"/>
      <w:start w:val="1"/>
    </w:lvl>
  </w:abstractNum>
  <w:abstractNum w:abstractNumId="109">
    <w:nsid w:val="E3E47A8"/>
    <w:multiLevelType w:val="hybridMultilevel"/>
    <w:lvl w:ilvl="0">
      <w:lvlJc w:val="left"/>
      <w:lvlText w:val="(%1)"/>
      <w:numFmt w:val="decimal"/>
      <w:start w:val="1"/>
    </w:lvl>
  </w:abstractNum>
  <w:abstractNum w:abstractNumId="110">
    <w:nsid w:val="2E48F044"/>
    <w:multiLevelType w:val="hybridMultilevel"/>
    <w:lvl w:ilvl="0">
      <w:lvlJc w:val="left"/>
      <w:lvlText w:val="(%1)"/>
      <w:numFmt w:val="lowerLetter"/>
      <w:start w:val="2"/>
    </w:lvl>
  </w:abstractNum>
  <w:abstractNum w:abstractNumId="111">
    <w:nsid w:val="49D0FEAC"/>
    <w:multiLevelType w:val="hybridMultilevel"/>
    <w:lvl w:ilvl="0">
      <w:lvlJc w:val="left"/>
      <w:lvlText w:val="(%1)"/>
      <w:numFmt w:val="lowerRoman"/>
      <w:start w:val="1"/>
    </w:lvl>
  </w:abstractNum>
  <w:abstractNum w:abstractNumId="112">
    <w:nsid w:val="4BEE5A5B"/>
    <w:multiLevelType w:val="hybridMultilevel"/>
    <w:lvl w:ilvl="0">
      <w:lvlJc w:val="left"/>
      <w:lvlText w:val="(%1)"/>
      <w:numFmt w:val="lowerRoman"/>
      <w:start w:val="2"/>
    </w:lvl>
  </w:abstractNum>
  <w:abstractNum w:abstractNumId="113">
    <w:nsid w:val="5551B9F3"/>
    <w:multiLevelType w:val="hybridMultilevel"/>
    <w:lvl w:ilvl="0">
      <w:lvlJc w:val="left"/>
      <w:lvlText w:val="(%1)"/>
      <w:numFmt w:val="lowerLetter"/>
      <w:start w:val="2"/>
    </w:lvl>
  </w:abstractNum>
  <w:abstractNum w:abstractNumId="114">
    <w:nsid w:val="24F6AB8E"/>
    <w:multiLevelType w:val="hybridMultilevel"/>
    <w:lvl w:ilvl="0">
      <w:lvlJc w:val="left"/>
      <w:lvlText w:val="(%1)"/>
      <w:numFmt w:val="lowerLetter"/>
      <w:start w:val="1"/>
    </w:lvl>
  </w:abstractNum>
  <w:abstractNum w:abstractNumId="115">
    <w:nsid w:val="634C574C"/>
    <w:multiLevelType w:val="hybridMultilevel"/>
    <w:lvl w:ilvl="0">
      <w:lvlJc w:val="left"/>
      <w:lvlText w:val="(%1)"/>
      <w:numFmt w:val="lowerLetter"/>
      <w:start w:val="2"/>
    </w:lvl>
  </w:abstractNum>
  <w:abstractNum w:abstractNumId="116">
    <w:nsid w:val="24E99DD7"/>
    <w:multiLevelType w:val="hybridMultilevel"/>
    <w:lvl w:ilvl="0">
      <w:lvlJc w:val="left"/>
      <w:lvlText w:val="(%1)"/>
      <w:numFmt w:val="lowerLetter"/>
      <w:start w:val="3"/>
    </w:lvl>
  </w:abstractNum>
  <w:abstractNum w:abstractNumId="117">
    <w:nsid w:val="2A31B62D"/>
    <w:multiLevelType w:val="hybridMultilevel"/>
    <w:lvl w:ilvl="0">
      <w:lvlJc w:val="left"/>
      <w:lvlText w:val="(%1)"/>
      <w:numFmt w:val="lowerLetter"/>
      <w:start w:val="4"/>
    </w:lvl>
  </w:abstractNum>
  <w:abstractNum w:abstractNumId="118">
    <w:nsid w:val="1849C29B"/>
    <w:multiLevelType w:val="hybridMultilevel"/>
    <w:lvl w:ilvl="0">
      <w:lvlJc w:val="left"/>
      <w:lvlText w:val="(%1)"/>
      <w:numFmt w:val="lowerLetter"/>
      <w:start w:val="3"/>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
      <w:numFmt w:val="bullet"/>
      <w:start w:val="1"/>
    </w:lvl>
  </w:abstractNum>
  <w:abstractNum w:abstractNumId="122">
    <w:nsid w:val="2A6DE806"/>
    <w:multiLevelType w:val="hybridMultilevel"/>
    <w:lvl w:ilvl="0">
      <w:lvlJc w:val="left"/>
      <w:lvlText w:val="•"/>
      <w:numFmt w:val="bullet"/>
      <w:start w:val="1"/>
    </w:lvl>
    <w:lvl w:ilvl="1">
      <w:lvlJc w:val="left"/>
      <w:lvlText w:val="•"/>
      <w:numFmt w:val="bullet"/>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
      <w:numFmt w:val="bullet"/>
      <w:start w:val="1"/>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
      <w:numFmt w:val="bullet"/>
      <w:start w:val="1"/>
    </w:lvl>
  </w:abstractNum>
  <w:abstractNum w:abstractNumId="128">
    <w:nsid w:val="597B4D84"/>
    <w:multiLevelType w:val="hybridMultilevel"/>
    <w:lvl w:ilvl="0">
      <w:lvlJc w:val="left"/>
      <w:lvlText w:val="%1."/>
      <w:numFmt w:val="upperLetter"/>
      <w:start w:val="1"/>
    </w:lvl>
  </w:abstractNum>
  <w:abstractNum w:abstractNumId="129">
    <w:nsid w:val="F819E7F"/>
    <w:multiLevelType w:val="hybridMultilevel"/>
    <w:lvl w:ilvl="0">
      <w:lvlJc w:val="left"/>
      <w:lvlText w:val="1"/>
      <w:numFmt w:val="bullet"/>
      <w:start w:val="1"/>
    </w:lvl>
  </w:abstractNum>
  <w:abstractNum w:abstractNumId="130">
    <w:nsid w:val="57C7D42D"/>
    <w:multiLevelType w:val="hybridMultilevel"/>
    <w:lvl w:ilvl="0">
      <w:lvlJc w:val="left"/>
      <w:lvlText w:val="2"/>
      <w:numFmt w:val="bullet"/>
      <w:start w:val="1"/>
    </w:lvl>
  </w:abstractNum>
  <w:abstractNum w:abstractNumId="131">
    <w:nsid w:val="312167AD"/>
    <w:multiLevelType w:val="hybridMultilevel"/>
    <w:lvl w:ilvl="0">
      <w:lvlJc w:val="left"/>
      <w:lvlText w:val="3"/>
      <w:numFmt w:val="bullet"/>
      <w:start w:val="1"/>
    </w:lvl>
  </w:abstractNum>
  <w:abstractNum w:abstractNumId="132">
    <w:nsid w:val="631B64D4"/>
    <w:multiLevelType w:val="hybridMultilevel"/>
    <w:lvl w:ilvl="0">
      <w:lvlJc w:val="left"/>
      <w:lvlText w:val="4"/>
      <w:numFmt w:val="bullet"/>
      <w:start w:val="1"/>
    </w:lvl>
  </w:abstractNum>
  <w:abstractNum w:abstractNumId="133">
    <w:nsid w:val="78B5E776"/>
    <w:multiLevelType w:val="hybridMultilevel"/>
    <w:lvl w:ilvl="0">
      <w:lvlJc w:val="left"/>
      <w:lvlText w:val="5"/>
      <w:numFmt w:val="bullet"/>
      <w:start w:val="1"/>
    </w:lvl>
  </w:abstractNum>
  <w:abstractNum w:abstractNumId="134">
    <w:nsid w:val="75486E47"/>
    <w:multiLevelType w:val="hybridMultilevel"/>
    <w:lvl w:ilvl="0">
      <w:lvlJc w:val="left"/>
      <w:lvlText w:val="6"/>
      <w:numFmt w:val="bullet"/>
      <w:start w:val="1"/>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2"/>
    </w:lvl>
  </w:abstractNum>
  <w:abstractNum w:abstractNumId="137">
    <w:nsid w:val="65968C1C"/>
    <w:multiLevelType w:val="hybridMultilevel"/>
    <w:lvl w:ilvl="0">
      <w:lvlJc w:val="left"/>
      <w:lvlText w:val="7"/>
      <w:numFmt w:val="bullet"/>
      <w:start w:val="1"/>
    </w:lvl>
  </w:abstractNum>
  <w:abstractNum w:abstractNumId="138">
    <w:nsid w:val="46263DEC"/>
    <w:multiLevelType w:val="hybridMultilevel"/>
    <w:lvl w:ilvl="0">
      <w:lvlJc w:val="left"/>
      <w:lvlText w:val="8"/>
      <w:numFmt w:val="bullet"/>
      <w:start w:val="1"/>
    </w:lvl>
  </w:abstractNum>
  <w:abstractNum w:abstractNumId="139">
    <w:nsid w:val="260D8C4A"/>
    <w:multiLevelType w:val="hybridMultilevel"/>
    <w:lvl w:ilvl="0">
      <w:lvlJc w:val="left"/>
      <w:lvlText w:val="9"/>
      <w:numFmt w:val="bullet"/>
      <w:start w:val="1"/>
    </w:lvl>
  </w:abstractNum>
  <w:abstractNum w:abstractNumId="140">
    <w:nsid w:val="73D4D3C4"/>
    <w:multiLevelType w:val="hybridMultilevel"/>
    <w:lvl w:ilvl="0">
      <w:lvlJc w:val="left"/>
      <w:lvlText w:val="(%1)"/>
      <w:numFmt w:val="lowerLetter"/>
      <w:start w:val="1"/>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lowerLetter"/>
      <w:start w:val="1"/>
    </w:lvl>
  </w:abstractNum>
  <w:abstractNum w:abstractNumId="144">
    <w:nsid w:val="49C0E823"/>
    <w:multiLevelType w:val="hybridMultilevel"/>
    <w:lvl w:ilvl="0">
      <w:lvlJc w:val="left"/>
      <w:lvlText w:val="(%1)"/>
      <w:numFmt w:val="lowerLetter"/>
      <w:start w:val="1"/>
    </w:lvl>
  </w:abstractNum>
  <w:abstractNum w:abstractNumId="145">
    <w:nsid w:val="14D53685"/>
    <w:multiLevelType w:val="hybridMultilevel"/>
    <w:lvl w:ilvl="0">
      <w:lvlJc w:val="left"/>
      <w:lvlText w:val="(%1)"/>
      <w:numFmt w:val="lowerLetter"/>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
      <w:numFmt w:val="bullet"/>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
      <w:numFmt w:val="bullet"/>
      <w:start w:val="1"/>
    </w:lvl>
  </w:abstractNum>
  <w:abstractNum w:abstractNumId="153">
    <w:nsid w:val="17180B0B"/>
    <w:multiLevelType w:val="hybridMultilevel"/>
    <w:lvl w:ilvl="0">
      <w:lvlJc w:val="left"/>
      <w:lvlText w:val="%1."/>
      <w:numFmt w:val="decimal"/>
      <w:start w:val="1"/>
    </w:lvl>
    <w:lvl w:ilvl="1">
      <w:lvlJc w:val="left"/>
      <w:lvlText w:val="(%2)"/>
      <w:numFmt w:val="lowerRoman"/>
      <w:start w:val="1"/>
    </w:lvl>
  </w:abstractNum>
  <w:abstractNum w:abstractNumId="154">
    <w:nsid w:val="579328B9"/>
    <w:multiLevelType w:val="hybridMultilevel"/>
    <w:lvl w:ilvl="0">
      <w:lvlJc w:val="left"/>
      <w:lvlText w:val="(%1)"/>
      <w:numFmt w:val="lowerRoman"/>
      <w:start w:val="3"/>
    </w:lvl>
  </w:abstractNum>
  <w:abstractNum w:abstractNumId="155">
    <w:nsid w:val="5D205E20"/>
    <w:multiLevelType w:val="hybridMultilevel"/>
    <w:lvl w:ilvl="0">
      <w:lvlJc w:val="left"/>
      <w:lvlText w:val="%1."/>
      <w:numFmt w:val="decimal"/>
      <w:start w:val="6"/>
    </w:lvl>
  </w:abstractNum>
  <w:abstractNum w:abstractNumId="156">
    <w:nsid w:val="11CCA8BA"/>
    <w:multiLevelType w:val="hybridMultilevel"/>
    <w:lvl w:ilvl="0">
      <w:lvlJc w:val="left"/>
      <w:lvlText w:val="%1."/>
      <w:numFmt w:val="decimal"/>
      <w:start w:val="13"/>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pn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png"/><Relationship Id="rId271" Type="http://schemas.openxmlformats.org/officeDocument/2006/relationships/image" Target="media/image254.pn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pn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jpe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pn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pn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pn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319" Type="http://schemas.openxmlformats.org/officeDocument/2006/relationships/image" Target="media/image302.png"/><Relationship Id="rId320" Type="http://schemas.openxmlformats.org/officeDocument/2006/relationships/image" Target="media/image303.png"/><Relationship Id="rId32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214" Type="http://schemas.openxmlformats.org/officeDocument/2006/relationships/hyperlink" Target="http://www.sec.gov/Archives/edgar/data/1815620/000119312520253365/d947560dex31.htm" TargetMode="External"/><Relationship Id="rId215" Type="http://schemas.openxmlformats.org/officeDocument/2006/relationships/hyperlink" Target="http://www.sec.gov/Archives/edgar/data/1815620/000119312520267263/d947560dex41.htm" TargetMode="External"/><Relationship Id="rId216" Type="http://schemas.openxmlformats.org/officeDocument/2006/relationships/hyperlink" Target="http://www.sec.gov/Archives/edgar/data/1815620/000119312521271575/d136848dex993.htm" TargetMode="External"/><Relationship Id="rId217" Type="http://schemas.openxmlformats.org/officeDocument/2006/relationships/hyperlink" Target="http://www.sec.gov/Archives/edgar/data/1815620/000119312520253365/d947560dex106.htm" TargetMode="External"/><Relationship Id="rId218" Type="http://schemas.openxmlformats.org/officeDocument/2006/relationships/hyperlink" Target="http://www.sec.gov/Archives/edgar/data/1815620/000119312520253365/d947560dex107.htm" TargetMode="External"/><Relationship Id="rId219" Type="http://schemas.openxmlformats.org/officeDocument/2006/relationships/hyperlink" Target="http://www.sec.gov/Archives/edgar/data/1815620/000119312520267263/d947560dex109.htm" TargetMode="External"/><Relationship Id="rId220" Type="http://schemas.openxmlformats.org/officeDocument/2006/relationships/hyperlink" Target="http://www.sec.gov/Archives/edgar/data/1815620/000119312520253365/d947560dex101.htm" TargetMode="External"/><Relationship Id="rId221" Type="http://schemas.openxmlformats.org/officeDocument/2006/relationships/hyperlink" Target="http://www.sec.gov/Archives/edgar/data/1815620/000119312520253365/d947560dex102.htm" TargetMode="External"/><Relationship Id="rId222" Type="http://schemas.openxmlformats.org/officeDocument/2006/relationships/hyperlink" Target="http://www.sec.gov/Archives/edgar/data/1815620/000119312520253365/d947560dex103.htm" TargetMode="External"/><Relationship Id="rId225" Type="http://schemas.openxmlformats.org/officeDocument/2006/relationships/hyperlink" Target="http://www.sec.gov/Archives/edgar/data/1815620/000119312520253365/d94756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2021-10-28T05:32:37Z</dcterms:created>
  <dcterms:modified xsi:type="dcterms:W3CDTF">2021-10-28T05:32:37Z</dcterms:modified>
</cp:coreProperties>
</file>