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October 9, 2020.</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333-249020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50165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-228600</wp:posOffset>
            </wp:positionV>
            <wp:extent cx="1114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F-1</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-306705</wp:posOffset>
            </wp:positionV>
            <wp:extent cx="1114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45085</wp:posOffset>
            </wp:positionV>
            <wp:extent cx="1114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75"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2780" w:type="dxa"/>
            <w:vAlign w:val="bottom"/>
          </w:tcPr>
          <w:p>
            <w:pPr>
              <w:jc w:val="center"/>
              <w:ind w:right="926"/>
              <w:spacing w:after="0"/>
              <w:rPr>
                <w:sz w:val="20"/>
                <w:szCs w:val="20"/>
                <w:color w:val="auto"/>
              </w:rPr>
            </w:pPr>
            <w:r>
              <w:rPr>
                <w:rFonts w:ascii="Times New Roman" w:cs="Times New Roman" w:eastAsia="Times New Roman" w:hAnsi="Times New Roman"/>
                <w:sz w:val="18"/>
                <w:szCs w:val="18"/>
                <w:b w:val="1"/>
                <w:bCs w:val="1"/>
                <w:color w:val="auto"/>
                <w:w w:val="97"/>
              </w:rPr>
              <w:t>Australia</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400" w:type="dxa"/>
            <w:vAlign w:val="bottom"/>
          </w:tcPr>
          <w:p>
            <w:pPr>
              <w:jc w:val="center"/>
              <w:ind w:left="986"/>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8"/>
        </w:trPr>
        <w:tc>
          <w:tcPr>
            <w:tcW w:w="2780" w:type="dxa"/>
            <w:vAlign w:val="bottom"/>
          </w:tcPr>
          <w:p>
            <w:pPr>
              <w:jc w:val="center"/>
              <w:ind w:right="946"/>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(Primary Standard Industrial</w:t>
            </w:r>
          </w:p>
        </w:tc>
        <w:tc>
          <w:tcPr>
            <w:tcW w:w="2400" w:type="dxa"/>
            <w:vAlign w:val="bottom"/>
          </w:tcPr>
          <w:p>
            <w:pPr>
              <w:jc w:val="center"/>
              <w:ind w:left="986"/>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946"/>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Classification Code Number)</w:t>
            </w:r>
          </w:p>
        </w:tc>
        <w:tc>
          <w:tcPr>
            <w:tcW w:w="2400" w:type="dxa"/>
            <w:vAlign w:val="bottom"/>
          </w:tcPr>
          <w:p>
            <w:pPr>
              <w:jc w:val="center"/>
              <w:ind w:left="986"/>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bl>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Level 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650 Chapel Street</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South Yarra, Victoria 3141</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+ 61 3 9826 0399</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95250</wp:posOffset>
            </wp:positionV>
            <wp:extent cx="1114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1180 Avenue of the Americas, Suite 210</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95250</wp:posOffset>
            </wp:positionV>
            <wp:extent cx="1114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19" w:lineRule="exact"/>
        <w:rPr>
          <w:sz w:val="24"/>
          <w:szCs w:val="24"/>
          <w:color w:val="auto"/>
        </w:rPr>
      </w:pPr>
    </w:p>
    <w:tbl>
      <w:tblPr>
        <w:tblLayout w:type="fixed"/>
        <w:tblInd w:w="480" w:type="dxa"/>
        <w:tblCellMar>
          <w:top w:w="0" w:type="dxa"/>
          <w:left w:w="0" w:type="dxa"/>
          <w:bottom w:w="0" w:type="dxa"/>
          <w:right w:w="0" w:type="dxa"/>
        </w:tblCellMar>
      </w:tblPr>
      <w:tr>
        <w:trPr>
          <w:trHeight w:val="232"/>
        </w:trPr>
        <w:tc>
          <w:tcPr>
            <w:tcW w:w="21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c>
          <w:tcPr>
            <w:tcW w:w="19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9"/>
        </w:trPr>
        <w:tc>
          <w:tcPr>
            <w:tcW w:w="218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Ferish Patel</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Divakar Gupta</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Craig Semple</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Edwin O’Connor</w:t>
            </w:r>
          </w:p>
        </w:tc>
        <w:tc>
          <w:tcPr>
            <w:tcW w:w="186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7"/>
              </w:rPr>
              <w:t>Michael Ziegelaar</w:t>
            </w:r>
          </w:p>
        </w:tc>
      </w:tr>
      <w:tr>
        <w:trPr>
          <w:trHeight w:val="216"/>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7"/>
              </w:rPr>
              <w:t>John McKenna</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Brent Siler</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Gilbert + Tobin</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Seo Salimi</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Herbert Smith Freehills</w:t>
            </w:r>
          </w:p>
        </w:tc>
      </w:tr>
      <w:tr>
        <w:trPr>
          <w:trHeight w:val="216"/>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4"/>
              </w:rPr>
              <w:t>Milson Yu</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Cooley LLP</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22, 101 Collins Street</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Goodwin Procter LLP</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Level 42, 101 Collins</w:t>
            </w:r>
          </w:p>
        </w:tc>
      </w:tr>
      <w:tr>
        <w:trPr>
          <w:trHeight w:val="216"/>
        </w:trPr>
        <w:tc>
          <w:tcPr>
            <w:tcW w:w="218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Cooley LLP</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55 Hudson Yards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Melbourne, Victoria 3000</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5"/>
              </w:rPr>
              <w:t>620 8th Avenue</w:t>
            </w:r>
          </w:p>
        </w:tc>
        <w:tc>
          <w:tcPr>
            <w:tcW w:w="186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5"/>
              </w:rPr>
              <w:t>Street</w:t>
            </w:r>
          </w:p>
        </w:tc>
      </w:tr>
      <w:tr>
        <w:trPr>
          <w:trHeight w:val="216"/>
        </w:trPr>
        <w:tc>
          <w:tcPr>
            <w:tcW w:w="218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Ocean Financial Centre</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New York, NY 10001</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Australia</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New York, NY 10018</w:t>
            </w:r>
          </w:p>
        </w:tc>
        <w:tc>
          <w:tcPr>
            <w:tcW w:w="186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6"/>
              </w:rPr>
              <w:t>Melbourne, Victoria</w:t>
            </w:r>
          </w:p>
        </w:tc>
      </w:tr>
      <w:tr>
        <w:trPr>
          <w:trHeight w:val="216"/>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8"/>
              </w:rPr>
              <w:t>10 Collyer Quay</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(212) 479-6000</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+61 3 8656 3300</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(212) 813-8800</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3000</w:t>
            </w:r>
          </w:p>
        </w:tc>
      </w:tr>
      <w:tr>
        <w:trPr>
          <w:trHeight w:val="216"/>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6"/>
              </w:rPr>
              <w:t>Raffles Place</w:t>
            </w:r>
          </w:p>
        </w:tc>
        <w:tc>
          <w:tcPr>
            <w:tcW w:w="2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Australia</w:t>
            </w:r>
          </w:p>
        </w:tc>
      </w:tr>
      <w:tr>
        <w:trPr>
          <w:trHeight w:val="216"/>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6"/>
              </w:rPr>
              <w:t>Singapore 049315</w:t>
            </w:r>
          </w:p>
        </w:tc>
        <w:tc>
          <w:tcPr>
            <w:tcW w:w="2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+61 3 9288 1234</w:t>
            </w:r>
          </w:p>
        </w:tc>
      </w:tr>
      <w:tr>
        <w:trPr>
          <w:trHeight w:val="230"/>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8"/>
              </w:rPr>
              <w:t>+65 6962 7500</w:t>
            </w:r>
          </w:p>
        </w:tc>
        <w:tc>
          <w:tcPr>
            <w:tcW w:w="2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95250</wp:posOffset>
            </wp:positionV>
            <wp:extent cx="1114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22" w:lineRule="exact"/>
        <w:rPr>
          <w:sz w:val="24"/>
          <w:szCs w:val="24"/>
          <w:color w:val="auto"/>
        </w:rPr>
      </w:pPr>
    </w:p>
    <w:p>
      <w:pPr>
        <w:ind w:left="560" w:right="80"/>
        <w:spacing w:after="0" w:line="291"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As soon as practicable after this Registration Statement becomes effective.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w:t>
      </w: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w:t>
      </w:r>
      <w:r>
        <w:rPr>
          <w:rFonts w:ascii="MS PGothic" w:cs="MS PGothic" w:eastAsia="MS PGothic" w:hAnsi="MS PGothic"/>
          <w:sz w:val="18"/>
          <w:szCs w:val="18"/>
          <w:color w:val="auto"/>
        </w:rPr>
        <w:t>☐</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2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6" w:lineRule="exact"/>
        <w:rPr>
          <w:sz w:val="20"/>
          <w:szCs w:val="20"/>
          <w:color w:val="auto"/>
        </w:rPr>
      </w:pPr>
    </w:p>
    <w:p>
      <w:pPr>
        <w:ind w:left="120" w:right="16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6" w:lineRule="exact"/>
        <w:rPr>
          <w:sz w:val="20"/>
          <w:szCs w:val="20"/>
          <w:color w:val="auto"/>
        </w:rPr>
      </w:pPr>
    </w:p>
    <w:p>
      <w:pPr>
        <w:ind w:left="120" w:right="14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w:t>
      </w:r>
    </w:p>
    <w:p>
      <w:pPr>
        <w:spacing w:after="0" w:line="57"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7"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1" w:lineRule="exact"/>
        <w:rPr>
          <w:sz w:val="20"/>
          <w:szCs w:val="20"/>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101600</wp:posOffset>
            </wp:positionV>
            <wp:extent cx="1114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750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112"/>
        </w:trPr>
        <w:tc>
          <w:tcPr>
            <w:tcW w:w="75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jc w:val="center"/>
              <w:ind w:left="9"/>
              <w:spacing w:after="0" w:line="113"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740" w:type="dxa"/>
            <w:vAlign w:val="bottom"/>
          </w:tcPr>
          <w:p>
            <w:pPr>
              <w:spacing w:after="0"/>
              <w:rPr>
                <w:sz w:val="9"/>
                <w:szCs w:val="9"/>
                <w:color w:val="auto"/>
              </w:rPr>
            </w:pPr>
          </w:p>
        </w:tc>
      </w:tr>
      <w:tr>
        <w:trPr>
          <w:trHeight w:val="148"/>
        </w:trPr>
        <w:tc>
          <w:tcPr>
            <w:tcW w:w="750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jc w:val="center"/>
              <w:ind w:left="29"/>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740" w:type="dxa"/>
            <w:vAlign w:val="bottom"/>
          </w:tcPr>
          <w:p>
            <w:pPr>
              <w:spacing w:after="0"/>
              <w:rPr>
                <w:sz w:val="12"/>
                <w:szCs w:val="12"/>
                <w:color w:val="auto"/>
              </w:rPr>
            </w:pPr>
          </w:p>
        </w:tc>
      </w:tr>
      <w:tr>
        <w:trPr>
          <w:trHeight w:val="152"/>
        </w:trPr>
        <w:tc>
          <w:tcPr>
            <w:tcW w:w="7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 of</w:t>
            </w:r>
          </w:p>
        </w:tc>
        <w:tc>
          <w:tcPr>
            <w:tcW w:w="1780" w:type="dxa"/>
            <w:vAlign w:val="bottom"/>
            <w:tcBorders>
              <w:right w:val="single" w:sz="8" w:color="auto"/>
            </w:tcBorders>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13"/>
                <w:szCs w:val="13"/>
                <w:b w:val="1"/>
                <w:bCs w:val="1"/>
                <w:color w:val="auto"/>
              </w:rPr>
              <w:t>Amount of</w:t>
            </w:r>
          </w:p>
        </w:tc>
      </w:tr>
      <w:tr>
        <w:trPr>
          <w:trHeight w:val="175"/>
        </w:trPr>
        <w:tc>
          <w:tcPr>
            <w:tcW w:w="75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2"/>
                <w:szCs w:val="12"/>
                <w:b w:val="1"/>
                <w:bCs w:val="1"/>
                <w:color w:val="auto"/>
              </w:rPr>
              <w:t>Securities to be Registered</w:t>
            </w:r>
            <w:r>
              <w:rPr>
                <w:rFonts w:ascii="Times New Roman" w:cs="Times New Roman" w:eastAsia="Times New Roman" w:hAnsi="Times New Roman"/>
                <w:sz w:val="20"/>
                <w:szCs w:val="20"/>
                <w:b w:val="1"/>
                <w:bCs w:val="1"/>
                <w:color w:val="auto"/>
                <w:vertAlign w:val="superscript"/>
              </w:rPr>
              <w:t>(1)</w:t>
            </w:r>
          </w:p>
        </w:tc>
        <w:tc>
          <w:tcPr>
            <w:tcW w:w="1780" w:type="dxa"/>
            <w:vAlign w:val="bottom"/>
            <w:tcBorders>
              <w:bottom w:val="single" w:sz="8" w:color="auto"/>
              <w:right w:val="single" w:sz="8" w:color="auto"/>
            </w:tcBorders>
          </w:tcPr>
          <w:p>
            <w:pPr>
              <w:jc w:val="center"/>
              <w:ind w:left="9"/>
              <w:spacing w:after="0" w:line="176" w:lineRule="exact"/>
              <w:rPr>
                <w:sz w:val="20"/>
                <w:szCs w:val="20"/>
                <w:color w:val="auto"/>
              </w:rPr>
            </w:pPr>
            <w:r>
              <w:rPr>
                <w:rFonts w:ascii="Times New Roman" w:cs="Times New Roman" w:eastAsia="Times New Roman" w:hAnsi="Times New Roman"/>
                <w:sz w:val="12"/>
                <w:szCs w:val="12"/>
                <w:b w:val="1"/>
                <w:bCs w:val="1"/>
                <w:color w:val="auto"/>
              </w:rPr>
              <w:t>Offering Price</w:t>
            </w:r>
            <w:r>
              <w:rPr>
                <w:rFonts w:ascii="Times New Roman" w:cs="Times New Roman" w:eastAsia="Times New Roman" w:hAnsi="Times New Roman"/>
                <w:sz w:val="20"/>
                <w:szCs w:val="20"/>
                <w:b w:val="1"/>
                <w:bCs w:val="1"/>
                <w:color w:val="auto"/>
                <w:vertAlign w:val="superscript"/>
              </w:rPr>
              <w:t>(2)(3)</w:t>
            </w:r>
          </w:p>
        </w:tc>
        <w:tc>
          <w:tcPr>
            <w:tcW w:w="17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2"/>
                <w:szCs w:val="12"/>
                <w:b w:val="1"/>
                <w:bCs w:val="1"/>
                <w:color w:val="auto"/>
              </w:rPr>
              <w:t>Registration Fee</w:t>
            </w:r>
            <w:r>
              <w:rPr>
                <w:rFonts w:ascii="Times New Roman" w:cs="Times New Roman" w:eastAsia="Times New Roman" w:hAnsi="Times New Roman"/>
                <w:sz w:val="20"/>
                <w:szCs w:val="20"/>
                <w:b w:val="1"/>
                <w:bCs w:val="1"/>
                <w:color w:val="auto"/>
                <w:vertAlign w:val="superscript"/>
              </w:rPr>
              <w:t>(3)</w:t>
            </w:r>
          </w:p>
        </w:tc>
      </w:tr>
      <w:tr>
        <w:trPr>
          <w:trHeight w:val="210"/>
        </w:trPr>
        <w:tc>
          <w:tcPr>
            <w:tcW w:w="7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1780" w:type="dxa"/>
            <w:vAlign w:val="bottom"/>
            <w:tcBorders>
              <w:bottom w:val="single" w:sz="8" w:color="auto"/>
              <w:right w:val="single" w:sz="8" w:color="auto"/>
            </w:tcBorders>
          </w:tcPr>
          <w:p>
            <w:pPr>
              <w:jc w:val="center"/>
              <w:ind w:left="29"/>
              <w:spacing w:after="0"/>
              <w:rPr>
                <w:sz w:val="20"/>
                <w:szCs w:val="20"/>
                <w:color w:val="auto"/>
              </w:rPr>
            </w:pPr>
            <w:r>
              <w:rPr>
                <w:rFonts w:ascii="Times New Roman" w:cs="Times New Roman" w:eastAsia="Times New Roman" w:hAnsi="Times New Roman"/>
                <w:sz w:val="18"/>
                <w:szCs w:val="18"/>
                <w:color w:val="auto"/>
                <w:w w:val="96"/>
              </w:rPr>
              <w:t>$184,595,700</w:t>
            </w:r>
          </w:p>
        </w:tc>
        <w:tc>
          <w:tcPr>
            <w:tcW w:w="174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8"/>
                <w:szCs w:val="18"/>
                <w:color w:val="auto"/>
                <w:w w:val="99"/>
              </w:rPr>
              <w:t>$20,140</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jc w:val="both"/>
        <w:ind w:left="540" w:right="280" w:hanging="424"/>
        <w:spacing w:after="0" w:line="254"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ordinary shares in the offering will be in the form of American Depositary Shares, or ADSs, with each ADS representing eight ordinary shares. ADSs issuable upon deposit of the ordinary shares registered hereby are being registered pursuant to a separate registration statement on Form F-6 (File No. 333-249327).</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additional ordinary shares represented by ADSs that the underwriters have an option to purchase.</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computing the amount of the registration fee pursuant to Rule 457(o) under the Securities Act of 1933, as amended based on the proposed maximum aggregate offering price. The registrant previously paid a registration fee of $19,470.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85090</wp:posOffset>
            </wp:positionV>
            <wp:extent cx="1114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6"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77470</wp:posOffset>
            </wp:positionV>
            <wp:extent cx="11144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96" w:lineRule="exact"/>
        <w:rPr>
          <w:sz w:val="20"/>
          <w:szCs w:val="20"/>
          <w:color w:val="auto"/>
        </w:rPr>
      </w:pPr>
    </w:p>
    <w:p>
      <w:pPr>
        <w:ind w:left="540" w:right="200" w:hanging="424"/>
        <w:spacing w:after="0" w:line="275"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220"/>
        <w:spacing w:after="0" w:line="250"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jurisdiction where the offer or sale is not permitted.</w:t>
      </w:r>
    </w:p>
    <w:p>
      <w:pPr>
        <w:spacing w:after="0" w:line="1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CC062A"/>
        </w:rPr>
        <w:t>SUBJECT TO COMPLETION, DATED OCTOBER 9, 2020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110490</wp:posOffset>
            </wp:positionV>
            <wp:extent cx="2743200" cy="617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32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9,300,000 American Depositary Shares</w:t>
      </w:r>
    </w:p>
    <w:p>
      <w:pPr>
        <w:spacing w:after="0" w:line="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representing 74,400,000 Ordinary Shares</w:t>
      </w:r>
    </w:p>
    <w:p>
      <w:pPr>
        <w:ind w:left="4640" w:hanging="967"/>
        <w:spacing w:after="0"/>
        <w:tabs>
          <w:tab w:leader="none" w:pos="46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 American Depositary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141605</wp:posOffset>
            </wp:positionV>
            <wp:extent cx="1114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78" w:lineRule="exact"/>
        <w:rPr>
          <w:sz w:val="20"/>
          <w:szCs w:val="20"/>
          <w:color w:val="auto"/>
        </w:rPr>
      </w:pPr>
    </w:p>
    <w:p>
      <w:pPr>
        <w:jc w:val="both"/>
        <w:ind w:left="120" w:right="120" w:firstLine="440"/>
        <w:spacing w:after="0" w:line="275" w:lineRule="auto"/>
        <w:rPr>
          <w:sz w:val="20"/>
          <w:szCs w:val="20"/>
          <w:color w:val="auto"/>
        </w:rPr>
      </w:pPr>
      <w:r>
        <w:rPr>
          <w:rFonts w:ascii="Times New Roman" w:cs="Times New Roman" w:eastAsia="Times New Roman" w:hAnsi="Times New Roman"/>
          <w:sz w:val="18"/>
          <w:szCs w:val="18"/>
          <w:color w:val="auto"/>
        </w:rPr>
        <w:t>This is the initial public offering of 9,300,000 American depositary shares, or ADSs, in the United States, representing 74,400,000 ordinary shares of Opthea Limited. Each ADS represents eight ordinary shares, no par value, deposited with The Bank of New York Mellon, as depositary.</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1,395,000 ADSs to cover over-allotments, if any.</w:t>
      </w:r>
    </w:p>
    <w:p>
      <w:pPr>
        <w:spacing w:after="0" w:line="158" w:lineRule="exact"/>
        <w:rPr>
          <w:sz w:val="20"/>
          <w:szCs w:val="20"/>
          <w:color w:val="auto"/>
        </w:rPr>
      </w:pPr>
    </w:p>
    <w:p>
      <w:pPr>
        <w:ind w:left="120" w:right="140" w:firstLine="440"/>
        <w:spacing w:after="0" w:line="27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the ADSs. We have applied to list the ADSs on the Nasdaq Global Select Market under the symbol “OPT.”</w:t>
      </w:r>
    </w:p>
    <w:p>
      <w:pPr>
        <w:spacing w:after="0" w:line="106"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Our ordinary shares are listed on the Australian Securities Exchange under the symbol “OPT.” On October 8, 2020, the last reported sale price of our ordinary shares on the Australian Securities Exchange was A$3.02 per ordinary share, equivalent to a price of US$17.26 per ADS, after giving effect to the Australian dollar/U.S. dollar exchange rate of A$1.3996 to US$1.00 as of October 8, 2020, and an ADS-to-ordinary share ratio of 1-to-8.</w:t>
      </w:r>
    </w:p>
    <w:p>
      <w:pPr>
        <w:spacing w:after="0" w:line="119"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The final offering price per ADS in U.S. dollars will be determined through negotiations between us and the representatives of the underwriters and will be based, in part, on prevailing market prices of our ordinary shares on the Australian Securities Exchange, after taking into account market conditions and other factors. For a discussion of the other factors considered in determining the final offering price per ADS,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135890</wp:posOffset>
            </wp:positionV>
            <wp:extent cx="11144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52" w:lineRule="exact"/>
        <w:rPr>
          <w:sz w:val="20"/>
          <w:szCs w:val="20"/>
          <w:color w:val="auto"/>
        </w:rPr>
      </w:pPr>
    </w:p>
    <w:p>
      <w:pPr>
        <w:ind w:left="5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ADSs involves a high degree of risk. See “</w:t>
      </w:r>
      <w:hyperlink w:anchor="page17">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12 of this prospectus.</w:t>
      </w:r>
    </w:p>
    <w:p>
      <w:pPr>
        <w:spacing w:after="0" w:line="156"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and, as such, have elected to comply with certain reduced public company reporting requirements.</w:t>
      </w:r>
    </w:p>
    <w:p>
      <w:pPr>
        <w:spacing w:after="0" w:line="89" w:lineRule="exact"/>
        <w:rPr>
          <w:sz w:val="20"/>
          <w:szCs w:val="20"/>
          <w:color w:val="auto"/>
        </w:rPr>
      </w:pPr>
    </w:p>
    <w:p>
      <w:pPr>
        <w:ind w:left="120" w:right="3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Neither the U.S. Securities and Exchange Commission nor any U.S.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126365</wp:posOffset>
            </wp:positionV>
            <wp:extent cx="11144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5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Per ADS</w:t>
            </w:r>
          </w:p>
        </w:tc>
        <w:tc>
          <w:tcPr>
            <w:tcW w:w="860" w:type="dxa"/>
            <w:vAlign w:val="bottom"/>
          </w:tcPr>
          <w:p>
            <w:pPr>
              <w:spacing w:after="0"/>
              <w:rPr>
                <w:sz w:val="14"/>
                <w:szCs w:val="14"/>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33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US$</w:t>
            </w:r>
          </w:p>
        </w:tc>
        <w:tc>
          <w:tcPr>
            <w:tcW w:w="18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Opthea Limited</w:t>
            </w:r>
            <w:r>
              <w:rPr>
                <w:rFonts w:ascii="Times New Roman" w:cs="Times New Roman" w:eastAsia="Times New Roman" w:hAnsi="Times New Roman"/>
                <w:sz w:val="11"/>
                <w:szCs w:val="11"/>
                <w:color w:val="auto"/>
              </w:rPr>
              <w:t>(1)</w:t>
            </w:r>
          </w:p>
        </w:tc>
        <w:tc>
          <w:tcPr>
            <w:tcW w:w="338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US$</w:t>
            </w:r>
          </w:p>
        </w:tc>
        <w:tc>
          <w:tcPr>
            <w:tcW w:w="18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4" w:lineRule="exact"/>
        <w:rPr>
          <w:sz w:val="20"/>
          <w:szCs w:val="20"/>
          <w:color w:val="auto"/>
        </w:rPr>
      </w:pPr>
    </w:p>
    <w:p>
      <w:pPr>
        <w:ind w:left="660" w:hanging="54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underwriters for certain expenses. See “Underwriting.”</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underwriters expect to deliver the ADSs to purchasers on or about</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2020 through the book-entry facilities of The Depository Trust</w:t>
            </w:r>
          </w:p>
        </w:tc>
      </w:tr>
      <w:tr>
        <w:trPr>
          <w:trHeight w:val="22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30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231"/>
        </w:trPr>
        <w:tc>
          <w:tcPr>
            <w:tcW w:w="4620" w:type="dxa"/>
            <w:vAlign w:val="bottom"/>
          </w:tcPr>
          <w:p>
            <w:pPr>
              <w:spacing w:after="0"/>
              <w:rPr>
                <w:sz w:val="20"/>
                <w:szCs w:val="20"/>
                <w:color w:val="auto"/>
              </w:rPr>
            </w:pPr>
          </w:p>
        </w:tc>
        <w:tc>
          <w:tcPr>
            <w:tcW w:w="1760" w:type="dxa"/>
            <w:vAlign w:val="bottom"/>
            <w:tcBorders>
              <w:bottom w:val="single" w:sz="8" w:color="auto"/>
            </w:tcBorders>
            <w:gridSpan w:val="2"/>
          </w:tcPr>
          <w:p>
            <w:pPr>
              <w:spacing w:after="0"/>
              <w:rPr>
                <w:sz w:val="20"/>
                <w:szCs w:val="20"/>
                <w:color w:val="auto"/>
              </w:rPr>
            </w:pPr>
          </w:p>
        </w:tc>
        <w:tc>
          <w:tcPr>
            <w:tcW w:w="4640" w:type="dxa"/>
            <w:vAlign w:val="bottom"/>
          </w:tcPr>
          <w:p>
            <w:pPr>
              <w:spacing w:after="0"/>
              <w:rPr>
                <w:sz w:val="20"/>
                <w:szCs w:val="20"/>
                <w:color w:val="auto"/>
              </w:rPr>
            </w:pPr>
          </w:p>
        </w:tc>
      </w:tr>
      <w:tr>
        <w:trPr>
          <w:trHeight w:val="383"/>
        </w:trPr>
        <w:tc>
          <w:tcPr>
            <w:tcW w:w="11020" w:type="dxa"/>
            <w:vAlign w:val="bottom"/>
            <w:gridSpan w:val="4"/>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Joint Book-Running Managers</w:t>
            </w:r>
          </w:p>
        </w:tc>
      </w:tr>
      <w:tr>
        <w:trPr>
          <w:trHeight w:val="451"/>
        </w:trPr>
        <w:tc>
          <w:tcPr>
            <w:tcW w:w="6080" w:type="dxa"/>
            <w:vAlign w:val="bottom"/>
            <w:gridSpan w:val="2"/>
          </w:tcPr>
          <w:p>
            <w:pPr>
              <w:spacing w:after="0"/>
              <w:rPr>
                <w:sz w:val="20"/>
                <w:szCs w:val="20"/>
                <w:color w:val="auto"/>
              </w:rPr>
            </w:pPr>
            <w:r>
              <w:rPr>
                <w:rFonts w:ascii="Times New Roman" w:cs="Times New Roman" w:eastAsia="Times New Roman" w:hAnsi="Times New Roman"/>
                <w:sz w:val="32"/>
                <w:szCs w:val="32"/>
                <w:b w:val="1"/>
                <w:bCs w:val="1"/>
                <w:color w:val="auto"/>
              </w:rPr>
              <w:t>Citigroup</w:t>
            </w:r>
          </w:p>
        </w:tc>
        <w:tc>
          <w:tcPr>
            <w:tcW w:w="300" w:type="dxa"/>
            <w:vAlign w:val="bottom"/>
          </w:tcPr>
          <w:p>
            <w:pPr>
              <w:spacing w:after="0"/>
              <w:rPr>
                <w:sz w:val="24"/>
                <w:szCs w:val="24"/>
                <w:color w:val="auto"/>
              </w:rPr>
            </w:pPr>
          </w:p>
        </w:tc>
        <w:tc>
          <w:tcPr>
            <w:tcW w:w="4640" w:type="dxa"/>
            <w:vAlign w:val="bottom"/>
          </w:tcPr>
          <w:p>
            <w:pPr>
              <w:ind w:left="2820"/>
              <w:spacing w:after="0"/>
              <w:rPr>
                <w:sz w:val="20"/>
                <w:szCs w:val="20"/>
                <w:color w:val="auto"/>
              </w:rPr>
            </w:pPr>
            <w:r>
              <w:rPr>
                <w:rFonts w:ascii="Times New Roman" w:cs="Times New Roman" w:eastAsia="Times New Roman" w:hAnsi="Times New Roman"/>
                <w:sz w:val="32"/>
                <w:szCs w:val="32"/>
                <w:b w:val="1"/>
                <w:bCs w:val="1"/>
                <w:color w:val="auto"/>
              </w:rPr>
              <w:t>SVB Leerink</w:t>
            </w:r>
          </w:p>
        </w:tc>
      </w:tr>
      <w:tr>
        <w:trPr>
          <w:trHeight w:val="346"/>
        </w:trPr>
        <w:tc>
          <w:tcPr>
            <w:tcW w:w="4620" w:type="dxa"/>
            <w:vAlign w:val="bottom"/>
          </w:tcPr>
          <w:p>
            <w:pPr>
              <w:spacing w:after="0"/>
              <w:rPr>
                <w:sz w:val="24"/>
                <w:szCs w:val="24"/>
                <w:color w:val="auto"/>
              </w:rPr>
            </w:pPr>
          </w:p>
        </w:tc>
        <w:tc>
          <w:tcPr>
            <w:tcW w:w="1460" w:type="dxa"/>
            <w:vAlign w:val="bottom"/>
          </w:tcPr>
          <w:p>
            <w:pPr>
              <w:jc w:val="center"/>
              <w:ind w:left="232"/>
              <w:spacing w:after="0"/>
              <w:rPr>
                <w:sz w:val="20"/>
                <w:szCs w:val="20"/>
                <w:color w:val="auto"/>
              </w:rPr>
            </w:pPr>
            <w:r>
              <w:rPr>
                <w:rFonts w:ascii="Times New Roman" w:cs="Times New Roman" w:eastAsia="Times New Roman" w:hAnsi="Times New Roman"/>
                <w:sz w:val="18"/>
                <w:szCs w:val="18"/>
                <w:i w:val="1"/>
                <w:iCs w:val="1"/>
                <w:color w:val="auto"/>
                <w:w w:val="96"/>
              </w:rPr>
              <w:t>Lead Managers</w:t>
            </w:r>
          </w:p>
        </w:tc>
        <w:tc>
          <w:tcPr>
            <w:tcW w:w="3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59"/>
        </w:trPr>
        <w:tc>
          <w:tcPr>
            <w:tcW w:w="608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auto"/>
              </w:rPr>
              <w:t>Oppenheimer &amp; Co.</w:t>
            </w:r>
          </w:p>
        </w:tc>
        <w:tc>
          <w:tcPr>
            <w:tcW w:w="300" w:type="dxa"/>
            <w:vAlign w:val="bottom"/>
          </w:tcPr>
          <w:p>
            <w:pPr>
              <w:spacing w:after="0"/>
              <w:rPr>
                <w:sz w:val="24"/>
                <w:szCs w:val="24"/>
                <w:color w:val="auto"/>
              </w:rPr>
            </w:pPr>
          </w:p>
        </w:tc>
        <w:tc>
          <w:tcPr>
            <w:tcW w:w="4640" w:type="dxa"/>
            <w:vAlign w:val="bottom"/>
          </w:tcPr>
          <w:p>
            <w:pPr>
              <w:ind w:left="2800"/>
              <w:spacing w:after="0"/>
              <w:rPr>
                <w:sz w:val="20"/>
                <w:szCs w:val="20"/>
                <w:color w:val="auto"/>
              </w:rPr>
            </w:pPr>
            <w:r>
              <w:rPr>
                <w:rFonts w:ascii="Times New Roman" w:cs="Times New Roman" w:eastAsia="Times New Roman" w:hAnsi="Times New Roman"/>
                <w:sz w:val="24"/>
                <w:szCs w:val="24"/>
                <w:b w:val="1"/>
                <w:bCs w:val="1"/>
                <w:color w:val="auto"/>
              </w:rPr>
              <w:t>Truist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133350</wp:posOffset>
            </wp:positionV>
            <wp:extent cx="1114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 2020.</w:t>
      </w:r>
    </w:p>
    <w:p>
      <w:pPr>
        <w:sectPr>
          <w:pgSz w:w="11900" w:h="16838" w:orient="portrait"/>
          <w:cols w:equalWidth="0" w:num="1">
            <w:col w:w="11140"/>
          </w:cols>
          <w:pgMar w:left="320" w:top="455" w:right="4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064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Prospectus Summary</w:t>
              </w:r>
            </w:hyperlink>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The Offering</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Summary Consolidated Financial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Special Note Regarding Forward-Looking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Industry and Market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Selected Consolidated Financial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Principal Shareholders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5">
              <w:r>
                <w:rPr>
                  <w:rFonts w:ascii="Times New Roman" w:cs="Times New Roman" w:eastAsia="Times New Roman" w:hAnsi="Times New Roman"/>
                  <w:sz w:val="18"/>
                  <w:szCs w:val="18"/>
                  <w:u w:val="single" w:color="auto"/>
                  <w:color w:val="0000EE"/>
                </w:rPr>
                <w:t>Description of Share Capital</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82">
              <w:r>
                <w:rPr>
                  <w:rFonts w:ascii="Times New Roman" w:cs="Times New Roman" w:eastAsia="Times New Roman" w:hAnsi="Times New Roman"/>
                  <w:sz w:val="18"/>
                  <w:szCs w:val="18"/>
                  <w:u w:val="single" w:color="auto"/>
                  <w:color w:val="0000EE"/>
                </w:rPr>
                <w:t>Description of American Depositary Shares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Shares and American Depositary 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2">
              <w:r>
                <w:rPr>
                  <w:rFonts w:ascii="Times New Roman" w:cs="Times New Roman" w:eastAsia="Times New Roman" w:hAnsi="Times New Roman"/>
                  <w:sz w:val="18"/>
                  <w:szCs w:val="18"/>
                  <w:u w:val="single" w:color="auto"/>
                  <w:color w:val="0000EE"/>
                </w:rPr>
                <w:t>Material United States Federal Income and Australian Tax Considerations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Enforcement of Civil Liabilities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Underwriting</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Expenses Relating to the Offering</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8"/>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Index to Consolidated Financial Statements</w:t>
              </w:r>
            </w:hyperlink>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147320</wp:posOffset>
            </wp:positionV>
            <wp:extent cx="11144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84"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and any free writing prospectus we prepare or authorize. We and the underwriters have not authorized anyone to provide you with different information. We and the underwriters take no responsibility for, and can provide no assurance as to the reliability of,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w:t>
      </w:r>
    </w:p>
    <w:p>
      <w:pPr>
        <w:spacing w:after="0" w:line="1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neither we nor any of the underwriters have done anything that would permit this offering or possession or distribution of this prospectus or any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offering of the ADSs and the distribution of this prospectus and any free writing prospectus outside the United States.</w:t>
      </w:r>
    </w:p>
    <w:p>
      <w:pPr>
        <w:spacing w:after="0" w:line="12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Australia, and a majority of our outstanding ordinary shares are owned by non-U.S. residents. Under the rules of the U.S. Securities and Exchange Commission, or the SEC, we are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reporting and functional currency is the Australian dollar, and our financial statements included elsewhere in this prospectus are presented in Australian dollars. The consolidated financial statements and related notes included elsewhere in this prospectus have been prepared under the International Financial Reporting Standards, or IFRS, as issued by the International Accounting Standards Board, or IASB, which differs in certain significant respects from U.S. Generally Accepted Accounting Principles, or GAAP.</w:t>
      </w:r>
    </w:p>
    <w:p>
      <w:pPr>
        <w:spacing w:after="0" w:line="122"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All references in this prospectus to “US$,” “U.S. dollars,” and “dollars” mean U.S. dollars and all references to “A$” mean Australian dollars, unless otherwise noted. Throughout this prospectus, all references to “ADSs” mean American depositary shares, each of which represents eight of our ordinary shares, no par value, and all references to “ADRs” mean the American depositary receipts that evidence the ADSs.</w:t>
      </w:r>
    </w:p>
    <w:p>
      <w:pPr>
        <w:spacing w:after="0" w:line="119" w:lineRule="exact"/>
        <w:rPr>
          <w:sz w:val="20"/>
          <w:szCs w:val="20"/>
          <w:color w:val="auto"/>
        </w:rPr>
      </w:pPr>
    </w:p>
    <w:p>
      <w:pPr>
        <w:ind w:left="120" w:right="40" w:firstLine="440"/>
        <w:spacing w:after="0" w:line="310" w:lineRule="auto"/>
        <w:rPr>
          <w:sz w:val="20"/>
          <w:szCs w:val="20"/>
          <w:color w:val="auto"/>
        </w:rPr>
      </w:pPr>
      <w:r>
        <w:rPr>
          <w:rFonts w:ascii="Times New Roman" w:cs="Times New Roman" w:eastAsia="Times New Roman" w:hAnsi="Times New Roman"/>
          <w:sz w:val="16"/>
          <w:szCs w:val="16"/>
          <w:color w:val="auto"/>
        </w:rPr>
        <w:t>This prospectus contains translations of some Australian dollar amounts into U.S. dollars. Except as otherwise stated in this prospectus, all translations from Australian dollars to U.S. dollars are based on the rate published by the Reserve Bank of Australia as of October 8, 2020. No representation is made that the Australian dollar amounts referred to in this prospectus could have been or could be converted into U.S. dollars at such rate.</w:t>
      </w:r>
    </w:p>
    <w:p>
      <w:pPr>
        <w:spacing w:after="0" w:line="8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“Opthea,” the Opthea logo and other trademarks or service marks of Opthea appearing in this prospectus are the property of Opthea or its subsidiary. Solely for convenience, the trademarks, service marks and trade names referred to in this prospectus are listed without the </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 thereto. All other trademarks, trade names and service marks appearing in this prospectus are the property of their respective owners.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320" w:top="455" w:right="5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67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2673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58"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the ADSs. You should read this entire prospectus, and the registration statement of which this prospectus is a part, including “Risk Factors,” “Management’s Discussion and Analysis of Financial Condition and Results of Operations,” and our consolidated financial statements and the related notes included elsewhere in this prospectus, before making an investment decision. Unless otherwise indicated or the context otherwise requires, “Opthea,” the “Company,” “our company,” “we,” “us” and “our” refer to Opthea Limited and its consolidated subsidiary, taken as a whole.</w:t>
      </w:r>
    </w:p>
    <w:p>
      <w:pPr>
        <w:spacing w:after="0" w:line="1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0" w:lineRule="exact"/>
        <w:rPr>
          <w:sz w:val="20"/>
          <w:szCs w:val="20"/>
          <w:color w:val="auto"/>
        </w:rPr>
      </w:pPr>
    </w:p>
    <w:p>
      <w:pPr>
        <w:ind w:left="300" w:firstLine="426"/>
        <w:spacing w:after="0" w:line="285" w:lineRule="auto"/>
        <w:rPr>
          <w:sz w:val="20"/>
          <w:szCs w:val="20"/>
          <w:color w:val="auto"/>
        </w:rPr>
      </w:pPr>
      <w:r>
        <w:rPr>
          <w:rFonts w:ascii="Times New Roman" w:cs="Times New Roman" w:eastAsia="Times New Roman" w:hAnsi="Times New Roman"/>
          <w:sz w:val="16"/>
          <w:szCs w:val="16"/>
          <w:color w:val="auto"/>
        </w:rPr>
        <w:t>We are a clinical stage biopharmaceutical company developing a novel therapy for the treatment of highly prevalent and progressive retinal diseases. We are developing our Phase 3-ready product candidate, OPT-302, a biologic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do not adequately respond to these treatments. As the only biologic inhibitor of VEGF-C and VEGF-D in clinical development, OPT-302 differs from standard of care therapies and when administered in combination with a VEGF-A inhibitor, is designed to achieve broader inhibition of the vascular endothelial growth factor, or VEGF, family and target a mechanism of clinical resistance to improve visual acuity. Our lead indication for OPT-302 combination therapy is wet AMD, a chronic, progressive disease and the leading cause of vision loss for individuals over the age of 50. In a 366-patient Phase 2b clinical trial for the treatment of wet AMD, 2.0 mg OPT-302, in combination with a standard of care anti-VEGF-A therapy, ranibizumab (Lucentis), met the primary endpoint of a statistically significant superior mean gain in visual acuity over ranibizumab monotherapy at week 24. We intend to initiate two pivotal Phase 3 clinical trials in treatment-naive patients with wet AMD to evaluate the efficacy and safety of OPT-302 in combination with anti-VEGF-A therapies compared to anti-VEGF-A monotherapy in the first half of 2021. We expect to report topline data from these Phase 3 clinical trials in 2023. In addition to our clinical trials in wet AMD, we have observed evidence of improved clinical outcomes in a Phase 1b/2a clinical trial of OPT-302 in combination with another standard of care anti-VEGF-A therapy, aflibercept (Eylea), in patients with treatment-refractory diabetic macular edema, or DME. We retain worldwide rights to develop and commercialize OPT-302 for the treatment of wet AMD and DME and believe that the novel treatment mechanism of OPT-302 has the potential to provide therapeutic benefit for other progressive eye diseases.</w:t>
      </w:r>
    </w:p>
    <w:p>
      <w:pPr>
        <w:spacing w:after="0" w:line="327"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Wet AMD is a rapidly progressing disease with loss of central vision developing over a period of weeks to months in which abnormal new blood vessels form in the back of the eye in a process called choroidal neovascularization. These newly formed vessels are highly permeable, leaking exudate leading to fluid accumulation and retinal lesion formation. This, in turn, adversely affects sensory cells in the retina and if left untreated, results in rapid loss of visual acuity.</w:t>
      </w:r>
    </w:p>
    <w:p>
      <w:pPr>
        <w:spacing w:after="0" w:line="122"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Wet AMD affects approximately one million people in the United States and 2.5 million people in Europe. The standard of care for wet AMD and other ocular neovascular diseases is the administration of monotherapies that primarily inhibit VEGF-A. These therapeutic agents, which include ranibizumab and aflibercept, prevent VEGF-A molecules from binding to, and activating, VEGF receptors and thereby inhibit the formation and permeability of blood vessels. As the risk of developing wet AMD increases with age, it is predicted that the overall aging of the population will result in a significant increase in the number of wet AMD cases, both in the United States and worldwide. Many wet AMD patients also experience suboptimal clinical responses despite</w:t>
      </w:r>
    </w:p>
    <w:p>
      <w:pPr>
        <w:spacing w:after="0" w:line="1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receiving one or both of the leading standard of care treatments, ranibizumab and aflibercept, which had combined annual worldwide sales of over US$11.9 billion in 2019. In addition, nearly half of wet AMD patients are treated with off-label bevacizumab as a lower cost alternative anti-VEGF-A therapy. As a result, we believe there is a significant and expanding market opportunity for novel therapies that can improve vision in patients with wet AMD, which has the potential to lead to sales greater than the combined annual sales of ranibizumab and aflibercept.</w:t>
      </w:r>
    </w:p>
    <w:p>
      <w:pPr>
        <w:spacing w:after="0" w:line="122"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OPT-302 is designed to address a deficiency in the treatment paradigm for wet AMD and other retinal diseases, such as DME, by targeting alternate members of the VEGF family, namely VEGF-C and VEGF-D, which are not targeted by current standard of care therapies. VEGF-C and VEGF-D function in parallel with VEGF-A to drive neovascularization and vascular leakage, which are key hallmarks of both wet AMD and DME. In addition, treatment with VEGF-A inhibitors leads to upregulation of VEGF-C and VEGF-D to compensate for VEGF-A inhibition, which may represent an important mechanism of clinical resistance to anti-VEGF-A monotherapy. We are developing OPT-302 to be used in combination with standard of care anti-VEGF-A monotherapies to achieve broader inhibition of the VEGF family, with the goal of improving overall efficacy and demonstrating superior vision gains over that which can be achieved by inhibiting VEGF-A alone.</w:t>
      </w:r>
    </w:p>
    <w:p>
      <w:pPr>
        <w:spacing w:after="0" w:line="127" w:lineRule="exact"/>
        <w:rPr>
          <w:sz w:val="20"/>
          <w:szCs w:val="20"/>
          <w:color w:val="auto"/>
        </w:rPr>
      </w:pPr>
    </w:p>
    <w:p>
      <w:pPr>
        <w:ind w:left="300" w:right="60" w:firstLine="426"/>
        <w:spacing w:after="0" w:line="252" w:lineRule="auto"/>
        <w:rPr>
          <w:sz w:val="20"/>
          <w:szCs w:val="20"/>
          <w:color w:val="auto"/>
        </w:rPr>
      </w:pPr>
      <w:r>
        <w:rPr>
          <w:rFonts w:ascii="Times New Roman" w:cs="Times New Roman" w:eastAsia="Times New Roman" w:hAnsi="Times New Roman"/>
          <w:sz w:val="18"/>
          <w:szCs w:val="18"/>
          <w:color w:val="auto"/>
        </w:rPr>
        <w:t>In our completed Phase 2b wet AMD clinical trial, 2.0 mg OPT-302 in combination with ranibizumab met the primary endpoint of a statistically significant superior mean gain in visual acuity at week 24 compared to patients treated with ranibizumab with a sham injection, which we refer to as ranibizumab monotherapy. The trial was an international, multi-center, double-masked trial in 366 treatment-naive patients with wet AMD. Patients were randomized into three groups and received intravitreal injections every four weeks of either 0.5 mg or 2.0 mg OPT-302 in combination with 0.5 mg ranibizumab or 0.5 mg ranibizumab monotherapy. Secondary endpoints in the trial included changes in retinal thickness and change in intraretinal and subretinal fluid. Results from such measures were generally consistent with the visual acuity gains observed in the trial. Our clinical experience to date, which includes administration of over 1,800 doses of OPT-302 to 399 patients with retinal disease for treatment periods of up to 24 weeks, indicates that OPT-302 intravitreal injections are well tolerated, with the incidence of treatment-emergent adverse events, or TEAEs, comparable to anti-VEGF-A monotherapy in our clinical trials. In the Phase 2b wet AMD clinical trial, OPT-302 was well tolerated with a very low incidence of ocular inflammation and no safety issues identified with addition of OPT-302 to ranibizumab intravitreal therapy. The incidence of ocular TEAEs was similar in OPT-302 combination groups compared to the ranibizumab monotherapy group. Three patients treated with OPT-302 combination therapy had potentially treatment-related serious adverse events, or SAEs: one case each of vitritis, endophthalmitis and myocardial infarction.</w:t>
      </w:r>
    </w:p>
    <w:p>
      <w:pPr>
        <w:spacing w:after="0" w:line="13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planning to initiate two concurrent pivotal Phase 3 clinical trials for the treatment of wet AMD. These double-masked, sham-controlled Phase 3 clinical trials will enroll treatment-naive patients and assess the efficacy and safety of 2.0 mg of OPT-302 in combination with ranibizumab (Lucentis) (referred to as the ShORe trial) or aflibercept (Eylea) (referred to as the COAST trial), compared to ranibizumab or aflibercept monotherapy in each respective trial. In addition, to understand the durability of OPT-302 treatment effect with less frequent dosing, each trial will compare the clinical efficacy of OPT-302 administered in combination with the applicable VEGF-A inhibitor on an every four-week and every eight-week dosing regimen. For consistency, the ShORe and COAST Phase 3 trials build upon and maintain key features of our Phase 2b clinical trial of OPT-302 combination therapy for the treatment of wet AMD, while evaluating the administration of OPT-302 combination therapy over a longer treatment period and in a greater number of patients. We expect to initiate the trials in the first half of 2021 and to report topline data in 2023. If the results at the completion of the primary efficacy phase at week 52 of the Phase 3 clinical trials are favorable, we intend to file for marketing approval for OPT-302 for the treatment of wet AMD in the United States, European Union and other territories.</w:t>
      </w:r>
    </w:p>
    <w:p>
      <w:pPr>
        <w:spacing w:after="0" w:line="127" w:lineRule="exact"/>
        <w:rPr>
          <w:sz w:val="20"/>
          <w:szCs w:val="20"/>
          <w:color w:val="auto"/>
        </w:rPr>
      </w:pPr>
    </w:p>
    <w:p>
      <w:pPr>
        <w:ind w:left="300" w:right="60" w:firstLine="426"/>
        <w:spacing w:after="0" w:line="262" w:lineRule="auto"/>
        <w:rPr>
          <w:sz w:val="20"/>
          <w:szCs w:val="20"/>
          <w:color w:val="auto"/>
        </w:rPr>
      </w:pPr>
      <w:r>
        <w:rPr>
          <w:rFonts w:ascii="Times New Roman" w:cs="Times New Roman" w:eastAsia="Times New Roman" w:hAnsi="Times New Roman"/>
          <w:sz w:val="18"/>
          <w:szCs w:val="18"/>
          <w:color w:val="auto"/>
        </w:rPr>
        <w:t>In addition to our planned pivotal Phase 3 clinical trials, we plan to develop a co-formulation of OPT-302 with an approved and/or biosimilar anti-VEGF-A therapy designed to achieve VEGF-A, VEGF-C and VEGF-D inhibition following the administration of a single intravitreal injection of the co-formulated product. OPT-302 is</w:t>
      </w:r>
    </w:p>
    <w:p>
      <w:pPr>
        <w:spacing w:after="0" w:line="1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064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30645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00" w:right="260"/>
        <w:spacing w:after="0" w:line="301" w:lineRule="auto"/>
        <w:rPr>
          <w:sz w:val="20"/>
          <w:szCs w:val="20"/>
          <w:color w:val="auto"/>
        </w:rPr>
      </w:pPr>
      <w:r>
        <w:rPr>
          <w:rFonts w:ascii="Times New Roman" w:cs="Times New Roman" w:eastAsia="Times New Roman" w:hAnsi="Times New Roman"/>
          <w:sz w:val="16"/>
          <w:szCs w:val="16"/>
          <w:color w:val="auto"/>
        </w:rPr>
        <w:t>currently administered as a combination therapy consisting of a sequential injection of OPT-302 following intravitreal administration of a VEGF-A inhibitor. We believe that a co-formulated OPT-302 and VEGF-A inhibitor product could provide flexibility of treatment options for physicians and reduce the frequency and number of injections for patients. We expect to file an investigative new drug application, or IND, for the co-formulated product in the second half of 2021 and subsequently investigate the co-formulated product in a Phase 1 clinical trial for the treatment of wet AMD.</w:t>
      </w:r>
    </w:p>
    <w:p>
      <w:pPr>
        <w:spacing w:after="0" w:line="90"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are also investigating the therapeutic potential of OPT-302 for DME. DME is a progressive eye disease and a complication of diabetic retinopathy, or DR, a condition caused by chronically elevated glucose levels in diabetics that damages the retina. DME can cause blurred vision, severe vision loss and blindness. Wet AMD and DME share a similar underlying pathophysiology, including retinal neovascularization and increased vascular permeability, and as a result, VEGF-A inhibitors are also considered the standard of care treatment for DME. Based on its mechanism of action and clinical results to date, we believe that OPT-302 also has the potential to deliver therapeutic benefit in DME patients. In our Phase 1b/2a clinical trial of OPT-302 in combination with aflibercept in patients with treatment-refractory DME, we observed evidence of improved clinical outcomes following OPT-302 combination therapy in this indication, as OPT-302 combination therapy met the primary efficacy endpoint based on the proportion of patients achieving a ³5 letter gain in visual acuity at week 12 compared to baseline. OPT-302 combination therapy was also well tolerated in this trial. The most common TEAEs were mainly related to the intravitreal injection procedure, and TEAEs did not lead to discontinuation of the trial for any patient. There was only one potentially treatment-related SAE of cerebrovascular accident, or stroke, resulting in one patient discontinuing treatment and withdrawing from the trial.</w:t>
      </w:r>
    </w:p>
    <w:p>
      <w:pPr>
        <w:spacing w:after="0" w:line="134"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We also believe that our novel treatment mechanism has the potential to provide therapeutic benefit for other progressive retinal diseases beyond wet AMD and DME. We may further investigate the efficacy of OPT-302 to improve clinical outcomes in patients with polypoidal choroidal vasculopathy, a form of wet AMD that is highly prevalent in Asian populations and less responsive to anti-VEGF-A therapy than other wet AMD subtypes. Beyond wet AMD and DME, we may explore applications of OPT-302 in other retinal diseases in which a VEGF-C or VEGF-D inhibitor could have therapeutic potential, such as retinal vein occlusion.</w:t>
      </w:r>
    </w:p>
    <w:p>
      <w:pPr>
        <w:spacing w:after="0" w:line="1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55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summarizes the stage of clinical development and status of our product candidate, OPT-302.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60" w:lineRule="exact"/>
        <w:rPr>
          <w:sz w:val="20"/>
          <w:szCs w:val="20"/>
          <w:color w:val="auto"/>
        </w:rPr>
      </w:pPr>
    </w:p>
    <w:p>
      <w:pPr>
        <w:ind w:left="300" w:right="280" w:firstLine="426"/>
        <w:spacing w:after="0" w:line="275" w:lineRule="auto"/>
        <w:rPr>
          <w:sz w:val="20"/>
          <w:szCs w:val="20"/>
          <w:color w:val="auto"/>
        </w:rPr>
      </w:pPr>
      <w:r>
        <w:rPr>
          <w:rFonts w:ascii="Times New Roman" w:cs="Times New Roman" w:eastAsia="Times New Roman" w:hAnsi="Times New Roman"/>
          <w:sz w:val="18"/>
          <w:szCs w:val="18"/>
          <w:color w:val="auto"/>
        </w:rPr>
        <w:t>Our goal is to become a leader in developing and commercializing therapeutics for the treatment of retinal diseases. The key elements of our strategy are to:</w:t>
      </w:r>
    </w:p>
    <w:p>
      <w:pPr>
        <w:spacing w:after="0" w:line="25" w:lineRule="exact"/>
        <w:rPr>
          <w:sz w:val="20"/>
          <w:szCs w:val="20"/>
          <w:color w:val="auto"/>
        </w:rPr>
      </w:pPr>
    </w:p>
    <w:p>
      <w:pPr>
        <w:ind w:left="900" w:hanging="1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OPT-302 through two concurrent Phase 3 trials for the treatment of wet AMD.</w:t>
      </w:r>
    </w:p>
    <w:p>
      <w:pPr>
        <w:spacing w:after="0" w:line="103"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OPT-302 administration and develop a co-formulation to reduce injection burden for patients and provide treatment flexibility.</w:t>
      </w:r>
    </w:p>
    <w:p>
      <w:pPr>
        <w:spacing w:after="0" w:line="103"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clinical development of OPT-302 in wet AMD, DME and other retinal diseases.</w:t>
      </w:r>
    </w:p>
    <w:p>
      <w:pPr>
        <w:spacing w:after="0" w:line="103"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Maximize the commercial potential of OPT-302 through commercialization independently and opportunistic collaborations with third parties.</w:t>
      </w:r>
    </w:p>
    <w:p>
      <w:pPr>
        <w:spacing w:after="0" w:line="2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Certain Preliminary Financial Information</w:t>
      </w:r>
    </w:p>
    <w:p>
      <w:pPr>
        <w:spacing w:after="0" w:line="160"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As of September 30, 2020, we had estimated cash and cash equivalents of approximately A$54.1 million (or approximately US$38.5 million, based on the Australian dollar/U.S. dollar exchange rate of A$1.4068 to US$1.00 as of September 30, 2020). This estimate of our cash and cash equivalents is preliminary and subject to completion, including the completion of customary financial statement closing and review procedures for the three months ended September 30, 2020. As a result, the unaudited preliminary cash and cash equivalents set forth above reflects our preliminary estimate with respect to such information, based on information currently available to management, and may vary from our actual financial position as of September 30, 2020. Further, this</w:t>
      </w:r>
    </w:p>
    <w:p>
      <w:pPr>
        <w:spacing w:after="0" w:line="13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5" w:right="6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5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3530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preliminary estimate is not a comprehensive statement or estimate of our financial results or financial condition as of and for the three months ended September 30, 2020. The unaudited preliminary cash and cash equivalents included herein has been prepared by, and is the responsibility of, management. Deloitte Touche Tohmatsu, our independent registered public accounting firm, has not audited, reviewed, compiled or performed any procedures with respect to the unaudited preliminary cash and cash equivalents set forth above. Accordingly, Deloitte Touche Tohmatsu does not express an opinion or any other form of assurance with respect thereto and assumes no responsibility for, and disclaims any association with, the unaudited preliminary cash and cash equivalents set forth above. This estimate should not be viewed as a substitute for financial statements prepared in accordance with IFRS and is not necessarily indicative of the results to be achieved in any future period. Accordingly, you should not place undue reliance on this preliminary estimate.</w:t>
      </w:r>
    </w:p>
    <w:p>
      <w:pPr>
        <w:spacing w:after="0" w:line="1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60" w:lineRule="exact"/>
        <w:rPr>
          <w:sz w:val="20"/>
          <w:szCs w:val="20"/>
          <w:color w:val="auto"/>
        </w:rPr>
      </w:pPr>
    </w:p>
    <w:p>
      <w:pPr>
        <w:ind w:left="300" w:right="220" w:firstLine="426"/>
        <w:spacing w:after="0" w:line="275"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“Risk Factors” and elsewhere in this prospectus. You should carefully consider these risks before making an investment. These risks include, among others, the following:</w:t>
      </w:r>
    </w:p>
    <w:p>
      <w:pPr>
        <w:spacing w:after="0" w:line="25" w:lineRule="exact"/>
        <w:rPr>
          <w:sz w:val="20"/>
          <w:szCs w:val="20"/>
          <w:color w:val="auto"/>
        </w:rPr>
      </w:pPr>
    </w:p>
    <w:p>
      <w:pPr>
        <w:jc w:val="both"/>
        <w:ind w:left="900" w:right="320" w:hanging="183"/>
        <w:spacing w:after="0" w:line="325" w:lineRule="auto"/>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clinical stage biopharmaceutical company with no products approved for commercial sale. We have incurred net losses since our inception, we expect to incur significant losses and increasing operating losses for the foreseeable future, and we may never be profitable.</w:t>
      </w:r>
    </w:p>
    <w:p>
      <w:pPr>
        <w:spacing w:after="0" w:line="1" w:lineRule="exact"/>
        <w:rPr>
          <w:rFonts w:ascii="Times New Roman" w:cs="Times New Roman" w:eastAsia="Times New Roman" w:hAnsi="Times New Roman"/>
          <w:sz w:val="16"/>
          <w:szCs w:val="16"/>
          <w:color w:val="auto"/>
        </w:rPr>
      </w:pPr>
    </w:p>
    <w:p>
      <w:pPr>
        <w:ind w:left="900" w:hanging="1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source of product revenue and may never become profitable.</w:t>
      </w:r>
    </w:p>
    <w:p>
      <w:pPr>
        <w:spacing w:after="0" w:line="103" w:lineRule="exact"/>
        <w:rPr>
          <w:rFonts w:ascii="Times New Roman" w:cs="Times New Roman" w:eastAsia="Times New Roman" w:hAnsi="Times New Roman"/>
          <w:sz w:val="18"/>
          <w:szCs w:val="18"/>
          <w:color w:val="auto"/>
        </w:rPr>
      </w:pPr>
    </w:p>
    <w:p>
      <w:pPr>
        <w:ind w:left="900" w:right="220" w:hanging="183"/>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which may not be available to us on acceptable terms, or at all. As a result, we may not complete the development and commercialization of OPT-302 or develop new product candidates.</w:t>
      </w:r>
    </w:p>
    <w:p>
      <w:pPr>
        <w:spacing w:after="0" w:line="25" w:lineRule="exact"/>
        <w:rPr>
          <w:rFonts w:ascii="Times New Roman" w:cs="Times New Roman" w:eastAsia="Times New Roman" w:hAnsi="Times New Roman"/>
          <w:sz w:val="18"/>
          <w:szCs w:val="18"/>
          <w:color w:val="auto"/>
        </w:rPr>
      </w:pPr>
    </w:p>
    <w:p>
      <w:pPr>
        <w:ind w:left="900" w:right="160" w:hanging="183"/>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substantially depends on the success of OPT-302, our only product candidate under clinical development, which has not completed a pivotal Phase 3 clinical trial. If we are unable to obtain regulatory approval for and successfully commercialize OPT-302 or any future product candidates, or we experience significant delays in doing so, our business will be harmed.</w:t>
      </w:r>
    </w:p>
    <w:p>
      <w:pPr>
        <w:spacing w:after="0" w:line="37" w:lineRule="exact"/>
        <w:rPr>
          <w:rFonts w:ascii="Times New Roman" w:cs="Times New Roman" w:eastAsia="Times New Roman" w:hAnsi="Times New Roman"/>
          <w:sz w:val="18"/>
          <w:szCs w:val="18"/>
          <w:color w:val="auto"/>
        </w:rPr>
      </w:pPr>
    </w:p>
    <w:p>
      <w:pPr>
        <w:ind w:left="900" w:right="80" w:hanging="183"/>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uncertain timelines and uncertain outcomes. Our clinical trials may fail to adequately demonstrate the safety and efficacy of OPT-302 or any future product candidates.</w:t>
      </w:r>
    </w:p>
    <w:p>
      <w:pPr>
        <w:spacing w:after="0" w:line="25"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experience delays in clinical testing, our commercial prospects will be harmed, our costs may increase and our business may be harmed.</w:t>
      </w:r>
    </w:p>
    <w:p>
      <w:pPr>
        <w:spacing w:after="0" w:line="126" w:lineRule="exact"/>
        <w:rPr>
          <w:rFonts w:ascii="Times New Roman" w:cs="Times New Roman" w:eastAsia="Times New Roman" w:hAnsi="Times New Roman"/>
          <w:sz w:val="16"/>
          <w:szCs w:val="16"/>
          <w:color w:val="auto"/>
        </w:rPr>
      </w:pPr>
    </w:p>
    <w:p>
      <w:pPr>
        <w:ind w:left="900" w:right="600" w:hanging="183"/>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in enrolling patients in our clinical trials, our clinical development activities could be delayed or otherwise negatively affected.</w:t>
      </w:r>
    </w:p>
    <w:p>
      <w:pPr>
        <w:spacing w:after="0" w:line="25" w:lineRule="exact"/>
        <w:rPr>
          <w:rFonts w:ascii="Times New Roman" w:cs="Times New Roman" w:eastAsia="Times New Roman" w:hAnsi="Times New Roman"/>
          <w:sz w:val="18"/>
          <w:szCs w:val="18"/>
          <w:color w:val="auto"/>
        </w:rPr>
      </w:pPr>
    </w:p>
    <w:p>
      <w:pPr>
        <w:ind w:left="900" w:right="480" w:hanging="183"/>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OPT-302 and any future product candidates may cause undesirable side effects or have other properties that could delay or prevent their regulatory approval or limit the commercial profile of an approved label.</w:t>
      </w:r>
    </w:p>
    <w:p>
      <w:pPr>
        <w:spacing w:after="0" w:line="25" w:lineRule="exact"/>
        <w:rPr>
          <w:rFonts w:ascii="Times New Roman" w:cs="Times New Roman" w:eastAsia="Times New Roman" w:hAnsi="Times New Roman"/>
          <w:sz w:val="18"/>
          <w:szCs w:val="18"/>
          <w:color w:val="auto"/>
        </w:rPr>
      </w:pPr>
    </w:p>
    <w:p>
      <w:pPr>
        <w:ind w:left="900" w:right="100" w:hanging="183"/>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Phase 3 pivotal clinical trials, the marketing approval process is expensive, time-consuming and uncertain and may prevent us or any future collaboration partners from obtaining approvals for the commercialization of OPT-302 for the treatment of wet AMD or any other indication as well as for any other product candidate we develop.</w:t>
      </w:r>
    </w:p>
    <w:p>
      <w:pPr>
        <w:spacing w:after="0" w:line="37" w:lineRule="exact"/>
        <w:rPr>
          <w:rFonts w:ascii="Times New Roman" w:cs="Times New Roman" w:eastAsia="Times New Roman" w:hAnsi="Times New Roman"/>
          <w:sz w:val="18"/>
          <w:szCs w:val="18"/>
          <w:color w:val="auto"/>
        </w:rPr>
      </w:pPr>
    </w:p>
    <w:p>
      <w:pPr>
        <w:ind w:left="900" w:right="200" w:hanging="183"/>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OPT-302 and any future product candidates may not achieve adequate market acceptance among physicians, patients, healthcare payors and others in the medical community necessary for commercial success.</w:t>
      </w:r>
    </w:p>
    <w:p>
      <w:pPr>
        <w:spacing w:after="0" w:line="25" w:lineRule="exact"/>
        <w:rPr>
          <w:rFonts w:ascii="Times New Roman" w:cs="Times New Roman" w:eastAsia="Times New Roman" w:hAnsi="Times New Roman"/>
          <w:sz w:val="18"/>
          <w:szCs w:val="18"/>
          <w:color w:val="auto"/>
        </w:rPr>
      </w:pPr>
    </w:p>
    <w:p>
      <w:pPr>
        <w:ind w:left="900" w:hanging="183"/>
        <w:spacing w:after="0" w:line="339" w:lineRule="auto"/>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efficacy, adverse events or undesirable side effects may emerge in clinical trials conducted by third parties with product candidates for wet AMD or DME, which could negatively affect our stock price, our ability to attract additional capital and our development program.</w:t>
      </w:r>
    </w:p>
    <w:p>
      <w:pPr>
        <w:spacing w:after="0" w:line="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50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900" w:right="28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completed clinical trials may not be predictive of future results. Data from our clinical trials to date may not be indicative of results obtained when these trials are completed or in later stage trials.</w:t>
      </w:r>
    </w:p>
    <w:p>
      <w:pPr>
        <w:spacing w:after="0" w:line="25" w:lineRule="exact"/>
        <w:rPr>
          <w:rFonts w:ascii="Times New Roman" w:cs="Times New Roman" w:eastAsia="Times New Roman" w:hAnsi="Times New Roman"/>
          <w:sz w:val="18"/>
          <w:szCs w:val="18"/>
          <w:color w:val="auto"/>
        </w:rPr>
      </w:pPr>
    </w:p>
    <w:p>
      <w:pPr>
        <w:ind w:left="900" w:right="16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5" w:lineRule="exact"/>
        <w:rPr>
          <w:rFonts w:ascii="Times New Roman" w:cs="Times New Roman" w:eastAsia="Times New Roman" w:hAnsi="Times New Roman"/>
          <w:sz w:val="18"/>
          <w:szCs w:val="18"/>
          <w:color w:val="auto"/>
        </w:rPr>
      </w:pPr>
    </w:p>
    <w:p>
      <w:pPr>
        <w:ind w:left="900" w:right="22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substantial competition, which may result in others discovering, developing or commercializing competing products before or more successfully than us.</w:t>
      </w:r>
    </w:p>
    <w:p>
      <w:pPr>
        <w:spacing w:after="0" w:line="25" w:lineRule="exact"/>
        <w:rPr>
          <w:rFonts w:ascii="Times New Roman" w:cs="Times New Roman" w:eastAsia="Times New Roman" w:hAnsi="Times New Roman"/>
          <w:sz w:val="18"/>
          <w:szCs w:val="18"/>
          <w:color w:val="auto"/>
        </w:rPr>
      </w:pPr>
    </w:p>
    <w:p>
      <w:pPr>
        <w:ind w:left="900" w:right="260" w:hanging="183"/>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by the effects of health epidemics, including the evolving effects of the COVID-19 pandemic, in regions where we or third parties on which we rely have significant manufacturing facilities, concentrations of clinical trial sites or other business operations.</w:t>
      </w:r>
    </w:p>
    <w:p>
      <w:pPr>
        <w:spacing w:after="0" w:line="37"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on, and expect to continue to rely on, third-party manufacturers to produce OPT-302 or any future product candidates.</w:t>
      </w:r>
    </w:p>
    <w:p>
      <w:pPr>
        <w:spacing w:after="0" w:line="103"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upon our ability to obtain and maintain intellectual property protection for our products and technologies.</w:t>
      </w:r>
    </w:p>
    <w:p>
      <w:pPr>
        <w:spacing w:after="0" w:line="103" w:lineRule="exact"/>
        <w:rPr>
          <w:rFonts w:ascii="Times New Roman" w:cs="Times New Roman" w:eastAsia="Times New Roman" w:hAnsi="Times New Roman"/>
          <w:sz w:val="18"/>
          <w:szCs w:val="18"/>
          <w:color w:val="auto"/>
        </w:rPr>
      </w:pPr>
    </w:p>
    <w:p>
      <w:pPr>
        <w:ind w:left="900" w:right="34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prior market for the ADSs and an active and liquid market for our securities may fail to develop, which could harm the market price of the ADSs.</w:t>
      </w:r>
    </w:p>
    <w:p>
      <w:pPr>
        <w:spacing w:after="0" w:line="25" w:lineRule="exact"/>
        <w:rPr>
          <w:rFonts w:ascii="Times New Roman" w:cs="Times New Roman" w:eastAsia="Times New Roman" w:hAnsi="Times New Roman"/>
          <w:sz w:val="18"/>
          <w:szCs w:val="18"/>
          <w:color w:val="auto"/>
        </w:rPr>
      </w:pPr>
    </w:p>
    <w:p>
      <w:pPr>
        <w:ind w:left="900" w:hanging="183"/>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negatively impacted.</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may be harmed.</w:t>
      </w:r>
    </w:p>
    <w:p>
      <w:pPr>
        <w:spacing w:after="0" w:line="15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0"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We were incorporated under the laws of Australia in 1984 under the name Circadian Technologies Limited. In 1985, we completed an initial public offering of our ordinary shares and the listing of our ordinary shares on the Australian Securities Exchange, or the ASX. In December 2015, we changed the name of our company to Opthea Limited. Our headquarters and registered offices are located at Suite 0403, Level 4, 650 Chapel Street, South Yarra, VIC 3141, Australia. Our telephone number is +61 3 9826 0399. Our agent for service of process in the United States is Corporation Service Company, located at 1180 Avenue of the Americas, Suite 210, New York, NY 10036. Our website address is www.opthea.com. The reference to our website is an inactive textual reference only and information contained in, or that can be assessed through, our website is not part of this prospectus.</w:t>
      </w:r>
    </w:p>
    <w:p>
      <w:pPr>
        <w:spacing w:after="0" w:line="1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60" w:lineRule="exact"/>
        <w:rPr>
          <w:sz w:val="20"/>
          <w:szCs w:val="20"/>
          <w:color w:val="auto"/>
        </w:rPr>
      </w:pPr>
    </w:p>
    <w:p>
      <w:pPr>
        <w:ind w:left="300" w:right="120" w:firstLine="426"/>
        <w:spacing w:after="0" w:line="262"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38" w:lineRule="exact"/>
        <w:rPr>
          <w:sz w:val="20"/>
          <w:szCs w:val="20"/>
          <w:color w:val="auto"/>
        </w:rPr>
      </w:pPr>
    </w:p>
    <w:p>
      <w:pPr>
        <w:ind w:left="900" w:right="440" w:hanging="183"/>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of Section 404 of the Sarbanes-Oxley Act of 2002, or the Sarbanes-Oxley Act, in the assessment of our internal controls over financial reporting; and</w:t>
      </w:r>
    </w:p>
    <w:p>
      <w:pPr>
        <w:spacing w:after="0" w:line="25" w:lineRule="exact"/>
        <w:rPr>
          <w:rFonts w:ascii="Times New Roman" w:cs="Times New Roman" w:eastAsia="Times New Roman" w:hAnsi="Times New Roman"/>
          <w:sz w:val="18"/>
          <w:szCs w:val="18"/>
          <w:color w:val="auto"/>
        </w:rPr>
      </w:pPr>
    </w:p>
    <w:p>
      <w:pPr>
        <w:ind w:left="900" w:right="160" w:hanging="183"/>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w:t>
      </w:r>
    </w:p>
    <w:p>
      <w:pPr>
        <w:spacing w:after="0" w:line="1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12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requirements of holding a non-binding advisory vote on executive compensation, including golden parachute compensation.</w:t>
      </w:r>
    </w:p>
    <w:p>
      <w:pPr>
        <w:spacing w:after="0" w:line="158" w:lineRule="exact"/>
        <w:rPr>
          <w:sz w:val="20"/>
          <w:szCs w:val="20"/>
          <w:color w:val="auto"/>
        </w:rPr>
      </w:pPr>
    </w:p>
    <w:p>
      <w:pPr>
        <w:ind w:left="300" w:right="140" w:firstLine="426"/>
        <w:spacing w:after="0" w:line="287" w:lineRule="auto"/>
        <w:rPr>
          <w:sz w:val="20"/>
          <w:szCs w:val="20"/>
          <w:color w:val="auto"/>
        </w:rPr>
      </w:pPr>
      <w:r>
        <w:rPr>
          <w:rFonts w:ascii="Times New Roman" w:cs="Times New Roman" w:eastAsia="Times New Roman" w:hAnsi="Times New Roman"/>
          <w:sz w:val="16"/>
          <w:szCs w:val="16"/>
          <w:color w:val="auto"/>
        </w:rPr>
        <w:t>We may take advantage of these exemptions until such time that we are no longer an emerging growth company. Accordingly, the information that we provide shareholders and holders of the ADSs may be different than you might obtain from other public companies. We will cease to be an emerging growth company upon the earliest to occur of (i) the last day of the fiscal year in which we have more than $1.07 billion in annual revenue;</w:t>
      </w:r>
    </w:p>
    <w:p>
      <w:pPr>
        <w:jc w:val="both"/>
        <w:ind w:left="300" w:right="340" w:hanging="2"/>
        <w:spacing w:after="0" w:line="255" w:lineRule="auto"/>
        <w:tabs>
          <w:tab w:leader="none" w:pos="5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qualify as a “large accelerated filer”; (iii) the date on which we have, during the previous three-year period, issued more than $1.0 billion in non-convertible debt securities; and (iv) the last day of the fiscal year in which the fifth anniversary of this offering occurs.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Section 7(a)(2)(B) of the Securities Act for complying with new or revised accounting standards. Given that we currently report and expect to continue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to report under IFRS, as issued by the IASB, we have irrevocably elected not to avail ourselves of this extended transition period and, as a result, we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 adopt new or revised accounting standards on the relevant dates on which adoption of such standards is required by the IASB.</w:t>
      </w:r>
    </w:p>
    <w:p>
      <w:pPr>
        <w:spacing w:after="0" w:line="1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also considered a “foreign private issuer” under U.S. securities laws. In our capacity as a foreign private issuer, we are exempt from certain rules under the Exchange Act that impose certain disclosure obligations and procedural requirements for proxy solicitations under Section 14 of the Exchange Act. In addition, our senior management, the members of our board of directors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27" w:lineRule="exact"/>
        <w:rPr>
          <w:sz w:val="20"/>
          <w:szCs w:val="20"/>
          <w:color w:val="auto"/>
        </w:rPr>
      </w:pPr>
    </w:p>
    <w:p>
      <w:pPr>
        <w:jc w:val="both"/>
        <w:ind w:left="300" w:right="120" w:firstLine="426"/>
        <w:spacing w:after="0" w:line="289" w:lineRule="auto"/>
        <w:rPr>
          <w:sz w:val="20"/>
          <w:szCs w:val="20"/>
          <w:color w:val="auto"/>
        </w:rPr>
      </w:pPr>
      <w:r>
        <w:rPr>
          <w:rFonts w:ascii="Times New Roman" w:cs="Times New Roman" w:eastAsia="Times New Roman" w:hAnsi="Times New Roman"/>
          <w:sz w:val="16"/>
          <w:szCs w:val="16"/>
          <w:color w:val="auto"/>
        </w:rPr>
        <w:t>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w:t>
      </w:r>
    </w:p>
    <w:p>
      <w:pPr>
        <w:spacing w:after="0" w:line="1" w:lineRule="exact"/>
        <w:rPr>
          <w:sz w:val="20"/>
          <w:szCs w:val="20"/>
          <w:color w:val="auto"/>
        </w:rPr>
      </w:pPr>
    </w:p>
    <w:p>
      <w:pPr>
        <w:ind w:left="300" w:right="400" w:hanging="2"/>
        <w:spacing w:after="0" w:line="260" w:lineRule="auto"/>
        <w:tabs>
          <w:tab w:leader="none" w:pos="5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members of board of directors or our senior management are U.S. citizens or residents; (ii) more than 50% of our assets are located in the United States; or (iii) our business is administered principally in the United States.</w:t>
      </w:r>
    </w:p>
    <w:p>
      <w:pPr>
        <w:spacing w:after="0" w:line="120" w:lineRule="exact"/>
        <w:rPr>
          <w:sz w:val="20"/>
          <w:szCs w:val="20"/>
          <w:color w:val="auto"/>
        </w:rPr>
      </w:pPr>
    </w:p>
    <w:p>
      <w:pPr>
        <w:ind w:left="300" w:right="140" w:firstLine="426"/>
        <w:spacing w:after="0" w:line="275" w:lineRule="auto"/>
        <w:rPr>
          <w:sz w:val="20"/>
          <w:szCs w:val="20"/>
          <w:color w:val="auto"/>
        </w:rPr>
      </w:pPr>
      <w:r>
        <w:rPr>
          <w:rFonts w:ascii="Times New Roman" w:cs="Times New Roman" w:eastAsia="Times New Roman" w:hAnsi="Times New Roman"/>
          <w:sz w:val="18"/>
          <w:szCs w:val="18"/>
          <w:color w:val="auto"/>
        </w:rPr>
        <w:t>We have taken advantage of certain reduced reporting and other requirements in this prospectus. Accordingly, the information contained herein may be different from the information you receive from other public companies.</w:t>
      </w:r>
    </w:p>
    <w:p>
      <w:pPr>
        <w:spacing w:after="0" w:line="1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6"/>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364"/>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ADSs offered by us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9,300,000 ADSs.</w:t>
            </w:r>
          </w:p>
        </w:tc>
      </w:tr>
      <w:tr>
        <w:trPr>
          <w:trHeight w:val="366"/>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 to purchase additional ADSs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underwriters have an option for a period of 30 days from the date of this prospectus to</w:t>
            </w:r>
          </w:p>
        </w:tc>
      </w:tr>
      <w:tr>
        <w:trPr>
          <w:trHeight w:val="228"/>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purchase up to 1,395,000 additional ADSs.</w:t>
            </w:r>
          </w:p>
        </w:tc>
      </w:tr>
      <w:tr>
        <w:trPr>
          <w:trHeight w:val="352"/>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Ordinary shares to be outstanding after this offering,</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343,557,769 shares (or 354,717,769 shares if the underwriters exercise their option to</w:t>
            </w:r>
          </w:p>
        </w:tc>
      </w:tr>
      <w:tr>
        <w:trPr>
          <w:trHeight w:val="228"/>
        </w:trPr>
        <w:tc>
          <w:tcPr>
            <w:tcW w:w="40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including shares underlying ADSs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purchase 1,395,000 additional ADSs in full).</w:t>
            </w:r>
          </w:p>
        </w:tc>
      </w:tr>
      <w:tr>
        <w:trPr>
          <w:trHeight w:val="366"/>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American depositary shares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Each ADS represents eight ordinary shares, no par value. The ADSs are issued by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depositary. You will have the rights of an ADS holder as provided in the deposit agreement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among us, the depositary and all owners and holders of ADSs issued thereunder.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depositary, through its custodian, will be the holder of the ordinary shares underlying the</w:t>
            </w:r>
          </w:p>
        </w:tc>
      </w:tr>
      <w:tr>
        <w:trPr>
          <w:trHeight w:val="228"/>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ADSs.</w:t>
            </w:r>
          </w:p>
        </w:tc>
      </w:tr>
      <w:tr>
        <w:trPr>
          <w:trHeight w:val="352"/>
        </w:trPr>
        <w:tc>
          <w:tcPr>
            <w:tcW w:w="4040" w:type="dxa"/>
            <w:vAlign w:val="bottom"/>
            <w:tcBorders>
              <w:left w:val="single" w:sz="8" w:color="auto"/>
            </w:tcBorders>
          </w:tcPr>
          <w:p>
            <w:pPr>
              <w:spacing w:after="0"/>
              <w:rPr>
                <w:sz w:val="24"/>
                <w:szCs w:val="24"/>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You may surrender your ADSs to the depositary for cancellation to receive the ordinary</w:t>
            </w:r>
          </w:p>
        </w:tc>
      </w:tr>
      <w:tr>
        <w:trPr>
          <w:trHeight w:val="228"/>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underlying your ADSs. The depositary will charge you a fee for such a cancellation.</w:t>
            </w:r>
          </w:p>
        </w:tc>
      </w:tr>
      <w:tr>
        <w:trPr>
          <w:trHeight w:val="352"/>
        </w:trPr>
        <w:tc>
          <w:tcPr>
            <w:tcW w:w="4040" w:type="dxa"/>
            <w:vAlign w:val="bottom"/>
            <w:tcBorders>
              <w:left w:val="single" w:sz="8" w:color="auto"/>
            </w:tcBorders>
          </w:tcPr>
          <w:p>
            <w:pPr>
              <w:spacing w:after="0"/>
              <w:rPr>
                <w:sz w:val="24"/>
                <w:szCs w:val="24"/>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may amend or terminate the deposit agreement for any reason without your consent. Any</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amendment that imposes or increases fees or charges or which materially prejudices any</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substantial existing right you have as an ADS holder will not become effective as to</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outstanding ADSs until 30 days after notice of the amendment is given to ADS holders. If an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amendment becomes effective, you will be bound by the deposit agreement as amended if</w:t>
            </w:r>
          </w:p>
        </w:tc>
      </w:tr>
      <w:tr>
        <w:trPr>
          <w:trHeight w:val="228"/>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you continue to hold your ADSs.</w:t>
            </w:r>
          </w:p>
        </w:tc>
      </w:tr>
      <w:tr>
        <w:trPr>
          <w:trHeight w:val="352"/>
        </w:trPr>
        <w:tc>
          <w:tcPr>
            <w:tcW w:w="4040" w:type="dxa"/>
            <w:vAlign w:val="bottom"/>
            <w:tcBorders>
              <w:left w:val="single" w:sz="8" w:color="auto"/>
            </w:tcBorders>
          </w:tcPr>
          <w:p>
            <w:pPr>
              <w:spacing w:after="0"/>
              <w:rPr>
                <w:sz w:val="24"/>
                <w:szCs w:val="24"/>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section titled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“Description of American Depositary Shares.” We also encourage you to read the deposit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agreement, which is filed as an exhibit to the registration statement of which this prospectus</w:t>
            </w:r>
          </w:p>
        </w:tc>
      </w:tr>
      <w:tr>
        <w:trPr>
          <w:trHeight w:val="228"/>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forms a part.</w:t>
            </w:r>
          </w:p>
        </w:tc>
      </w:tr>
      <w:tr>
        <w:trPr>
          <w:trHeight w:val="364"/>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Depositary</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366"/>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estimate that the net proceeds from the sale of the ADSs that we are selling in this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offering will be approximately US$146.4 million (or approximately US$168.8 million if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underwriters’ option to purchase additional ADSs is exercised in full), based upon an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assumed initial public offering price of US$17.26 per ADS, the U.S. dollar equivalent of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last reported sale price of our ordinary shares on the ASX on October 8, 2020, after giving</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 to the Australian dollar/U.S. dollar exchange rate of A$1.3996 to US$1.00 as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October 8, 2020, and an ADS-to-ordinary share ratio of 1-to-8, after deducting underwriting</w:t>
            </w:r>
          </w:p>
        </w:tc>
      </w:tr>
      <w:tr>
        <w:trPr>
          <w:trHeight w:val="227"/>
        </w:trPr>
        <w:tc>
          <w:tcPr>
            <w:tcW w:w="4040" w:type="dxa"/>
            <w:vAlign w:val="bottom"/>
            <w:tcBorders>
              <w:left w:val="single" w:sz="8" w:color="auto"/>
              <w:bottom w:val="single" w:sz="8" w:color="auto"/>
            </w:tcBorders>
          </w:tcPr>
          <w:p>
            <w:pPr>
              <w:spacing w:after="0"/>
              <w:rPr>
                <w:sz w:val="19"/>
                <w:szCs w:val="19"/>
                <w:color w:val="auto"/>
              </w:rPr>
            </w:pPr>
          </w:p>
        </w:tc>
        <w:tc>
          <w:tcPr>
            <w:tcW w:w="6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 us.</w:t>
            </w:r>
          </w:p>
        </w:tc>
      </w:tr>
      <w:tr>
        <w:trPr>
          <w:trHeight w:val="359"/>
        </w:trPr>
        <w:tc>
          <w:tcPr>
            <w:tcW w:w="4040" w:type="dxa"/>
            <w:vAlign w:val="bottom"/>
          </w:tcPr>
          <w:p>
            <w:pPr>
              <w:spacing w:after="0"/>
              <w:rPr>
                <w:sz w:val="24"/>
                <w:szCs w:val="24"/>
                <w:color w:val="auto"/>
              </w:rPr>
            </w:pPr>
          </w:p>
        </w:tc>
        <w:tc>
          <w:tcPr>
            <w:tcW w:w="69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33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43332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340" w:right="20"/>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and cash equivalents, to advance the clinical development of OPT-302 for the treatment of wet AMD, including the initiation of and reporting of top line data from two pivotal Phase 3 clinical trials, to advance the development of, and non-clinical studies for, a co-formulation of OPT-302 with an approved and/or biosimilar anti-VEGF-A therapy, and to fund other research and development activities for OPT-302 in potential additional indications, including DME, and for working capital and other general corporate purposes. See “Use of Proceeds” for additional information.</w:t>
      </w:r>
    </w:p>
    <w:p>
      <w:pPr>
        <w:sectPr>
          <w:pgSz w:w="11900" w:h="16838" w:orient="portrait"/>
          <w:cols w:equalWidth="0" w:num="1">
            <w:col w:w="10940"/>
          </w:cols>
          <w:pgMar w:left="320" w:top="455" w:right="639" w:bottom="1440" w:gutter="0" w:footer="0" w:header="0"/>
        </w:sectPr>
      </w:pP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See “Risk Factors” and the other information included in this prospectus for a discussion of the risks you should carefully consider before investing in the ADSs.</w:t>
      </w:r>
    </w:p>
    <w:p>
      <w:pPr>
        <w:spacing w:after="0" w:line="106"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6"/>
          <w:szCs w:val="16"/>
          <w:color w:val="auto"/>
        </w:rPr>
        <w:t>Proposed Nasdaq Global Select Market symbol for the</w:t>
      </w:r>
    </w:p>
    <w:p>
      <w:pPr>
        <w:spacing w:after="0" w:line="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“OPT”</w:t>
      </w:r>
    </w:p>
    <w:p>
      <w:pPr>
        <w:spacing w:after="0" w:line="410" w:lineRule="exact"/>
        <w:rPr>
          <w:sz w:val="20"/>
          <w:szCs w:val="20"/>
          <w:color w:val="auto"/>
        </w:rPr>
      </w:pPr>
    </w:p>
    <w:p>
      <w:pPr>
        <w:sectPr>
          <w:pgSz w:w="11900" w:h="16838" w:orient="portrait"/>
          <w:cols w:equalWidth="0" w:num="2">
            <w:col w:w="4140" w:space="20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Australian Securities Exchange symbol for our ordinary “OPT”</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shares</w:t>
      </w:r>
    </w:p>
    <w:p>
      <w:pPr>
        <w:spacing w:after="0" w:line="159" w:lineRule="exact"/>
        <w:rPr>
          <w:sz w:val="20"/>
          <w:szCs w:val="20"/>
          <w:color w:val="auto"/>
        </w:rPr>
      </w:pPr>
    </w:p>
    <w:p>
      <w:pPr>
        <w:ind w:left="300" w:right="1060" w:firstLine="426"/>
        <w:spacing w:after="0" w:line="275" w:lineRule="auto"/>
        <w:rPr>
          <w:sz w:val="20"/>
          <w:szCs w:val="20"/>
          <w:color w:val="auto"/>
        </w:rPr>
      </w:pPr>
      <w:r>
        <w:rPr>
          <w:rFonts w:ascii="Times New Roman" w:cs="Times New Roman" w:eastAsia="Times New Roman" w:hAnsi="Times New Roman"/>
          <w:sz w:val="18"/>
          <w:szCs w:val="18"/>
          <w:color w:val="auto"/>
        </w:rPr>
        <w:t>The number of ordinary shares (including ordinary shares underlying ADSs) that will be outstanding after this offering is based on 269,157,769 ordinary shares outstanding as of June 30, 2020, and excludes:</w:t>
      </w:r>
    </w:p>
    <w:p>
      <w:pPr>
        <w:spacing w:after="0" w:line="25" w:lineRule="exact"/>
        <w:rPr>
          <w:sz w:val="20"/>
          <w:szCs w:val="20"/>
          <w:color w:val="auto"/>
        </w:rPr>
      </w:pPr>
    </w:p>
    <w:p>
      <w:pPr>
        <w:ind w:left="900" w:right="260" w:hanging="183"/>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18,044,000 ordinary shares issuable upon the exercise of outstanding options as of June 30, 2020 with a weighted-average exercise price of A$0.68 per ordinary share under our equity incentive plans;</w:t>
      </w:r>
    </w:p>
    <w:p>
      <w:pPr>
        <w:spacing w:after="0" w:line="25" w:lineRule="exact"/>
        <w:rPr>
          <w:rFonts w:ascii="Times New Roman" w:cs="Times New Roman" w:eastAsia="Times New Roman" w:hAnsi="Times New Roman"/>
          <w:sz w:val="18"/>
          <w:szCs w:val="18"/>
          <w:color w:val="auto"/>
        </w:rPr>
      </w:pPr>
    </w:p>
    <w:p>
      <w:pPr>
        <w:ind w:left="900" w:right="100" w:hanging="183"/>
        <w:spacing w:after="0" w:line="296"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7,000,000 ordinary shares issuable upon the exercise of options that will be granted under our non-executive director share and option plan to certain of our non-employee directors upon approval of such options by our shareholders, of which (i) options to purchase 4,000,000 shares are subject to approval at our annual general meeting of shareholders for 2020 on October 12, 2020, at which time an exercise price per ordinary share will be determined for such options, and (ii) an option to purchase 3,000,000 shares will be subject to approval at a future meeting of shareholders following the completion of this offering (see “Management—Remuneration of Non-Employee Directors”); and</w:t>
      </w:r>
    </w:p>
    <w:p>
      <w:pPr>
        <w:spacing w:after="0" w:line="12" w:lineRule="exact"/>
        <w:rPr>
          <w:rFonts w:ascii="Times New Roman" w:cs="Times New Roman" w:eastAsia="Times New Roman" w:hAnsi="Times New Roman"/>
          <w:sz w:val="16"/>
          <w:szCs w:val="16"/>
          <w:color w:val="auto"/>
        </w:rPr>
      </w:pPr>
    </w:p>
    <w:p>
      <w:pPr>
        <w:ind w:left="900" w:hanging="1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12,446,777 ordinary shares reserved for future issuance under our Long Term Incentive Plan.</w:t>
      </w:r>
    </w:p>
    <w:p>
      <w:pPr>
        <w:spacing w:after="0" w:line="185" w:lineRule="exact"/>
        <w:rPr>
          <w:sz w:val="20"/>
          <w:szCs w:val="20"/>
          <w:color w:val="auto"/>
        </w:rPr>
      </w:pPr>
    </w:p>
    <w:p>
      <w:pPr>
        <w:ind w:left="300" w:firstLine="426"/>
        <w:spacing w:after="0" w:line="275" w:lineRule="auto"/>
        <w:rPr>
          <w:sz w:val="20"/>
          <w:szCs w:val="20"/>
          <w:color w:val="auto"/>
        </w:rPr>
      </w:pPr>
      <w:r>
        <w:rPr>
          <w:rFonts w:ascii="Times New Roman" w:cs="Times New Roman" w:eastAsia="Times New Roman" w:hAnsi="Times New Roman"/>
          <w:sz w:val="18"/>
          <w:szCs w:val="18"/>
          <w:color w:val="auto"/>
        </w:rPr>
        <w:t>In addition, unless we specifically state otherwise, all information in this prospectus assumes (i) no exercise by the underwriters of their option to purchase up to 1,395,000 additional ADSs and (ii) no exercise of outstanding options to purchase ordinary shares.</w:t>
      </w:r>
    </w:p>
    <w:p>
      <w:pPr>
        <w:spacing w:after="0" w:line="1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416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0"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consolidated financial and other data. The summary consolidated statement of profit or loss and other comprehensive income data for the years ended June 30, 2019 and 2020 have been derived from our audited consolidated financial statements included elsewhere in this prospectus. Our audited consolidated financial statements have been prepared in accordance with IFRS, as issued by the IASB, as of and for the years ended June 30, 2019 and 2020.</w:t>
      </w:r>
    </w:p>
    <w:p>
      <w:pPr>
        <w:spacing w:after="0" w:line="122" w:lineRule="exact"/>
        <w:rPr>
          <w:sz w:val="20"/>
          <w:szCs w:val="20"/>
          <w:color w:val="auto"/>
        </w:rPr>
      </w:pPr>
    </w:p>
    <w:p>
      <w:pPr>
        <w:jc w:val="both"/>
        <w:ind w:left="300" w:right="400" w:firstLine="426"/>
        <w:spacing w:after="0" w:line="262" w:lineRule="auto"/>
        <w:rPr>
          <w:sz w:val="20"/>
          <w:szCs w:val="20"/>
          <w:color w:val="auto"/>
        </w:rPr>
      </w:pPr>
      <w:r>
        <w:rPr>
          <w:rFonts w:ascii="Times New Roman" w:cs="Times New Roman" w:eastAsia="Times New Roman" w:hAnsi="Times New Roman"/>
          <w:sz w:val="18"/>
          <w:szCs w:val="18"/>
          <w:color w:val="auto"/>
        </w:rPr>
        <w:t>You should read the consolidated financial and other data set forth below in conjunction with our consolidated financial statements and the accompanying notes, the information in “Selected Consolidated Financial and Other Data” and the information in “Management’s Discussion and Analysis of Financial Condition and Results of Operations” contained elsewhere in this prospectus.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Consolidated Statement of Profit or Loss and Other Comprehensive Income Data</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6"/>
          </w:tcPr>
          <w:p>
            <w:pPr>
              <w:jc w:val="center"/>
              <w:ind w:right="238"/>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gridSpan w:val="5"/>
          </w:tcPr>
          <w:p>
            <w:pPr>
              <w:jc w:val="center"/>
              <w:ind w:right="133"/>
              <w:spacing w:after="0" w:line="126"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0"/>
              </w:rPr>
              <w:t>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0"/>
              </w:rPr>
              <w:t>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11"/>
                <w:szCs w:val="11"/>
                <w:color w:val="auto"/>
              </w:rPr>
              <w:t>(1)</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w w:val="94"/>
              </w:rPr>
              <w:t>(31,348)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(5,175)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w w:val="94"/>
              </w:rPr>
              <w:t>(35,547)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(25,062)</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w w:val="94"/>
              </w:rPr>
              <w:t>(20,910)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will not be reclassified subsequently to profit or loss: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Fair value gains on investments in financial assets</w:t>
            </w:r>
          </w:p>
        </w:tc>
        <w:tc>
          <w:tcPr>
            <w:tcW w:w="1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1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loss for the year</w:t>
            </w:r>
          </w:p>
        </w:tc>
        <w:tc>
          <w:tcPr>
            <w:tcW w:w="1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(20,650</w:t>
            </w:r>
          </w:p>
        </w:tc>
        <w:tc>
          <w:tcPr>
            <w:tcW w:w="320" w:type="dxa"/>
            <w:vAlign w:val="bottom"/>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(16,470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year is attributable to:</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Owners of the Company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w w:val="94"/>
              </w:rPr>
              <w:t>(20,650)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(16,470)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w w:val="94"/>
              </w:rPr>
              <w:t>(20,650)</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(16,470)</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per share attributable to Owners of the Company – basic and diluted (in cents)</w:t>
            </w:r>
          </w:p>
        </w:tc>
        <w:tc>
          <w:tcPr>
            <w:tcW w:w="1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0"/>
              </w:rPr>
              <w:t>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0"/>
              </w:rPr>
              <w:t>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700" w:right="220" w:hanging="402"/>
        <w:spacing w:after="0" w:line="26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primarily comprises finance income from interest on bank deposits, funding under a one-time Australian government grant from the Commonwealth Scientific and Industrial Research Organization during the year ended June 30, 2019, and funding under a one-time government grant from the Australian Tax Office during the year ended June 30, 2020.</w:t>
      </w:r>
    </w:p>
    <w:p>
      <w:pPr>
        <w:spacing w:after="0" w:line="1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733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37331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Data</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5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00" w:type="dxa"/>
            <w:vAlign w:val="bottom"/>
            <w:gridSpan w:val="3"/>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As of June 30, 2020</w:t>
            </w:r>
          </w:p>
        </w:tc>
      </w:tr>
      <w:tr>
        <w:trPr>
          <w:trHeight w:val="115"/>
        </w:trPr>
        <w:tc>
          <w:tcPr>
            <w:tcW w:w="50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left="238"/>
              <w:spacing w:after="0" w:line="115" w:lineRule="exact"/>
              <w:rPr>
                <w:sz w:val="20"/>
                <w:szCs w:val="20"/>
                <w:color w:val="auto"/>
              </w:rPr>
            </w:pPr>
            <w:r>
              <w:rPr>
                <w:rFonts w:ascii="Times New Roman" w:cs="Times New Roman" w:eastAsia="Times New Roman" w:hAnsi="Times New Roman"/>
                <w:sz w:val="13"/>
                <w:szCs w:val="13"/>
                <w:b w:val="1"/>
                <w:bCs w:val="1"/>
                <w:color w:val="auto"/>
                <w:w w:val="96"/>
              </w:rPr>
              <w:t>As</w:t>
            </w:r>
          </w:p>
        </w:tc>
        <w:tc>
          <w:tcPr>
            <w:tcW w:w="100" w:type="dxa"/>
            <w:vAlign w:val="bottom"/>
          </w:tcPr>
          <w:p>
            <w:pPr>
              <w:spacing w:after="0"/>
              <w:rPr>
                <w:sz w:val="10"/>
                <w:szCs w:val="10"/>
                <w:color w:val="auto"/>
              </w:rPr>
            </w:pPr>
          </w:p>
        </w:tc>
      </w:tr>
      <w:tr>
        <w:trPr>
          <w:trHeight w:val="176"/>
        </w:trPr>
        <w:tc>
          <w:tcPr>
            <w:tcW w:w="50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280" w:type="dxa"/>
            <w:vAlign w:val="bottom"/>
            <w:gridSpan w:val="2"/>
          </w:tcPr>
          <w:p>
            <w:pPr>
              <w:jc w:val="center"/>
              <w:ind w:left="138"/>
              <w:spacing w:after="0" w:line="176" w:lineRule="exact"/>
              <w:rPr>
                <w:sz w:val="20"/>
                <w:szCs w:val="20"/>
                <w:color w:val="auto"/>
              </w:rPr>
            </w:pPr>
            <w:r>
              <w:rPr>
                <w:rFonts w:ascii="Times New Roman" w:cs="Times New Roman" w:eastAsia="Times New Roman" w:hAnsi="Times New Roman"/>
                <w:sz w:val="12"/>
                <w:szCs w:val="12"/>
                <w:b w:val="1"/>
                <w:bCs w:val="1"/>
                <w:color w:val="auto"/>
              </w:rPr>
              <w:t>Adjusted</w:t>
            </w:r>
            <w:r>
              <w:rPr>
                <w:rFonts w:ascii="Times New Roman" w:cs="Times New Roman" w:eastAsia="Times New Roman" w:hAnsi="Times New Roman"/>
                <w:sz w:val="20"/>
                <w:szCs w:val="20"/>
                <w:b w:val="1"/>
                <w:bCs w:val="1"/>
                <w:color w:val="auto"/>
                <w:vertAlign w:val="superscript"/>
              </w:rPr>
              <w:t>(1)(2)</w:t>
            </w:r>
          </w:p>
        </w:tc>
      </w:tr>
      <w:tr>
        <w:trPr>
          <w:trHeight w:val="142"/>
        </w:trPr>
        <w:tc>
          <w:tcPr>
            <w:tcW w:w="50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400" w:type="dxa"/>
            <w:vAlign w:val="bottom"/>
            <w:tcBorders>
              <w:top w:val="single" w:sz="8" w:color="auto"/>
            </w:tcBorders>
            <w:gridSpan w:val="2"/>
          </w:tcPr>
          <w:p>
            <w:pPr>
              <w:jc w:val="right"/>
              <w:ind w:right="718"/>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36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A$  62,020</w:t>
            </w:r>
          </w:p>
        </w:tc>
        <w:tc>
          <w:tcPr>
            <w:tcW w:w="1280" w:type="dxa"/>
            <w:vAlign w:val="bottom"/>
            <w:gridSpan w:val="2"/>
            <w:shd w:val="clear" w:color="auto" w:fill="CCEEFF"/>
          </w:tcPr>
          <w:p>
            <w:pPr>
              <w:jc w:val="center"/>
              <w:ind w:left="138"/>
              <w:spacing w:after="0"/>
              <w:rPr>
                <w:sz w:val="20"/>
                <w:szCs w:val="20"/>
                <w:color w:val="auto"/>
              </w:rPr>
            </w:pPr>
            <w:r>
              <w:rPr>
                <w:rFonts w:ascii="Times New Roman" w:cs="Times New Roman" w:eastAsia="Times New Roman" w:hAnsi="Times New Roman"/>
                <w:sz w:val="18"/>
                <w:szCs w:val="18"/>
                <w:color w:val="auto"/>
              </w:rPr>
              <w:t>A$ 266,896</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1"/>
                <w:szCs w:val="11"/>
                <w:color w:val="auto"/>
              </w:rPr>
              <w:t>(3)</w:t>
            </w:r>
          </w:p>
        </w:tc>
        <w:tc>
          <w:tcPr>
            <w:tcW w:w="436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64,398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269,274</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36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71,887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276,763</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36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7,079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436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(102,589)</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(102,589)</w:t>
            </w:r>
          </w:p>
        </w:tc>
      </w:tr>
      <w:tr>
        <w:trPr>
          <w:trHeight w:val="228"/>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436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64,808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269,684</w:t>
            </w:r>
          </w:p>
        </w:tc>
        <w:tc>
          <w:tcPr>
            <w:tcW w:w="100" w:type="dxa"/>
            <w:vAlign w:val="bottom"/>
          </w:tcPr>
          <w:p>
            <w:pPr>
              <w:spacing w:after="0"/>
              <w:rPr>
                <w:sz w:val="19"/>
                <w:szCs w:val="19"/>
                <w:color w:val="auto"/>
              </w:rPr>
            </w:pPr>
          </w:p>
        </w:tc>
      </w:tr>
    </w:tbl>
    <w:p>
      <w:pPr>
        <w:spacing w:after="0" w:line="122" w:lineRule="exact"/>
        <w:rPr>
          <w:sz w:val="20"/>
          <w:szCs w:val="20"/>
          <w:color w:val="auto"/>
        </w:rPr>
      </w:pPr>
    </w:p>
    <w:p>
      <w:pPr>
        <w:ind w:left="700" w:right="20" w:hanging="402"/>
        <w:spacing w:after="0" w:line="285" w:lineRule="auto"/>
        <w:tabs>
          <w:tab w:leader="none" w:pos="7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 adjusted statement of financial position data give effect to our receipt of net proceeds from the issuance and sale of 9,300,000 ADSs at the assumed initial offering price of US$17.26 per ADS, the U.S. dollar equivalent of the last reported sale price of our ordinary shares on the ASX on October 8, 2020, after giving effect to the Australian dollar/U.S. dollar exchange rate of A$1.3996 to US$1.00 as of October 8, 2020, and an ADS-to-ordinary share ratio of 1-to-8, after deducting underwriting commissions and estimated offering expenses payable by us.</w:t>
      </w:r>
    </w:p>
    <w:p>
      <w:pPr>
        <w:spacing w:after="0" w:line="2" w:lineRule="exact"/>
        <w:rPr>
          <w:rFonts w:ascii="Times New Roman" w:cs="Times New Roman" w:eastAsia="Times New Roman" w:hAnsi="Times New Roman"/>
          <w:sz w:val="16"/>
          <w:szCs w:val="16"/>
          <w:color w:val="auto"/>
        </w:rPr>
      </w:pPr>
    </w:p>
    <w:p>
      <w:pPr>
        <w:ind w:left="700" w:right="20" w:hanging="402"/>
        <w:spacing w:after="0" w:line="250"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$1.00 increase (decrease) in the assumed initial public offering price of US$17.26 per ADS, the U.S. dollar equivalent of the last reported sale price of our ordinary shares on the ASX on October 8, 2020, after giving effect to the Australian dollar/U.S. dollar exchange rate of A$1.3996 to US$1.00 as of October 8, 2020, and an ADS-to-ordinary share ratio of 1-to-8, would increase (decrease) the amount of cash and cash equivalents, working capital, total assets and total equity by A$12.1 million (or US$8.6 million), assuming the number of ADSs offered by us, as set forth on the cover page of this prospectus, remains the same and after deducting underwriting discounts and commissions and estimated offering expenses payable by us. We may also increase or decrease the number of ADSs we are offering. An increase (decrease) of 1,000,000 in the number of ADSs we are offering would increase (decrease) the amount of cash and cash equivalents, working capital, total assets and total equity by A$22.5 million (or US$16.1 million), assuming the assumed initial public offering price per ADS remains the same and after deducting underwriting discounts and commissions. The as adjusted information is illustrative only and will be adjusted based on the actual initial public offering price and other terms of this offering determined at pricing.</w:t>
      </w:r>
    </w:p>
    <w:p>
      <w:pPr>
        <w:spacing w:after="0" w:line="3" w:lineRule="exact"/>
        <w:rPr>
          <w:rFonts w:ascii="Times New Roman" w:cs="Times New Roman" w:eastAsia="Times New Roman" w:hAnsi="Times New Roman"/>
          <w:sz w:val="18"/>
          <w:szCs w:val="18"/>
          <w:color w:val="auto"/>
        </w:rPr>
      </w:pPr>
    </w:p>
    <w:p>
      <w:pPr>
        <w:ind w:left="700" w:hanging="402"/>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1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the ADSs involves a high degree of risk. You should consider and read carefully all of the risks and uncertainties described below, as well as other information included in this prospectus, including our consolidated financial statements and related notes included elsewhere in this prospectus, before making an investment decision. If any of the following risks actually occur, it could harm our business, prospects, results of operations and financial condition. In such event, the trading price of the ADSs could decline and you might lose all or part of your investment.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75" w:lineRule="exact"/>
        <w:rPr>
          <w:sz w:val="20"/>
          <w:szCs w:val="20"/>
          <w:color w:val="auto"/>
        </w:rPr>
      </w:pPr>
    </w:p>
    <w:p>
      <w:pPr>
        <w:ind w:left="340"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biopharmaceutical company with no products approved for commercial sale. We have incurred net losses since our inception, we expect to incur significant losses and increasing operating losses for the foreseeable future, and we may never be profitable.</w:t>
      </w:r>
    </w:p>
    <w:p>
      <w:pPr>
        <w:spacing w:after="0" w:line="22" w:lineRule="exact"/>
        <w:rPr>
          <w:sz w:val="20"/>
          <w:szCs w:val="20"/>
          <w:color w:val="auto"/>
        </w:rPr>
      </w:pPr>
    </w:p>
    <w:p>
      <w:pPr>
        <w:ind w:left="120" w:firstLine="440"/>
        <w:spacing w:after="0" w:line="285" w:lineRule="auto"/>
        <w:rPr>
          <w:sz w:val="20"/>
          <w:szCs w:val="20"/>
          <w:color w:val="auto"/>
        </w:rPr>
      </w:pPr>
      <w:r>
        <w:rPr>
          <w:rFonts w:ascii="Times New Roman" w:cs="Times New Roman" w:eastAsia="Times New Roman" w:hAnsi="Times New Roman"/>
          <w:sz w:val="16"/>
          <w:szCs w:val="16"/>
          <w:color w:val="auto"/>
        </w:rPr>
        <w:t>We are a clinical stage biopharmaceutical company with no products approved for commercial sale. To date, our operations have been limited to organizing and staffing our company, business planning, raising capital, developing our product candidate, OPT-302, and licensing certain related technology, conducting research and development activities, including preclinical studies and clinical trials, and providing general and administrative support for these operations.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not generated any revenue from product sales to date, and we continue to incur significant research and development and other expenses related to our ongoing operations. We are not profitable and have incurred net losses since our inception. Our total comprehensive losses were $20.7 million and $16.5 million for the years ended June 30, 2019 and 2020. As of June 30, 2020, we had an accumulated loss of $102.6 million. We have spent, and expect to continue to spend, significant resources to fund research and development of, and seek regulatory approvals for, OPT-302 and any future product candidates. We expect to incur substantial and increasing operating losses over the next several years as our research, development, manufacturing and clinical trial activities increase. Additionally, if OPT-302 is approved for commercial sale, our commercialization expenses will increase significantly as we establish sales, marketing, distribution, manufacturing, supply chain and other commercial infrastructure. As a result, our accumulated losses will also increase significantly. We may encounter unforeseen expenses, difficulties, complications, delays and other unknown factors that may negatively affect our business. The size of our future net losses will depend, in part, on the rate of future growth of our expenses and our ability to generate revenue. Our prior losses and expected future losses have had and will continue to have a negative impact on our total (deficit) equity and working capital. The net losses we incur may fluctuate significantly from quarter-to-quarter such that a period-to-period comparison of our results of operations may not be a good indication of our future performance. Even if we eventually generate product revenue, we may never be profitable and, if we do achieve profitability, we may not be able to sustain or increase profitability on a quarterly or annual basis.</w:t>
      </w: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source of product revenue and may never become profitable.</w:t>
      </w:r>
    </w:p>
    <w:p>
      <w:pPr>
        <w:spacing w:after="0" w:line="81" w:lineRule="exact"/>
        <w:rPr>
          <w:sz w:val="20"/>
          <w:szCs w:val="20"/>
          <w:color w:val="auto"/>
        </w:rPr>
      </w:pPr>
    </w:p>
    <w:p>
      <w:pPr>
        <w:ind w:left="120" w:right="20" w:firstLine="440"/>
        <w:spacing w:after="0" w:line="293" w:lineRule="auto"/>
        <w:rPr>
          <w:sz w:val="20"/>
          <w:szCs w:val="20"/>
          <w:color w:val="auto"/>
        </w:rPr>
      </w:pPr>
      <w:r>
        <w:rPr>
          <w:rFonts w:ascii="Times New Roman" w:cs="Times New Roman" w:eastAsia="Times New Roman" w:hAnsi="Times New Roman"/>
          <w:sz w:val="16"/>
          <w:szCs w:val="16"/>
          <w:color w:val="auto"/>
        </w:rPr>
        <w:t>OPT-302 has not been approved for commercial sale, and we expect it to be several years before OPT-302 is approved, if ever, and we are able to commence sales of OPT-302. To date, we have not generated any revenue from the licensing or commercialization of OPT-302 and do not expect to receive revenue from it for a number of years, if ever. We will not be able to generate product revenue unless and until OPT-302 or any future product candidate, alone or with future partners, successfully completes clinical trials, receives regulatory approval and is successfully commercialized. Although we may seek to obtain revenue from collaboration or licensing agreements with third parties, we currently have no such agreements that could provide us with material, ongoing future revenue and we may never enter into any such agreements. Our ability to generate future product revenue</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OPT-302 or any future product candidates also depends on a number of additional factors, including our or our future partners’ ability to:</w:t>
      </w:r>
    </w:p>
    <w:p>
      <w:pPr>
        <w:spacing w:after="0" w:line="77" w:lineRule="exact"/>
        <w:rPr>
          <w:sz w:val="20"/>
          <w:szCs w:val="20"/>
          <w:color w:val="auto"/>
        </w:rPr>
      </w:pPr>
    </w:p>
    <w:p>
      <w:pPr>
        <w:ind w:left="760" w:right="560" w:hanging="212"/>
        <w:spacing w:after="0" w:line="275"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research and clinical development of OPT-302 and any future product candidates and obtain regulatory approvals for commercialization;</w:t>
      </w:r>
    </w:p>
    <w:p>
      <w:pPr>
        <w:spacing w:after="0" w:line="25" w:lineRule="exact"/>
        <w:rPr>
          <w:rFonts w:ascii="Times New Roman" w:cs="Times New Roman" w:eastAsia="Times New Roman" w:hAnsi="Times New Roman"/>
          <w:sz w:val="18"/>
          <w:szCs w:val="18"/>
          <w:color w:val="auto"/>
        </w:rPr>
      </w:pPr>
    </w:p>
    <w:p>
      <w:pPr>
        <w:ind w:left="760" w:hanging="212"/>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supply and manufacturing relationships with third parties, and ensure adequate and legally compliant manufacturing of bulk drug substances and drug products to maintain that supply, including any scale up of manufacturing processes for OPT-302 to support our planned Phase 3 clinical program of OPT-302 in combination with anti-vascular endothelial growth factor-A, or anti-VEGF-A, therapy for the treatment of wet age-related macular degeneration, or AMD;</w:t>
      </w:r>
    </w:p>
    <w:p>
      <w:pPr>
        <w:spacing w:after="0" w:line="41" w:lineRule="exact"/>
        <w:rPr>
          <w:rFonts w:ascii="Times New Roman" w:cs="Times New Roman" w:eastAsia="Times New Roman" w:hAnsi="Times New Roman"/>
          <w:sz w:val="18"/>
          <w:szCs w:val="18"/>
          <w:color w:val="auto"/>
        </w:rPr>
      </w:pPr>
    </w:p>
    <w:p>
      <w:pPr>
        <w:ind w:left="760" w:right="160" w:hanging="212"/>
        <w:spacing w:after="0" w:line="275"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future product candidates for which we obtain marketing approval, if any, and, if launched independently, successfully establish a sales force, marketing and distribution infrastructure;</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necessary safety data post-approval to ensure continued regulatory approval;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our future partners’ products, if any;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protect and enforce our intellectual property rights;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biologic product development, including that OPT-302 may not advance through development, achieve the endpoints of applicable clinical trials or receive approval for use in combination with one or more approved therapies, we are unable to predict the timing or amount of increased expenses, or if or when we will achieve or maintain profitability. In addition, our expenses could increase beyond expectations if we decide, or are required by the U.S. Food and Drug Administration, or the FDA, or comparable non-U.S. regulatory authorities, including the European Medicines Agency, or the EMA,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127"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Even if we generate revenue from the sale of any of our product candidates that may be approved, we may not become profitable and may need to obtain additional funding to continue operations. If we fail to become profitable or do not sustain profitability on a continuing basis, then we may be unable to continue our operations at planned levels and be forced to reduce our operations.</w:t>
      </w:r>
    </w:p>
    <w:p>
      <w:pPr>
        <w:spacing w:after="0" w:line="115" w:lineRule="exact"/>
        <w:rPr>
          <w:sz w:val="20"/>
          <w:szCs w:val="20"/>
          <w:color w:val="auto"/>
        </w:rPr>
      </w:pPr>
    </w:p>
    <w:p>
      <w:pPr>
        <w:ind w:left="340" w:right="2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which may not be available to us on acceptable terms, or at all. As a result, we may not complete the development and commercialization of OPT-302 or develop new product candidates.</w:t>
      </w:r>
    </w:p>
    <w:p>
      <w:pPr>
        <w:spacing w:after="0" w:line="2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As a clinical-stage biopharmaceutical company, our operations have consumed significant amounts of cash since our inception. We expect our research and development expenses to increase substantially in connection with our ongoing activities, particularly as we prepare to initiate our planned Phase 3 clinical trials of OPT-302 in combination with anti-VEGF-A therapy for the treatment of wet AMD and continue clinical development of OPT-302 in combination with aflibercept for the treatment of persistent diabetic macular edema, or DME, and other retinal diseases. Even if we are able to obtain regulatory approval for OPT-302 and any future product candidates that we may develop, we will require substantial additional capital to commercialize such product candidates.</w:t>
      </w:r>
    </w:p>
    <w:p>
      <w:pPr>
        <w:spacing w:after="0" w:line="125" w:lineRule="exact"/>
        <w:rPr>
          <w:sz w:val="20"/>
          <w:szCs w:val="20"/>
          <w:color w:val="auto"/>
        </w:rPr>
      </w:pPr>
    </w:p>
    <w:p>
      <w:pPr>
        <w:ind w:left="120" w:right="840" w:firstLine="440"/>
        <w:spacing w:after="0" w:line="275" w:lineRule="auto"/>
        <w:rPr>
          <w:sz w:val="20"/>
          <w:szCs w:val="20"/>
          <w:color w:val="auto"/>
        </w:rPr>
      </w:pPr>
      <w:r>
        <w:rPr>
          <w:rFonts w:ascii="Times New Roman" w:cs="Times New Roman" w:eastAsia="Times New Roman" w:hAnsi="Times New Roman"/>
          <w:sz w:val="18"/>
          <w:szCs w:val="18"/>
          <w:color w:val="auto"/>
        </w:rPr>
        <w:t>We believe that the net proceeds from this offering, together with our existing cash and cash equivalents, will fund our projected operating requirements until the third calendar quarter of 2023. Our forecast of the period</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41" w:lineRule="exact"/>
        <w:rPr>
          <w:sz w:val="20"/>
          <w:szCs w:val="20"/>
          <w:color w:val="auto"/>
        </w:rPr>
      </w:pPr>
    </w:p>
    <w:p>
      <w:pPr>
        <w:ind w:left="760" w:right="160" w:hanging="212"/>
        <w:spacing w:after="0" w:line="25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OPT-302 and any future product candidates we may develop, including whether the FDA or comparable non-U.S. regulatory authorities require additional clinical trials beyond our proposed Phase 3 clinical trials of OPT-302 in combination with anti-VEGF-A therapy for the treatment of wet AMD to support an approved label of OPT-302 in combination with multiple existing anti-VEGF-A therapies;</w:t>
      </w:r>
    </w:p>
    <w:p>
      <w:pPr>
        <w:spacing w:after="0" w:line="41" w:lineRule="exact"/>
        <w:rPr>
          <w:rFonts w:ascii="Times New Roman" w:cs="Times New Roman" w:eastAsia="Times New Roman" w:hAnsi="Times New Roman"/>
          <w:sz w:val="18"/>
          <w:szCs w:val="18"/>
          <w:color w:val="auto"/>
        </w:rPr>
      </w:pPr>
    </w:p>
    <w:p>
      <w:pPr>
        <w:ind w:left="760" w:right="80" w:hanging="212"/>
        <w:spacing w:after="0" w:line="26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additional clinical trials and studies to evaluate the potential for co-formulation of OPT-302 with approved and/or biosimilar forms of VEGF-A inhibitors to provide flexibility of treatment options for physicians and to reduce the frequency and number of injections for patients;</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non-U.S. regulatory authorities;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the costs of commercialization activities for OPT-302, or any other product candidate that receives regulatory approval;</w:t>
      </w:r>
    </w:p>
    <w:p>
      <w:pPr>
        <w:spacing w:after="0" w:line="103" w:lineRule="exact"/>
        <w:rPr>
          <w:rFonts w:ascii="Times New Roman" w:cs="Times New Roman" w:eastAsia="Times New Roman" w:hAnsi="Times New Roman"/>
          <w:sz w:val="18"/>
          <w:szCs w:val="18"/>
          <w:color w:val="auto"/>
        </w:rPr>
      </w:pPr>
    </w:p>
    <w:p>
      <w:pPr>
        <w:ind w:left="760" w:right="100" w:hanging="212"/>
        <w:spacing w:after="0" w:line="26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 including product pricing and adequate reimbursement by third-party payors;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03" w:lineRule="exact"/>
        <w:rPr>
          <w:rFonts w:ascii="Times New Roman" w:cs="Times New Roman" w:eastAsia="Times New Roman" w:hAnsi="Times New Roman"/>
          <w:sz w:val="18"/>
          <w:szCs w:val="18"/>
          <w:color w:val="auto"/>
        </w:rPr>
      </w:pPr>
    </w:p>
    <w:p>
      <w:pPr>
        <w:ind w:left="760" w:right="340" w:hanging="212"/>
        <w:spacing w:after="0" w:line="275"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OPT-302 and any future product candidates for which we may receive regulatory approval and that we determine to commercialize ourselves or in collaboration with our future partners;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with securities listed in both Australia and the United States.</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require additional capital to develop, obtain regulatory approval for and commercialize OPT-302 and any future product candidates. In particular, we will require additional capital to progress our ongoing and future planned clinical trials without delays, including payments in connection with the achievement of certain regulatory milestones. We do not have any committed external source of funds. We expect to finance future cash needs through public or private equity or debt offerings or collaborations. We also intend to continue to apply for tax incentives under the Research and Development Tax Incentive scheme provided by the Australian government. See “—Risks Related to Development and Commercialization of Our Product Candidates—We have received tax credits under the Research and Development Tax Incentive scheme in Australia that may become repayable if we did not or do not comply with the rules of the scheme, or we may become ineligible for tax credits in our current or future tax years, which could harm our business, financial condition and results of operations.” Additional capital may not be available in sufficient amounts or on reasonable terms, if at all. If we are not able to raise additional capital, we may not be able to expand our operations or otherwise capitalize on our business opportunities, and our business and financial condition will be negatively impacted.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holders purchasing ADSs in this offering, restrict our operations or require us to relinquish rights to our technologies or product candidates.</w:t>
      </w:r>
    </w:p>
    <w:p>
      <w:pPr>
        <w:spacing w:after="0" w:line="2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Holders purchasing ADSs in this offering could suffer dilution or be negatively affected by fixed payment obligations we may incur if we raise additional funds through the issuance of additional equity securities or debt. Further, these securities may have rights senior to those of our ordinary shares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negatively impact our ability to conduct our business. If we need to secure additional financing, such additional fundraising efforts may divert our management and research efforts from our day-to-day activities, which may negatively affect our ability to develop and commercialize OPT-302 and any future product candidates.</w:t>
      </w:r>
    </w:p>
    <w:p>
      <w:pPr>
        <w:spacing w:after="0" w:line="127" w:lineRule="exact"/>
        <w:rPr>
          <w:sz w:val="20"/>
          <w:szCs w:val="20"/>
          <w:color w:val="auto"/>
        </w:rPr>
      </w:pPr>
    </w:p>
    <w:p>
      <w:pPr>
        <w:jc w:val="both"/>
        <w:ind w:left="120" w:right="60" w:firstLine="440"/>
        <w:spacing w:after="0" w:line="310" w:lineRule="auto"/>
        <w:rPr>
          <w:sz w:val="20"/>
          <w:szCs w:val="20"/>
          <w:color w:val="auto"/>
        </w:rPr>
      </w:pPr>
      <w:r>
        <w:rPr>
          <w:rFonts w:ascii="Times New Roman" w:cs="Times New Roman" w:eastAsia="Times New Roman" w:hAnsi="Times New Roman"/>
          <w:sz w:val="16"/>
          <w:szCs w:val="16"/>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Our Product Candidates</w:t>
      </w:r>
    </w:p>
    <w:p>
      <w:pPr>
        <w:spacing w:after="0" w:line="75" w:lineRule="exact"/>
        <w:rPr>
          <w:sz w:val="20"/>
          <w:szCs w:val="20"/>
          <w:color w:val="auto"/>
        </w:rPr>
      </w:pPr>
    </w:p>
    <w:p>
      <w:pPr>
        <w:ind w:left="340" w:righ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substantially depends on the success of OPT-302, our only product candidate under clinical development, which has not completed a pivotal Phase 3 clinical trial. If we are unable to obtain regulatory approval for and successfully commercialize OPT-302 or any future product candidates, or we experience significant delays in doing so, our business will be harmed.</w:t>
      </w:r>
    </w:p>
    <w:p>
      <w:pPr>
        <w:spacing w:after="0" w:line="34"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6"/>
          <w:szCs w:val="16"/>
          <w:color w:val="auto"/>
        </w:rPr>
        <w:t>To date, the primary focus of our product development has been OPT-302 in combination with anti-VEGF-A therapy for the treatment of patients with wet AMD and DME. Currently, OPT-302 is our only product candidate under clinical development. This may make an investment in our company riskier than similar companies that have multiple product candidates in active development and that therefore may be able to better sustain a failure of a lead candidate. Successful continued development and ultimate regulatory approval of OPT-302 combination therapy for the treatment of wet AMD, DME or other indications is critical to the future success of our business. We have invested, and will continue to invest, a significant portion of our time and financial resources in the clinical development of OPT-302. If we cannot successfully develop, obtain regulatory approval for and commercialize OPT-302, we may not be able to continue our operations. The future regulatory and commercial success of OPT-302 is subject to a number of risks, including the following:</w:t>
      </w:r>
    </w:p>
    <w:p>
      <w:pPr>
        <w:spacing w:after="0" w:line="18" w:lineRule="exact"/>
        <w:rPr>
          <w:sz w:val="20"/>
          <w:szCs w:val="20"/>
          <w:color w:val="auto"/>
        </w:rPr>
      </w:pPr>
    </w:p>
    <w:p>
      <w:pPr>
        <w:ind w:left="760" w:right="300" w:hanging="212"/>
        <w:spacing w:after="0" w:line="27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financial and other resources to complete the necessary clinical trials for OPT-302, including, but not limited to, the pivotal clinical trials needed to obtain drug approval;</w:t>
      </w:r>
    </w:p>
    <w:p>
      <w:pPr>
        <w:spacing w:after="0" w:line="25" w:lineRule="exact"/>
        <w:rPr>
          <w:rFonts w:ascii="Times New Roman" w:cs="Times New Roman" w:eastAsia="Times New Roman" w:hAnsi="Times New Roman"/>
          <w:sz w:val="18"/>
          <w:szCs w:val="18"/>
          <w:color w:val="auto"/>
        </w:rPr>
      </w:pPr>
    </w:p>
    <w:p>
      <w:pPr>
        <w:ind w:left="760" w:right="280" w:hanging="212"/>
        <w:spacing w:after="0" w:line="27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adequate evidence from clinical trials of efficacy and safety for OPT-302 combination therapy for the treatment of wet AMD, DME or other indications;</w:t>
      </w:r>
    </w:p>
    <w:p>
      <w:pPr>
        <w:spacing w:after="0" w:line="25" w:lineRule="exact"/>
        <w:rPr>
          <w:rFonts w:ascii="Times New Roman" w:cs="Times New Roman" w:eastAsia="Times New Roman" w:hAnsi="Times New Roman"/>
          <w:sz w:val="18"/>
          <w:szCs w:val="18"/>
          <w:color w:val="auto"/>
        </w:rPr>
      </w:pPr>
    </w:p>
    <w:p>
      <w:pPr>
        <w:ind w:left="760" w:right="40" w:hanging="212"/>
        <w:spacing w:after="0" w:line="27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clinical trials for OPT-302, we may need to adjust our clinical trial procedures and may need additional clinical trial sites, which could delay our clinical trial progress;</w:t>
      </w:r>
    </w:p>
    <w:p>
      <w:pPr>
        <w:spacing w:after="0" w:line="25" w:lineRule="exact"/>
        <w:rPr>
          <w:rFonts w:ascii="Times New Roman" w:cs="Times New Roman" w:eastAsia="Times New Roman" w:hAnsi="Times New Roman"/>
          <w:sz w:val="18"/>
          <w:szCs w:val="18"/>
          <w:color w:val="auto"/>
        </w:rPr>
      </w:pPr>
    </w:p>
    <w:p>
      <w:pPr>
        <w:ind w:left="760" w:right="40" w:hanging="212"/>
        <w:spacing w:after="0" w:line="27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comparable non-U.S. regulatory authorities for marketing approval;</w:t>
      </w:r>
    </w:p>
    <w:p>
      <w:pPr>
        <w:spacing w:after="0" w:line="25" w:lineRule="exact"/>
        <w:rPr>
          <w:rFonts w:ascii="Times New Roman" w:cs="Times New Roman" w:eastAsia="Times New Roman" w:hAnsi="Times New Roman"/>
          <w:sz w:val="18"/>
          <w:szCs w:val="18"/>
          <w:color w:val="auto"/>
        </w:rPr>
      </w:pPr>
    </w:p>
    <w:p>
      <w:pPr>
        <w:ind w:left="760" w:right="440" w:hanging="212"/>
        <w:spacing w:after="0" w:line="27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implemented by clinical or regulatory agencies may change at any time and we cannot be certain what regulatory agencies may require in pivotal clinical trials for the approval of OPT-302;</w:t>
      </w:r>
    </w:p>
    <w:p>
      <w:pPr>
        <w:spacing w:after="0" w:line="25" w:lineRule="exact"/>
        <w:rPr>
          <w:rFonts w:ascii="Times New Roman" w:cs="Times New Roman" w:eastAsia="Times New Roman" w:hAnsi="Times New Roman"/>
          <w:sz w:val="18"/>
          <w:szCs w:val="18"/>
          <w:color w:val="auto"/>
        </w:rPr>
      </w:pPr>
    </w:p>
    <w:p>
      <w:pPr>
        <w:ind w:left="760" w:right="220" w:hanging="212"/>
        <w:spacing w:after="0" w:line="27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later stage clinical trials may not be as favorable as the results we have observed to date in our preclinical studies and early clinical trials;</w:t>
      </w:r>
    </w:p>
    <w:p>
      <w:pPr>
        <w:spacing w:after="0" w:line="25" w:lineRule="exact"/>
        <w:rPr>
          <w:rFonts w:ascii="Times New Roman" w:cs="Times New Roman" w:eastAsia="Times New Roman" w:hAnsi="Times New Roman"/>
          <w:sz w:val="18"/>
          <w:szCs w:val="18"/>
          <w:color w:val="auto"/>
        </w:rPr>
      </w:pPr>
    </w:p>
    <w:p>
      <w:pPr>
        <w:ind w:left="760" w:right="280" w:hanging="212"/>
        <w:spacing w:after="0" w:line="27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number and type of clinical trials and non-clinical studies that the FDA or comparable non-U.S. regulatory agencies will require in order to approve OPT-302 combination therapy</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600"/>
        <w:spacing w:after="0" w:line="275" w:lineRule="auto"/>
        <w:rPr>
          <w:sz w:val="20"/>
          <w:szCs w:val="20"/>
          <w:color w:val="auto"/>
        </w:rPr>
      </w:pPr>
      <w:r>
        <w:rPr>
          <w:rFonts w:ascii="Times New Roman" w:cs="Times New Roman" w:eastAsia="Times New Roman" w:hAnsi="Times New Roman"/>
          <w:sz w:val="18"/>
          <w:szCs w:val="18"/>
          <w:color w:val="auto"/>
        </w:rPr>
        <w:t>for the treatment of wet AMD, DME or any other indication, including an approved label for use of OPT-302 in combination with multiple anti-VEGF-A therapies for the treatment of wet AMD;</w:t>
      </w:r>
    </w:p>
    <w:p>
      <w:pPr>
        <w:spacing w:after="0" w:line="25" w:lineRule="exact"/>
        <w:rPr>
          <w:sz w:val="20"/>
          <w:szCs w:val="20"/>
          <w:color w:val="auto"/>
        </w:rPr>
      </w:pPr>
    </w:p>
    <w:p>
      <w:pPr>
        <w:ind w:left="760" w:right="60" w:hanging="212"/>
        <w:spacing w:after="0" w:line="27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 continued acceptable safety profile of our products following approval, including when used in combination with existing therapies;</w:t>
      </w:r>
    </w:p>
    <w:p>
      <w:pPr>
        <w:spacing w:after="0" w:line="126"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Of the large number of drugs in development in the pharmaceutical industry, only a small percentage result in the submission of a new drug application or a biologics license application, or BLA, to the FDA and even fewer are approved for commercialization. Furthermore, even if we do receive regulatory approval to market OPT-302,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OPT-302. If we or any of our future development collaborators are unable to develop, or obtain regulatory approval for, or, if approved, successfully commercialize OPT-302, we may not be able to generate sufficient revenue to continue our business.</w:t>
      </w:r>
    </w:p>
    <w:p>
      <w:pPr>
        <w:spacing w:after="0" w:line="127" w:lineRule="exact"/>
        <w:rPr>
          <w:sz w:val="20"/>
          <w:szCs w:val="20"/>
          <w:color w:val="auto"/>
        </w:rPr>
      </w:pPr>
    </w:p>
    <w:p>
      <w:pPr>
        <w:ind w:left="340"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Our clinical trials may fail to adequately demonstrate the safety and efficacy of OPT-302 or any future product candidates.</w:t>
      </w:r>
    </w:p>
    <w:p>
      <w:pPr>
        <w:spacing w:after="0" w:line="2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OPT-302 and any future product candidates will be subject to rigorous and extensive clinical trials and extensive regulatory approval processes implemented by the FDA and comparable non-U.S. regulatory authorities before obtaining marketing approval from these regulatory authorities. The drug development and approval process is lengthy and expensive, and approval is never certain. Investigational new drugs, such as OPT-302, may not prove to be safe and effective in clinical trials. We have no direct experience as a company in conducting pivotal stage clinical trials required to obtain regulatory approval. We may be unable to conduct clinical trials at preferred sites, enlist clinical investigators, enroll sufficient numbers of participants or begin or successfully complete clinical trials in a timely fashion, if at all. In addition, the design of a clinical trial can determine whether its results will support approval of a product, and flaws in the design of a clinical trial may not become apparent until the clinical trial is well advanced.</w:t>
      </w:r>
    </w:p>
    <w:p>
      <w:pPr>
        <w:spacing w:after="0" w:line="12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protocols for our planned Phase 3 clinical trials for OPT-302 in combination with anti-VEGF-A therapy are subject to review by the FDA and comparable non-U.S. regulatory authorities. The FDA is not obligated to comment on our protocols within any specified time period or at all or to affirmatively clear or approve our Phase 3 clinical program. We have submitted summaries of the protocols for our Phase 3 clinical trials to the FDA and comparable non-U.S. regulatory authorities, including the EMA. The FDA or other regulatory authorities may request additional information, require us to conduct additional non-clinical trials or require us to modify our proposed Phase 3 clinical program, including its endpoints, patient enrollment criteria or selection of anti-VEGF-A therapies, to receive clearance to initiate such program or to continue such program once initiated. In addition, the FDA or other regulatory authorities may disagree with all or a portion of our proposed trial protocols, including whether our Phase 3 clinical trial protocol is sufficient for approval of OPT-302 in</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8"/>
          <w:szCs w:val="18"/>
          <w:color w:val="auto"/>
        </w:rPr>
        <w:t>combination with two or more approved anti-VEGF-A therapies for the treatment of wet AMD. Any such limitations could reduce the market acceptance of OPT-302 and harm our business, financial condition and results of operations.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delays in clinical testing, our commercial prospects will be harmed, our costs may increase and our business may be harmed.</w:t>
      </w:r>
    </w:p>
    <w:p>
      <w:pPr>
        <w:spacing w:after="0" w:line="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Conducting clinical studies for any product candidates in the United States requires filing an investigational new drug application, or IND, and reaching agreement with the FDA on clinical protocols, finding appropriate clinical sites and clinical investigators, securing approvals for such studies from the institutional review board at each such site, manufacturing clinical quantities of product candidates and supplying drug product to clinical sites. Currently, we have an active IND with the FDA in the United States for OPT-302. If any such future IND is not approved by the FDA, our clinical development timeline may be negatively impacted and any future clinical programs may be delayed or terminated.</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cannot guarantee that we will be able to successfully accomplish required regulatory activities or all of the other activities necessary to initiate and complete clinical trials. As a result, our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OPT-302 and any future product candidates or allow our competitors to bring products to market before we do, which would impair our ability to successfully commercialize OPT-302 or any future product candidates and may harm our business, results of operations and prospects. Events that may result in a delay or unsuccessful completion of clinical development include:</w:t>
      </w:r>
    </w:p>
    <w:p>
      <w:pPr>
        <w:spacing w:after="0" w:line="50" w:lineRule="exact"/>
        <w:rPr>
          <w:sz w:val="20"/>
          <w:szCs w:val="20"/>
          <w:color w:val="auto"/>
        </w:rPr>
      </w:pPr>
    </w:p>
    <w:p>
      <w:pPr>
        <w:ind w:left="760" w:hanging="21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financial resources to commence and completed planned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or CROs, and clinical trial sites;</w:t>
      </w:r>
    </w:p>
    <w:p>
      <w:pPr>
        <w:spacing w:after="0" w:line="103" w:lineRule="exact"/>
        <w:rPr>
          <w:rFonts w:ascii="Times New Roman" w:cs="Times New Roman" w:eastAsia="Times New Roman" w:hAnsi="Times New Roman"/>
          <w:sz w:val="18"/>
          <w:szCs w:val="18"/>
          <w:color w:val="auto"/>
        </w:rPr>
      </w:pPr>
    </w:p>
    <w:p>
      <w:pPr>
        <w:ind w:left="760" w:right="480" w:hanging="212"/>
        <w:spacing w:after="0" w:line="27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labeling, including adding limitations on approved uses or the additions of additional warnings, contraindications or other safety information including boxed warnings;</w:t>
      </w:r>
    </w:p>
    <w:p>
      <w:pPr>
        <w:spacing w:after="0" w:line="25" w:lineRule="exact"/>
        <w:rPr>
          <w:rFonts w:ascii="Times New Roman" w:cs="Times New Roman" w:eastAsia="Times New Roman" w:hAnsi="Times New Roman"/>
          <w:sz w:val="18"/>
          <w:szCs w:val="18"/>
          <w:color w:val="auto"/>
        </w:rPr>
      </w:pPr>
    </w:p>
    <w:p>
      <w:pPr>
        <w:ind w:left="760" w:right="80" w:hanging="212"/>
        <w:spacing w:after="0" w:line="27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with the FDA or comparable non-U.S. regulatory authorities regarding the scope or design of our clinical trials, including our planned pivotal Phase 3 clinical trials of OPT-302 in combination with anti-VEGF-A therapy for the treatment of wet AMD;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deviations from the trial protocol by clinical trial sites and investigators, or failures to conduct the trial in accordance with regulatory requirements;</w:t>
      </w:r>
    </w:p>
    <w:p>
      <w:pPr>
        <w:spacing w:after="0" w:line="126" w:lineRule="exact"/>
        <w:rPr>
          <w:rFonts w:ascii="Times New Roman" w:cs="Times New Roman" w:eastAsia="Times New Roman" w:hAnsi="Times New Roman"/>
          <w:sz w:val="16"/>
          <w:szCs w:val="16"/>
          <w:color w:val="auto"/>
        </w:rPr>
      </w:pPr>
    </w:p>
    <w:p>
      <w:pPr>
        <w:ind w:left="760" w:right="280" w:hanging="212"/>
        <w:spacing w:after="0" w:line="27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repeat clinical trials as a result of inconclusive or negative results or poorly executed testing or changes in required endpoints by the FDA or comparable non-U.S. authorities;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inspection and review of a clinical trial site or records of any clinical or preclinical investigation;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of a clinical hold on a clinical trial by the FDA or comparable non-U.S. authorities;</w:t>
      </w:r>
    </w:p>
    <w:p>
      <w:pPr>
        <w:spacing w:after="0" w:line="103" w:lineRule="exact"/>
        <w:rPr>
          <w:rFonts w:ascii="Times New Roman" w:cs="Times New Roman" w:eastAsia="Times New Roman" w:hAnsi="Times New Roman"/>
          <w:sz w:val="18"/>
          <w:szCs w:val="18"/>
          <w:color w:val="auto"/>
        </w:rPr>
      </w:pPr>
    </w:p>
    <w:p>
      <w:pPr>
        <w:ind w:left="760" w:right="540" w:hanging="212"/>
        <w:spacing w:after="0" w:line="27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such as CROs, to satisfy their contractual duties to us or meet expected deadlines;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the product candidates to the clinical sites;</w:t>
      </w:r>
    </w:p>
    <w:p>
      <w:pPr>
        <w:spacing w:after="0" w:line="103" w:lineRule="exact"/>
        <w:rPr>
          <w:rFonts w:ascii="Times New Roman" w:cs="Times New Roman" w:eastAsia="Times New Roman" w:hAnsi="Times New Roman"/>
          <w:sz w:val="18"/>
          <w:szCs w:val="18"/>
          <w:color w:val="auto"/>
        </w:rPr>
      </w:pPr>
    </w:p>
    <w:p>
      <w:pPr>
        <w:ind w:left="760" w:right="100" w:hanging="212"/>
        <w:spacing w:after="0" w:line="27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deficient quality of product candidate materials or other materials necessary to conduct our clinical trials, including of drugs to be used in the proposed combination therapy with our product candidates;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participants into our clinical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patients completing a trial or returning for post-treatment follow-up;</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patients dropping out of a trial due to side effects, disease progression or otherwise;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adverse effects experienced by participants in our clinical trials;</w:t>
      </w:r>
    </w:p>
    <w:p>
      <w:pPr>
        <w:spacing w:after="0" w:line="103" w:lineRule="exact"/>
        <w:rPr>
          <w:rFonts w:ascii="Times New Roman" w:cs="Times New Roman" w:eastAsia="Times New Roman" w:hAnsi="Times New Roman"/>
          <w:sz w:val="18"/>
          <w:szCs w:val="18"/>
          <w:color w:val="auto"/>
        </w:rPr>
      </w:pPr>
    </w:p>
    <w:p>
      <w:pPr>
        <w:ind w:left="760" w:right="460" w:hanging="212"/>
        <w:spacing w:after="0" w:line="27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or changes to, guidance or interpretations from the FDA or comparable non-U.S. authorities with respect to approval pathways for any product candidates we are pursuing;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 or lack of adequate funding to continue the clinical trials.</w:t>
      </w:r>
    </w:p>
    <w:p>
      <w:pPr>
        <w:spacing w:after="0" w:line="18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or our future collaborators’ inability to timely complete clinical trials could result in additional costs to us as well as impair our ability to generate product revenue, continue development, commercialize OPT-302 and any future product candidates and receive royalties on product sales. In addition, if we make changes to a product candidate, we may need to conduct additional nonclinical studies or clinical trials to bridge or demonstrate the comparability of our modified product candidate to earlier versions, which could delay our clinical development plan or marketing approval for our current product candidate and any future product candidates.</w:t>
      </w:r>
    </w:p>
    <w:p>
      <w:pPr>
        <w:spacing w:after="0" w:line="121" w:lineRule="exact"/>
        <w:rPr>
          <w:sz w:val="20"/>
          <w:szCs w:val="20"/>
          <w:color w:val="auto"/>
        </w:rPr>
      </w:pPr>
    </w:p>
    <w:p>
      <w:pPr>
        <w:ind w:left="340" w:right="3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in enrolling patients in our clinical trials, our clinical development activities could be delayed or otherwise negatively affected.</w:t>
      </w:r>
    </w:p>
    <w:p>
      <w:pPr>
        <w:spacing w:after="0" w:line="22"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color w:val="auto"/>
        </w:rPr>
        <w:t>The timely completion of clinical trials largely depends on patient enrollment. We may encounter delays in enrolling, or be unable to enroll, a sufficient number of patients to complete any of our clinical trials, and even once enrolled, we may be unable to retain a sufficient number of patients to complete any of our trials. Many factors affect patient enrollment, including:</w:t>
      </w:r>
    </w:p>
    <w:p>
      <w:pPr>
        <w:spacing w:after="0" w:line="38" w:lineRule="exact"/>
        <w:rPr>
          <w:sz w:val="20"/>
          <w:szCs w:val="20"/>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which may be limited due to eligibility requirements;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any patient stipend;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patient consents;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events or other side effects observed, if any;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participants will drop out before completion; and</w:t>
      </w:r>
    </w:p>
    <w:p>
      <w:pPr>
        <w:spacing w:after="0" w:line="103" w:lineRule="exact"/>
        <w:rPr>
          <w:rFonts w:ascii="Times New Roman" w:cs="Times New Roman" w:eastAsia="Times New Roman" w:hAnsi="Times New Roman"/>
          <w:sz w:val="18"/>
          <w:szCs w:val="18"/>
          <w:color w:val="auto"/>
        </w:rPr>
      </w:pPr>
    </w:p>
    <w:p>
      <w:pPr>
        <w:ind w:left="760" w:right="540" w:hanging="212"/>
        <w:spacing w:after="0" w:line="275"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of the drug being studied in relation to other available therapies.</w:t>
      </w:r>
    </w:p>
    <w:p>
      <w:pPr>
        <w:spacing w:after="0" w:line="10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other companies are conducting clinical trials for the same indications and seek to enroll patients in their trials that may otherwise be eligible for our clinical studies or trials, which could lead to slow recruitment and delays in our clinical programs. Further, since the number of qualified clinical investigators is limited, we expect to conduct some of our clinical trials at the same clinical trial sites that some of our competitors use, which could further reduce the number of patients who are available for our clinical trials in these sites.</w:t>
      </w:r>
    </w:p>
    <w:p>
      <w:pPr>
        <w:spacing w:after="0" w:line="122"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If we are unable to enroll a sufficient number</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8"/>
          <w:szCs w:val="18"/>
          <w:color w:val="auto"/>
        </w:rPr>
        <w:t>of patients that will complete clinical testing, we will be unable to seek or gain marketing approval for OPT-302 and any future product candidates and our business will be harmed. Even if we are able to enroll a sufficient number of patients in our clinical studies or trials, delays in patient enrollment may result in increased costs or may affect the timing or outcome of our clinical trials, which could prevent completion of these trials and negatively affect our ability to advance the development of OPT-302 and any future product candidates.</w:t>
      </w:r>
    </w:p>
    <w:p>
      <w:pPr>
        <w:spacing w:after="0" w:line="118" w:lineRule="exact"/>
        <w:rPr>
          <w:sz w:val="20"/>
          <w:szCs w:val="20"/>
          <w:color w:val="auto"/>
        </w:rPr>
      </w:pPr>
    </w:p>
    <w:p>
      <w:pPr>
        <w:ind w:left="340" w:right="1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OPT-302 and any future product candidates may cause undesirable side effects or have other properties that could delay or prevent their regulatory approval or limit the commercial profile of an approved label.</w:t>
      </w:r>
    </w:p>
    <w:p>
      <w:pPr>
        <w:spacing w:after="0" w:line="2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OPT-302 combination therapy or any future product candidates could cause us or regulatory authorities to interrupt, delay or halt clinical trials and could result in a more restrictive label or the delay or denial of regulatory approval by the FDA or other comparable non-U.S. regulatory authorities. Additional clinical studies may be required to evaluate the safety profile of OPT-302 combination therapy or any future product candidates. We have no clinical safety data on patient exposure to OPT-302 administered in combination with an anti-VEGF-A therapy for longer than 24 weeks.</w:t>
      </w:r>
    </w:p>
    <w:p>
      <w:pPr>
        <w:spacing w:after="0" w:line="1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Future results of our trials could reveal a high and unacceptable severity and prevalence of side effects or unexpected characteristics, including, for example, immunogenicity. In such an event, we could suspend or terminate our trials or the FDA or comparable non-U.S. regulatory authorities could order us to cease clinical trials or deny approval of OPT-302 in combination with anti-VEGF-A therapy or any future product candidates for any or all targeted indications. Drug-related side effects could affect patient recruitment or the ability of enrolled subjects to complete the trial or result in potential product liability claims. Any of these occurrences could materially and negatively affect our business, financial condition, results of operations and prospects. While OPT-302 has been well tolerated in our completed clinical trials, dosed patients have experienced certain adverse events, including potentially treatment-related serious adverse events, or SAEs, of myocardial infarction, endophthalmitis and vitritis in our Phase 2b clinical trial of OPT-302 combination therapy for the treatment of wet AMD, and a potentially treatment-related SAE of stroke for one patient in our Phase 1b/2a clinical trial of OPT-302 combination therapy for the treatment of DME.</w:t>
      </w:r>
    </w:p>
    <w:p>
      <w:pPr>
        <w:spacing w:after="0" w:line="1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It may be difficult to discern whether certain events or symptoms observed during our clinical trials or by patients using our approved products are related to OPT-302 or any future product candidates or approved products, including anti-VEGF-A therapies used in combination with OPT-302, or some other factor. As a result, we and our development programs may be negatively affected even if such events or symptoms are ultimately determined to be unlikely related to OPT-302 or any future product candidates or approved products. We are developing OPT-302 to complement existing VEGF-A inhibitors, including ranibizumab and aflibercept. There are some potential side effects associated with intravitreal anti-VEGF-A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 Further, OPT-302 in combination with anti-VEGF-A therapies for the treatment of wet AMD is administered as sequential intravitreal injections over several weeks. There are risks inherent in the intravitreal injection procedure of drugs such as existing anti-VEGF-A therapies in combination with OPT-302 which can cause injury to the eye and other complications including conjunctival hemorrhage, punctate keratitis, eye pain, conjunctival hyperemia, which results in a discharge, intra-ocular inflammation and inflammation of the interior of the eye. For example, in our completed clinical trials, patients dosed with OPT-302 have experienced potentially treatment-related ocular adverse events such as eye pain, vitreous floaters, eye irritation and raised intraocular pressure.</w:t>
      </w:r>
    </w:p>
    <w:p>
      <w:pPr>
        <w:spacing w:after="0" w:line="131"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We cannot assure you that additional or more severe adverse side effects than those observed to date related to OPT-302 combination therapy or any future product candidates will not be observed in our clinical trials or in the commercial setting. If observed, such adverse side effects could delay or preclude regulatory approval of OPT-302 combination therapy or any future product candidates, limit commercial use or result in the withdrawal</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8"/>
          <w:szCs w:val="18"/>
          <w:color w:val="auto"/>
        </w:rPr>
        <w:t>of previously granted marketing approvals. If we or others identify undesirable or unacceptable side effects caused by OPT-302 combination therapy or any future product candidates or products:</w:t>
      </w:r>
    </w:p>
    <w:p>
      <w:pPr>
        <w:spacing w:after="0" w:line="25" w:lineRule="exact"/>
        <w:rPr>
          <w:sz w:val="20"/>
          <w:szCs w:val="20"/>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suspend or terminate our clinical trials;</w:t>
      </w:r>
    </w:p>
    <w:p>
      <w:pPr>
        <w:spacing w:after="0" w:line="103" w:lineRule="exact"/>
        <w:rPr>
          <w:rFonts w:ascii="Times New Roman" w:cs="Times New Roman" w:eastAsia="Times New Roman" w:hAnsi="Times New Roman"/>
          <w:sz w:val="18"/>
          <w:szCs w:val="18"/>
          <w:color w:val="auto"/>
        </w:rPr>
      </w:pPr>
    </w:p>
    <w:p>
      <w:pPr>
        <w:ind w:left="760" w:right="220" w:hanging="212"/>
        <w:spacing w:after="0" w:line="26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or include additional dosage and administration instructions, warnings and precautions, contraindications, boxed warnings, limitations, restrictions or other statements in the product label for our approved products, or issue field alerts to physicians and pharmacies;</w:t>
      </w:r>
    </w:p>
    <w:p>
      <w:pPr>
        <w:spacing w:after="0" w:line="37" w:lineRule="exact"/>
        <w:rPr>
          <w:rFonts w:ascii="Times New Roman" w:cs="Times New Roman" w:eastAsia="Times New Roman" w:hAnsi="Times New Roman"/>
          <w:sz w:val="18"/>
          <w:szCs w:val="18"/>
          <w:color w:val="auto"/>
        </w:rPr>
      </w:pPr>
    </w:p>
    <w:p>
      <w:pPr>
        <w:jc w:val="both"/>
        <w:ind w:left="760" w:right="160" w:hanging="212"/>
        <w:spacing w:after="0" w:line="26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costly additional clinical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our approved products;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approved products may decrease significantly;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products off the market;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government enforcement actions, litigation or product liability claims;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less competitive or our reputation may suffer.</w:t>
      </w:r>
    </w:p>
    <w:p>
      <w:pPr>
        <w:spacing w:after="0" w:line="185"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Any of these results could decrease or prevent any sales of our approved product or substantially increase the costs and expenses of commercializing and marketing our product.</w:t>
      </w:r>
    </w:p>
    <w:p>
      <w:pPr>
        <w:spacing w:after="0" w:line="102" w:lineRule="exact"/>
        <w:rPr>
          <w:sz w:val="20"/>
          <w:szCs w:val="20"/>
          <w:color w:val="auto"/>
        </w:rPr>
      </w:pPr>
    </w:p>
    <w:p>
      <w:pPr>
        <w:ind w:left="340"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Phase 3 pivotal clinical trials, the marketing approval process is expensive, time-consuming and uncertain and may prevent us or any future collaboration partners from obtaining approvals for the commercialization of OPT-302 for the treatment of wet AMD or any other indication as well as for any other product candidate we develop.</w:t>
      </w:r>
    </w:p>
    <w:p>
      <w:pPr>
        <w:spacing w:after="0" w:line="3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Any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non-U.S. regulatory authorities.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While we expect to expand our internal regulatory function to support the marketing approval process for OPT-302, we have no prior experience in filing and supporting the applications necessary to gain marketing approvals and expect to rely in part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31"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in other jurisdictions, is expensive, may take many years if additional clinical trials are required, if approval is obtained at all, and can vary substantially based upon a variety of factors, including the type, complexity and novelty of the product</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20"/>
        <w:spacing w:after="0" w:line="293" w:lineRule="auto"/>
        <w:rPr>
          <w:sz w:val="20"/>
          <w:szCs w:val="20"/>
          <w:color w:val="auto"/>
        </w:rPr>
      </w:pPr>
      <w:r>
        <w:rPr>
          <w:rFonts w:ascii="Times New Roman" w:cs="Times New Roman" w:eastAsia="Times New Roman" w:hAnsi="Times New Roman"/>
          <w:sz w:val="16"/>
          <w:szCs w:val="16"/>
          <w:color w:val="auto"/>
        </w:rPr>
        <w:t>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97" w:lineRule="exact"/>
        <w:rPr>
          <w:sz w:val="20"/>
          <w:szCs w:val="20"/>
          <w:color w:val="auto"/>
        </w:rPr>
      </w:pPr>
    </w:p>
    <w:p>
      <w:pPr>
        <w:ind w:left="120" w:right="20" w:firstLine="440"/>
        <w:spacing w:after="0" w:line="339" w:lineRule="auto"/>
        <w:rPr>
          <w:sz w:val="20"/>
          <w:szCs w:val="20"/>
          <w:color w:val="auto"/>
        </w:rPr>
      </w:pPr>
      <w:r>
        <w:rPr>
          <w:rFonts w:ascii="Times New Roman" w:cs="Times New Roman" w:eastAsia="Times New Roman" w:hAnsi="Times New Roman"/>
          <w:sz w:val="16"/>
          <w:szCs w:val="16"/>
          <w:color w:val="auto"/>
        </w:rPr>
        <w:t>If we experience delays in obtaining approval or if we fail to obtain approval of any product candidates we may develop, the commercial prospects for those product candidates, including for OPT-302 in other indications, may be harmed, and our ability to generate revenues will be materially impaired.</w:t>
      </w:r>
    </w:p>
    <w:p>
      <w:pPr>
        <w:spacing w:after="0" w:line="57" w:lineRule="exact"/>
        <w:rPr>
          <w:sz w:val="20"/>
          <w:szCs w:val="20"/>
          <w:color w:val="auto"/>
        </w:rPr>
      </w:pPr>
    </w:p>
    <w:p>
      <w:pPr>
        <w:ind w:left="340" w:right="2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Lack of efficacy, adverse events or undesirable side effects may emerge in clinical trials conducted by third parties with product candidates for wet AMD or DME, which could negatively affect our stock price, our ability to attract additional capital and our development program.</w:t>
      </w:r>
    </w:p>
    <w:p>
      <w:pPr>
        <w:spacing w:after="0" w:line="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Lack of efficacy, adverse events or undesirable side effects may emerge in clinical trials conducted by third parties developing product candidates for wet AMD or DME. In addition, other companies have developed products for wet AMD and DME, including product candidates administered in combination with anti-VEGF-A therapies, and have suffered setbacks and clinical trial failures in the past, including failures of primary endpoints in Phase 3 pivotal clinical trials following positive data from Phase 1 and 2 trials. Lack of efficacy, adverse events or undesirable side effects experienced by subjects in third party clinical trials currently being conducted or previously conducted could negatively affect our stock price, our ability to attract additional capital and our development of OPT-302 or even the viability of OPT-302 as a product candidate. In addition, any such adverse events or undesirable side effects may lead to increased regulatory requirements for, or additional regulatory review of, OPT-302, which may result in delays in development and commercialization of OPT-302 and harm our business, financial condition and results of operations.</w:t>
      </w:r>
    </w:p>
    <w:p>
      <w:pPr>
        <w:spacing w:after="0" w:line="127" w:lineRule="exact"/>
        <w:rPr>
          <w:sz w:val="20"/>
          <w:szCs w:val="20"/>
          <w:color w:val="auto"/>
        </w:rPr>
      </w:pPr>
    </w:p>
    <w:p>
      <w:pPr>
        <w:ind w:left="340" w:right="3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results of completed clinical trials may not be predictive of future results. Data from our clinical trials to date may not be indicative of results obtained when these trials are completed or in later stage trials.</w:t>
      </w:r>
    </w:p>
    <w:p>
      <w:pPr>
        <w:spacing w:after="0" w:line="2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There is a high failure rate for drugs and biologic products proceeding through clinical trials. Failure can occur at any time during the clinical trial process. The results of completed clinical trials of OPT-302 or any future product candidate may not be predictive of the results of later-stage clinical trials, including our planned Phase 3 trials of OPT-302 in combination with anti-VEGF-A therapy for the treatment of wet AMD, and the results of trials in certain patients may not be predictive of those obtained in another. In fact, many companies in the pharmaceutical and biotechnology industries have suffered significant setbacks in late stage clinical trials even after achieving promising results in earlier stage clinical trials. In addition, data obtained from clinical activities is subject to varying interpretations, which may delay, limit or prevent regulatory approval.</w:t>
      </w:r>
    </w:p>
    <w:p>
      <w:pPr>
        <w:spacing w:after="0" w:line="125"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results of our Phase 2b clinical trial of OPT-302 combination therapy may not be predictive of the results of our Phase 3 clinical program due, in part, to the fact that we have no clinical data on OPT-302 in combination with anti-VEGF-A therapy in any clinical trial longer than 24 weeks and that we plan to conduct our Phase 3 clinical trials at many clinical centers that were not included in our Phase 2b clinical trial. The number of patients exposed to product candidates and the average exposure time in prior clinical trials may be inadequate to detect rare adverse events or findings that may only be detected once a product candidate is administered to more patients and for greater periods of time. Any approved label for OPT-302 combination therapy may also be limited if our Phase 3 clinical trial results do not show long-term clinically significant efficacy results, including for over 12 months or in combination with either of the approved anti-VEGF-A therapies. In addition, if a combination of OPT-302 with an anti-VEGF-A therapy in our Phase 3 clinical program for the treatment of wet</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AMD does not achieve clinically significant superiority over anti-VEGF-A monotherapy with statistical significance on the primary endpoints of our Phase 3 clinical trials, or the FDA or a comparable non-U.S. regulatory authority requires additional clinical trials beyond our Phase 3 clinical program to support an approved label of OPT-302 used in combination with multiple anti-VEGF-A therapies, our ability to successfully commercialize OPT-302 in combination with anti-VEGF-A therapy for the treatment of wet AMD would be harmed.</w:t>
      </w:r>
    </w:p>
    <w:p>
      <w:pPr>
        <w:spacing w:after="0" w:line="118" w:lineRule="exact"/>
        <w:rPr>
          <w:sz w:val="20"/>
          <w:szCs w:val="20"/>
          <w:color w:val="auto"/>
        </w:rPr>
      </w:pPr>
    </w:p>
    <w:p>
      <w:pPr>
        <w:ind w:left="340" w:right="5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w:t>
      </w:r>
    </w:p>
    <w:p>
      <w:pPr>
        <w:spacing w:after="0" w:line="127" w:lineRule="exact"/>
        <w:rPr>
          <w:sz w:val="20"/>
          <w:szCs w:val="20"/>
          <w:color w:val="auto"/>
        </w:rPr>
      </w:pPr>
    </w:p>
    <w:p>
      <w:pPr>
        <w:ind w:left="120" w:right="40" w:firstLine="440"/>
        <w:spacing w:after="0" w:line="288" w:lineRule="auto"/>
        <w:rPr>
          <w:sz w:val="20"/>
          <w:szCs w:val="20"/>
          <w:color w:val="auto"/>
        </w:rPr>
      </w:pPr>
      <w:r>
        <w:rPr>
          <w:rFonts w:ascii="Times New Roman" w:cs="Times New Roman" w:eastAsia="Times New Roman" w:hAnsi="Times New Roman"/>
          <w:sz w:val="16"/>
          <w:szCs w:val="16"/>
          <w:color w:val="auto"/>
        </w:rPr>
        <w:t>In addition, adverse changes between interim data and final data could significantly harm our business and prospects. Additional disclosure of interim data by us or by our competitors in the future could also result in volatility in the price of the ADSs and our ordinary shares after this offering.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OPT-302 or any future product candidates may be harmed, which could harm our business, financial condition, results of operations and prospects.</w:t>
      </w:r>
    </w:p>
    <w:p>
      <w:pPr>
        <w:spacing w:after="0" w:line="97" w:lineRule="exact"/>
        <w:rPr>
          <w:sz w:val="20"/>
          <w:szCs w:val="20"/>
          <w:color w:val="auto"/>
        </w:rPr>
      </w:pPr>
    </w:p>
    <w:p>
      <w:pPr>
        <w:ind w:left="340"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face substantial competition, which may result in others discovering, developing or commercializing competing products before or more successfully than us.</w:t>
      </w:r>
    </w:p>
    <w:p>
      <w:pPr>
        <w:spacing w:after="0" w:line="22" w:lineRule="exact"/>
        <w:rPr>
          <w:sz w:val="20"/>
          <w:szCs w:val="20"/>
          <w:color w:val="auto"/>
        </w:rPr>
      </w:pPr>
    </w:p>
    <w:p>
      <w:pPr>
        <w:ind w:left="120" w:right="160" w:firstLine="440"/>
        <w:spacing w:after="0" w:line="293" w:lineRule="auto"/>
        <w:rPr>
          <w:sz w:val="20"/>
          <w:szCs w:val="20"/>
          <w:color w:val="auto"/>
        </w:rPr>
      </w:pPr>
      <w:r>
        <w:rPr>
          <w:rFonts w:ascii="Times New Roman" w:cs="Times New Roman" w:eastAsia="Times New Roman" w:hAnsi="Times New Roman"/>
          <w:sz w:val="16"/>
          <w:szCs w:val="16"/>
          <w:color w:val="auto"/>
        </w:rPr>
        <w:t>The biopharmaceutical industry is intensely competitive and subject to rapid innovation and significant technological advancements. We believe the key competitive factors that will affect the development and commercial success of OPT-302 and any future product candidates are efficacy, safety and tolerability profile, reliability, convenience of dosing, price, the level of generic competition and reimbursement. Our competitors include multinational pharmaceutical companies, specialized biotechnology companies, universities and other research institutions. A number of biotechnology and pharmaceutical companies are pursuing the development or marketing of pharmaceuticals that target the same diseases that we are targeting. Smaller or earlier-stage companies may also prove to be significant competitors, particularly through collaborative arrangements with large, established companies.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of products for the treatment of wet AMD and DME, or have commercially approved products for the treatment of wet AMD or DME, including Roche, Regeneron and Novartis. The current standard of care for wet AMD is monotherapy administration of anti-VEGF-A therapies, including ranibizumab and aflibercept, as well as off-label use of bevacizumab. These drugs are well established therapies and are widely accepted by physicians, patients and third-party payors, which may make it difficult to convince these parties to switch to OPT-302 combination therapy. In addition to competition from other companies directly targeting wet AMD or DME, any products we may develop may also face competition from other types of therapies or patient and physician preferences. In addition, many companies are developing new therapeutics, and we cannot predict what the standard of care will be as OPT-302 or any future product candidates progress through clinical development.</w:t>
      </w:r>
    </w:p>
    <w:p>
      <w:pPr>
        <w:spacing w:after="0" w:line="13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our competitors market products that are more effective, safer or cheaper than our products, that are more durable or have reduced injection burden compared to our products (including OPT-302), or that reach the market sooner than our products, we may not achieve commercial success.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products or product candidates obsolete, less competitive or not economical.</w:t>
      </w:r>
    </w:p>
    <w:p>
      <w:pPr>
        <w:spacing w:after="0" w:line="1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technical, human and other resources than we do and may be better equipped to develop, manufacture and market technologically superior products. In addition, many of these competitors have significantly longer operating histories and greater experience than we have in undertaking nonclinical studies and human clinical trials of new pharmaceutical products and in obtaining regulatory approvals of human therapeutic products. Clinical trials for the treatment of wet AMD and DME may be relatively costly and time consuming. The requirements for approval by the FDA and comparable non-U.S. regulatory authorities may change over time and this may require changes to ongoing or future clinical trial designs that could impact timelines and cost. Further, many of our competitors have established distribution channels for the commercialization of their products, whereas we have no such channel or capabilities. In addition, many competitors have greater name recognition and more extensive collaborative relationships.</w:t>
      </w:r>
    </w:p>
    <w:p>
      <w:pPr>
        <w:spacing w:after="0" w:line="13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 result, 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and succeed in obtaining approval for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negatively affect our ability to generate revenue. Our competitors also compete with us in recruiting and retaining qualified scientific, management and commercial personnel, establishing clinical trial sites and enrolling patients for clinical trials, as well as in acquiring technologies complementary to, or necessary for, our programs. Our inability to compete effectively in any of these aspects of our business could harm our business, financial condition, results of operations and prospects.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negatively impact our operations.</w:t>
      </w:r>
    </w:p>
    <w:p>
      <w:pPr>
        <w:spacing w:after="0" w:line="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we advance our clinical development programs for product candidates, seek regulatory approval in the United States and elsewhere and increase the number of ongoing product development programs, we anticipate that we will need to increase our product development, scientific and administrative headcount. In particular, as we progress our Phase 3 clinical trials for OPT-302 in combination with anti-VEGF-A therapy for the treatment of wet AMD, we will require additional key staff for clinical development operations as well as additional key financial and administrative personnel. We will also need to establish commercial capabilities in order to commercialize any product candidates that may be approved. Such an evolution may impact our strategic focus and our deployment and allocation of resources.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Our ability to manage our operations and growth effectively depends upon the continual improvement of our procedures, reporting systems and operational, financial and management controls. We may not be able to implement administrative and operational improvements in an efficient or timely manner and may discover deficiencies in existing systems and controls. If we do not meet these challenges, we may be unable to execute our business strategies and may be forced to expend more resources than anticipated addressing these issues.</w:t>
      </w:r>
    </w:p>
    <w:p>
      <w:pPr>
        <w:spacing w:after="0" w:line="12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122" w:lineRule="exact"/>
        <w:rPr>
          <w:sz w:val="20"/>
          <w:szCs w:val="20"/>
          <w:color w:val="auto"/>
        </w:rPr>
      </w:pPr>
    </w:p>
    <w:p>
      <w:pPr>
        <w:ind w:left="120" w:right="360" w:firstLine="440"/>
        <w:spacing w:after="0" w:line="262" w:lineRule="auto"/>
        <w:rPr>
          <w:sz w:val="20"/>
          <w:szCs w:val="20"/>
          <w:color w:val="auto"/>
        </w:rPr>
      </w:pPr>
      <w:r>
        <w:rPr>
          <w:rFonts w:ascii="Times New Roman" w:cs="Times New Roman" w:eastAsia="Times New Roman" w:hAnsi="Times New Roman"/>
          <w:sz w:val="18"/>
          <w:szCs w:val="18"/>
          <w:color w:val="auto"/>
        </w:rPr>
        <w:t>In addition, in order to continue to meet our obligations as a public listed company in both Australia and the United States and to support our anticipated long-term growth, we will need to increase our general and administrative capabilities. Our management, personnel and systems may not be adequate to support this future growth.</w:t>
      </w:r>
    </w:p>
    <w:p>
      <w:pPr>
        <w:spacing w:after="0" w:line="119" w:lineRule="exact"/>
        <w:rPr>
          <w:sz w:val="20"/>
          <w:szCs w:val="20"/>
          <w:color w:val="auto"/>
        </w:rPr>
      </w:pPr>
    </w:p>
    <w:p>
      <w:pPr>
        <w:ind w:left="120" w:right="600" w:firstLine="440"/>
        <w:spacing w:after="0" w:line="275" w:lineRule="auto"/>
        <w:rPr>
          <w:sz w:val="20"/>
          <w:szCs w:val="20"/>
          <w:color w:val="auto"/>
        </w:rPr>
      </w:pPr>
      <w:r>
        <w:rPr>
          <w:rFonts w:ascii="Times New Roman" w:cs="Times New Roman" w:eastAsia="Times New Roman" w:hAnsi="Times New Roman"/>
          <w:sz w:val="18"/>
          <w:szCs w:val="18"/>
          <w:color w:val="auto"/>
        </w:rPr>
        <w:t>If we are unable to successfully manage our growth and the increased complexity of our operations, our business, financial position, results of operations and prospects may be harmed.</w:t>
      </w:r>
    </w:p>
    <w:p>
      <w:pPr>
        <w:spacing w:after="0" w:line="102" w:lineRule="exact"/>
        <w:rPr>
          <w:sz w:val="20"/>
          <w:szCs w:val="20"/>
          <w:color w:val="auto"/>
        </w:rPr>
      </w:pPr>
    </w:p>
    <w:p>
      <w:pPr>
        <w:ind w:left="340" w:right="300"/>
        <w:spacing w:after="0" w:line="328" w:lineRule="auto"/>
        <w:rPr>
          <w:sz w:val="20"/>
          <w:szCs w:val="20"/>
          <w:color w:val="auto"/>
        </w:rPr>
      </w:pPr>
      <w:r>
        <w:rPr>
          <w:rFonts w:ascii="Times New Roman" w:cs="Times New Roman" w:eastAsia="Times New Roman" w:hAnsi="Times New Roman"/>
          <w:sz w:val="16"/>
          <w:szCs w:val="16"/>
          <w:b w:val="1"/>
          <w:bCs w:val="1"/>
          <w:i w:val="1"/>
          <w:iCs w:val="1"/>
          <w:color w:val="auto"/>
        </w:rPr>
        <w:t>A fast track designation by the FDA, even if granted for OPT-302 or any other future product candidates, may not lead to a faster development or regulatory review or approval process and does not increase the likelihood that our product candidates will receive marketing approval.</w:t>
      </w:r>
    </w:p>
    <w:p>
      <w:pPr>
        <w:spacing w:after="0" w:line="1" w:lineRule="exact"/>
        <w:rPr>
          <w:sz w:val="20"/>
          <w:szCs w:val="20"/>
          <w:color w:val="auto"/>
        </w:rPr>
      </w:pPr>
    </w:p>
    <w:p>
      <w:pPr>
        <w:ind w:left="120" w:firstLine="440"/>
        <w:spacing w:after="0" w:line="287" w:lineRule="auto"/>
        <w:rPr>
          <w:sz w:val="20"/>
          <w:szCs w:val="20"/>
          <w:color w:val="auto"/>
        </w:rPr>
      </w:pPr>
      <w:r>
        <w:rPr>
          <w:rFonts w:ascii="Times New Roman" w:cs="Times New Roman" w:eastAsia="Times New Roman" w:hAnsi="Times New Roman"/>
          <w:sz w:val="16"/>
          <w:szCs w:val="16"/>
          <w:color w:val="auto"/>
        </w:rPr>
        <w:t>If a drug or biologic is intended for the treatment of a serious or life-threatening condition and the product demonstrates the potential to address unmet medical needs for this condition, the sponsor may apply for FDA fast track designation for a particular indication. We may seek fast track designation for certain of our current or future product candidates, including OPT-302, but there is no assurance that the FDA will grant this status to any of our proposed product candidates. If granted, fast track designation makes a product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any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316" w:lineRule="exact"/>
        <w:rPr>
          <w:sz w:val="20"/>
          <w:szCs w:val="20"/>
          <w:color w:val="auto"/>
        </w:rPr>
      </w:pPr>
    </w:p>
    <w:p>
      <w:pPr>
        <w:ind w:left="340"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OPT-302 and any future product candidates may not achieve adequate market acceptance among physicians, patients, healthcare payors and others in the medical community necessary for commercial success.</w:t>
      </w:r>
    </w:p>
    <w:p>
      <w:pPr>
        <w:spacing w:after="0" w:line="2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Given the number of drugs in development or currently approved for the treatment of wet AMD and DME, if we are unsuccessful in achieving a differentiated profile with OPT-302, including in combination with existing therapies, based on efficacy, safety and tolerability, dosing and administration, market acceptance will be limited. For example, current treatments for wet AMD, including ranibizumab, aflibercept and low cost, off-label use of bevacizumab,</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are well established in the medical community and perceived as demonstrating meaningful clinical response in many cases. As a result, doctors may continue to rely on these treatments without OPT-302 or may continue to use such existing treatments as first-line therapies. The medical community may also resist adopting a combination therapy over monotherapy for any of our targeted indications. In particular, recent clinical development has focused on maintaining vision gains with a VEGF-A inhibitor while reducing the number of injections. While we plan to evaluate the potential for co-formulation of OPT-302 with approved and/or biosimilar forms of VEGF-A inhibitors to provide flexibility of treatment options for physicians and to reduce the frequency and number of injections for patients, there can be no assurance that we will be successful or that any co-formulated product will have a favorable safety profile. If we are unable to reduce the injection burden of OPT-302 combination therapy or demonstrate sufficient efficacy improvements with a comparatively higher frequency and number of injections over standard of care anti-VEGF-A therapies, develop a co-formulation of OPT-302 for patients or otherwise increase the duration of efficacy of OPT-302 doses, or if physicians determine that a more frequent regimen is necessary, the market acceptance of OPT-302 may be limited which would harm our business, financial condition and results of operations.</w:t>
      </w:r>
    </w:p>
    <w:p>
      <w:pPr>
        <w:spacing w:after="0" w:line="1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the potential market opportunity for OPT-302 is difficult to estimate precisely. If OPT-302 receives marketing approval for the treatment of wet AMD, it will be approved solely for use in combination with one or more anti-VEGF-A therapies, and may be limited to use with only one anti-VEGF-A therapy for the treatment of wet AMD depending on the protocol for our planned Phase 3 clinical trials or whether the results from each of our Phase 3 clinical trials support an approved label for use of OPT-302 in combination with more than one anti-VEGF-A therapy. The market opportunity for OPT-302 will be dependent upon the continued use of anti-VEGF-A therapies in the treatment of wet AMD and the market share of such anti-VEGF-A therapies for which OPT-302 is approved as a combination therapy. The degree of market acceptance of any of our approved product candidates will depend on a number of factors, including:</w:t>
      </w:r>
    </w:p>
    <w:p>
      <w:pPr>
        <w:spacing w:after="0" w:line="46" w:lineRule="exact"/>
        <w:rPr>
          <w:sz w:val="20"/>
          <w:szCs w:val="20"/>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dosing profile of the product candidate as demonstrated in clinical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REMS which may include distribution or use restrictions;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 a subgroup of patients;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and patients;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coverage and/or adequate reimbursement from third-party payors;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185" w:lineRule="exact"/>
        <w:rPr>
          <w:sz w:val="20"/>
          <w:szCs w:val="20"/>
          <w:color w:val="auto"/>
        </w:rPr>
      </w:pPr>
    </w:p>
    <w:p>
      <w:pPr>
        <w:ind w:left="120" w:right="240" w:firstLine="440"/>
        <w:spacing w:after="0" w:line="310" w:lineRule="auto"/>
        <w:rPr>
          <w:sz w:val="20"/>
          <w:szCs w:val="20"/>
          <w:color w:val="auto"/>
        </w:rPr>
      </w:pPr>
      <w:r>
        <w:rPr>
          <w:rFonts w:ascii="Times New Roman" w:cs="Times New Roman" w:eastAsia="Times New Roman" w:hAnsi="Times New Roman"/>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w:t>
      </w:r>
    </w:p>
    <w:p>
      <w:pPr>
        <w:spacing w:after="0" w:line="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240"/>
        <w:spacing w:after="0" w:line="339" w:lineRule="auto"/>
        <w:rPr>
          <w:sz w:val="20"/>
          <w:szCs w:val="20"/>
          <w:color w:val="auto"/>
        </w:rPr>
      </w:pPr>
      <w:r>
        <w:rPr>
          <w:rFonts w:ascii="Times New Roman" w:cs="Times New Roman" w:eastAsia="Times New Roman" w:hAnsi="Times New Roman"/>
          <w:sz w:val="16"/>
          <w:szCs w:val="16"/>
          <w:color w:val="auto"/>
        </w:rPr>
        <w:t>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w:t>
      </w:r>
    </w:p>
    <w:p>
      <w:pPr>
        <w:spacing w:after="0" w:line="6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OPT-302 combination therapy may require significant resources and may not be successful.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w:t>
      </w:r>
    </w:p>
    <w:p>
      <w:pPr>
        <w:spacing w:after="0" w:line="121" w:lineRule="exact"/>
        <w:rPr>
          <w:sz w:val="20"/>
          <w:szCs w:val="20"/>
          <w:color w:val="auto"/>
        </w:rPr>
      </w:pPr>
    </w:p>
    <w:p>
      <w:pPr>
        <w:ind w:left="340" w:right="2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strategic collaborators develop are smaller than we believe they are, our revenue may be negatively affected and our business may suffer.</w:t>
      </w:r>
    </w:p>
    <w:p>
      <w:pPr>
        <w:spacing w:after="0" w:line="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intend to focus our product candidate development on therapies for the treatment of wet AMD and additional retinal disease indications such as DME or retinal vein occlusion, or RVO. Our projections of addressable patient populations that have the potential to benefit from treatment with our product candidate are based on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are inaccurate, the market opportunities for any of our product candidates could be significantly diminished and have an adverse impact on our business.</w:t>
      </w:r>
    </w:p>
    <w:p>
      <w:pPr>
        <w:spacing w:after="0" w:line="127" w:lineRule="exact"/>
        <w:rPr>
          <w:sz w:val="20"/>
          <w:szCs w:val="20"/>
          <w:color w:val="auto"/>
        </w:rPr>
      </w:pPr>
    </w:p>
    <w:p>
      <w:pPr>
        <w:jc w:val="both"/>
        <w:ind w:left="340"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OPT-302 is approved by the FDA as a combination therapy for the treatment of wet AMD, the approval will be limited to this specific indication and, unless we seek regulatory approval for additional indications, we will be prohibited from marketing OPT-302 for other indications. We may be subject to fines, penalties or injunctions if we are determined to have promoted or be promoting the use of OPT-302 for unapproved or “off-label” uses, resulting in damage to our reputation and business.</w:t>
      </w:r>
    </w:p>
    <w:p>
      <w:pPr>
        <w:spacing w:after="0" w:line="3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OPT-302 receives marketing approval for the treatment of wet AMD, it will be approved solely for use in combination with one or more anti-VEGF-A therapies, and may be limited to only one anti-VEGF-A therapy for the treatment of wet AMD depending on the protocols for our planned pivotal Phase 3 clinical trials. Although we are also developing OPT-302 for other retinal diseases, any regulatory approval of OPT-302 for wet AMD would not be cover the treatment of any other indication. As a result, we would be prohibited from promoting OPT-302 for the treatment of DME unless we are granted FDA approval for such indication.</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FDA strictly regulates the promotional claims that may be made about prescription products. 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or comparable non-U.S. regulatory authorities.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8"/>
          <w:szCs w:val="18"/>
          <w:color w:val="auto"/>
        </w:rPr>
        <w:t>oversight if we become subject to a corporate integrity agreement or similar agreement, injunctions or criminal prosecution, any of which could significantly harm our business.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OPT-302 is being developed to be used as a combination therapy for use with anti-VEGF-A therapies, which exposes us to additional risks.</w:t>
      </w:r>
    </w:p>
    <w:p>
      <w:pPr>
        <w:spacing w:after="0" w:line="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developing OPT-302 to be used in combination with currently approved VEGF-A inhibitors. Even if OPT-302 were to receive marketing approval or be commercialized, we would continue to be subject to the risks that the FDA or similar regulatory authorities could revoke approval of some or all approved anti-VEGF-A therapies for safety, efficacy, manufacturing or supply issues. This could result in OPT-302 being restricted from commercialization or being less commercially successful.</w:t>
      </w:r>
    </w:p>
    <w:p>
      <w:pPr>
        <w:spacing w:after="0" w:line="122"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We may also evaluate OPT-302 or any other future product candidates in combination with one or more other product candidates that have not yet been approved for marketing by the FDA or similar foreign regulatory authorities. We will not be able to market and sell OPT-302 or any product candidate we develop in combination with any such unapproved therapies that do not ultimately obtain marketing approval.</w:t>
      </w:r>
    </w:p>
    <w:p>
      <w:pPr>
        <w:spacing w:after="0" w:line="119"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If the FDA or similar foreign regulatory authorities do not approve these other product candidates or revoke their approval of, or if safety, efficacy, manufacturing, or supply issues arise with, the drugs we choose to evaluate in combination with OPT-302 or any product candidate we develop, we may be unable to obtain approval of or market OPT-302 or any product candidate we develop.</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additional product candidates, we may be unable to grow our business.</w:t>
      </w:r>
    </w:p>
    <w:p>
      <w:pPr>
        <w:spacing w:after="0" w:line="8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Although the development and commercialization of OPT-302 is currently our primary focus, as part of our longer-term growth strategy, we plan to evaluate the development and commercialization of other therapies related to retinal diseases. The success of this strategy depends primarily upon our ability to identify and validate new therapeutic candidates, and to identify, develop and commercialize new drugs and biologics. Our research efforts may initially show promise in discovering potential new drugs and biologics, yet fail to yield product candidates for clinical development for a number of reasons, including:</w:t>
      </w:r>
    </w:p>
    <w:p>
      <w:pPr>
        <w:spacing w:after="0" w:line="44" w:lineRule="exact"/>
        <w:rPr>
          <w:sz w:val="20"/>
          <w:szCs w:val="20"/>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rely on third parties to generate molecules for some of our product candidate programs;</w:t>
      </w:r>
    </w:p>
    <w:p>
      <w:pPr>
        <w:spacing w:after="0" w:line="103" w:lineRule="exact"/>
        <w:rPr>
          <w:rFonts w:ascii="Times New Roman" w:cs="Times New Roman" w:eastAsia="Times New Roman" w:hAnsi="Times New Roman"/>
          <w:sz w:val="18"/>
          <w:szCs w:val="18"/>
          <w:color w:val="auto"/>
        </w:rPr>
      </w:pPr>
    </w:p>
    <w:p>
      <w:pPr>
        <w:ind w:left="760" w:right="80" w:hanging="212"/>
        <w:spacing w:after="0" w:line="275"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product manufacturing difficulties that limit yield or produce undesirable characteristics that increase the cost of manufacturing our product candidates, cause delays or make our product candidates unmarketable;</w:t>
      </w:r>
    </w:p>
    <w:p>
      <w:pPr>
        <w:spacing w:after="0" w:line="25" w:lineRule="exact"/>
        <w:rPr>
          <w:rFonts w:ascii="Times New Roman" w:cs="Times New Roman" w:eastAsia="Times New Roman" w:hAnsi="Times New Roman"/>
          <w:sz w:val="18"/>
          <w:szCs w:val="18"/>
          <w:color w:val="auto"/>
        </w:rPr>
      </w:pPr>
    </w:p>
    <w:p>
      <w:pPr>
        <w:ind w:left="760" w:right="140" w:hanging="212"/>
        <w:spacing w:after="0" w:line="275"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may cause adverse effects in patients or subjects, even after successful initial toxicology studies, which may make the product candidates unmarketable;</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may not demonstrate a meaningful benefit to patients or subjects; and</w:t>
      </w:r>
    </w:p>
    <w:p>
      <w:pPr>
        <w:spacing w:after="0" w:line="103" w:lineRule="exact"/>
        <w:rPr>
          <w:rFonts w:ascii="Times New Roman" w:cs="Times New Roman" w:eastAsia="Times New Roman" w:hAnsi="Times New Roman"/>
          <w:sz w:val="18"/>
          <w:szCs w:val="18"/>
          <w:color w:val="auto"/>
        </w:rPr>
      </w:pPr>
    </w:p>
    <w:p>
      <w:pPr>
        <w:ind w:left="760" w:right="120" w:hanging="212"/>
        <w:spacing w:after="0" w:line="275"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collaboration partners may change their development profiles or plans for potential product candidates or abandon a therapeutic area or the development of a partnered product.</w:t>
      </w:r>
    </w:p>
    <w:p>
      <w:pPr>
        <w:spacing w:after="0" w:line="10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programs, which could harm our business, operating results and prospects and could potentially cause us to cease operations. Future research programs to identify new product candidates may require substantial technical, financial and human resources. We may focus our efforts and resources on potential programs or product candidates that ultimately prove to be unsuccessful.</w:t>
      </w:r>
    </w:p>
    <w:p>
      <w:pPr>
        <w:spacing w:after="0" w:line="122"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8"/>
          <w:szCs w:val="18"/>
          <w:color w:val="auto"/>
        </w:rPr>
        <w:t>Product candidates may require additional, time-consuming development efforts prior to commercial sale, including preclinical studies, clinical trials and approval by the FDA and/or comparable non-U.S. regulatory</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118" w:lineRule="exact"/>
        <w:rPr>
          <w:sz w:val="20"/>
          <w:szCs w:val="20"/>
          <w:color w:val="auto"/>
        </w:rPr>
      </w:pPr>
    </w:p>
    <w:p>
      <w:pPr>
        <w:ind w:left="3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one or more particular indications and fail to capitalize on indications that may be more profitable or for which there is a greater likelihood of success.</w:t>
      </w:r>
    </w:p>
    <w:p>
      <w:pPr>
        <w:spacing w:after="0" w:line="2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limited financial and management resources. As a result, we may forego or delay pursuit of opportunities with other indications that later prove to have greater commercial potential. Our resource allocation decisions may cause us to fail to capitalize on viable commercial products or profitable market opportunities. Our spending on current and future development programs for specific indications may not yield any commercially viable products. Any such failures would negatively affect our business and results of operations.</w:t>
      </w:r>
    </w:p>
    <w:p>
      <w:pPr>
        <w:spacing w:after="0" w:line="118" w:lineRule="exact"/>
        <w:rPr>
          <w:sz w:val="20"/>
          <w:szCs w:val="20"/>
          <w:color w:val="auto"/>
        </w:rPr>
      </w:pPr>
    </w:p>
    <w:p>
      <w:pPr>
        <w:ind w:left="340" w:right="2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in order to succeed. If we are not able to retain our current senior management team and our scientific advisors or continue to attract and retain qualified scientific, technical and business personnel, our business will suffer.</w:t>
      </w:r>
    </w:p>
    <w:p>
      <w:pPr>
        <w:spacing w:after="0" w:line="2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not be able to attract or retain qualified personnel and consultants due to the intense competition for such individuals among in the biotechnology and pharmaceutical industries. If we are not able to attract and retain necessary personnel and consultants to accomplish our business objectives, we may experience constraints that will significantly impede the achievement of our development and commercial objectives, our ability to raise additional capital and our ability to implement our business strategy.</w:t>
      </w:r>
    </w:p>
    <w:p>
      <w:pPr>
        <w:spacing w:after="0" w:line="12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development, regulatory, commercialization and business development expertise of the members of our executive team, as well as other key employees and consultants. If we lose one or more of our executive officers or other key employees or consultants, our ability to implement our business strategy successfully could be seriously harmed. Any of our executive officers or other key employees or consultants may terminate their employment at any time with three months’ notice, subject to certain exceptions, and replacing such individuals may be difficult and time-consuming because of the limited number of individuals in our industry with the necessary breadth of skills and experience. Competition to hire and retain employees and consultants from this limited pool is intense, and we may be unable to hire, train, retain or motivate such individuals. Additionally, we do not currently maintain “key person” life insurance on the lives of our executives or any of our employees. This lack of insurance means that we may not receive adequate compensation for the loss of the services of these individuals. If we are unable to continue to attract and retain high-quality personnel, the rate and success with which we can discover and develop product candidates and our business will be limited.</w:t>
      </w:r>
    </w:p>
    <w:p>
      <w:pPr>
        <w:spacing w:after="0" w:line="123" w:lineRule="exact"/>
        <w:rPr>
          <w:sz w:val="20"/>
          <w:szCs w:val="20"/>
          <w:color w:val="auto"/>
        </w:rPr>
      </w:pPr>
    </w:p>
    <w:p>
      <w:pPr>
        <w:ind w:left="340" w:right="1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As we evolve from a company that is primarily involved in clinical development to a company that is also involved in preparing for commercialization, we may encounter difficulties in expanding our operations successfully.</w:t>
      </w:r>
    </w:p>
    <w:p>
      <w:pPr>
        <w:spacing w:after="0" w:line="2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we advance our product candidates through clinical trials, we will need to expand our development, regulatory, manufacturing and marketing and sales capabilities and may need to further contract with third parties to provide these capabilities, such as collaborators, distributors, marketers and additional suppliers. We currently have no experience as a company in or infrastructure for sales, marketing and distribution, and our operations are currently limited to clinical development activities and as our operations expand, we likely will need to manage additional relationships with such third parties.</w:t>
      </w:r>
    </w:p>
    <w:p>
      <w:pPr>
        <w:spacing w:after="0" w:line="125"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If OPT-302 or any future product candidate is approved, we intend either to establish a sales and organization with technical expertise and supporting distribution capabilities to commercialize OPT-302 or any</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color w:val="auto"/>
        </w:rPr>
        <w:t>future product candidate or to outsource such functions to one or more third parties. Either of these options would be expensive and time-consuming. Some or all of these costs may be incurred in advance of any approval of OPT-302 or any future product candidate. In addition, we may not be able to hire a sales force that is sufficient in size or has adequate expertise in the medical markets that we intend to target.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77" w:lineRule="exact"/>
        <w:rPr>
          <w:sz w:val="20"/>
          <w:szCs w:val="20"/>
          <w:color w:val="auto"/>
        </w:rPr>
      </w:pPr>
    </w:p>
    <w:p>
      <w:pPr>
        <w:ind w:left="760" w:hanging="21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attain adequate numbers of physicians to prescribe any drugs;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sufficient access and reimbursement for our product candidate, if approved;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 sales and marketing organization.</w:t>
      </w:r>
    </w:p>
    <w:p>
      <w:pPr>
        <w:spacing w:after="0" w:line="185"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negatively affect the commercialization of OPT-302 and other future product candidates.</w:t>
      </w:r>
    </w:p>
    <w:p>
      <w:pPr>
        <w:spacing w:after="0" w:line="10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Maintaining third-party relationships for these purposes will impose significant added responsibilities on members of our management and other personnel. We must be able to effectively manage our development efforts, recruit and train sales and marketing personnel, effectively manage our participation in the clinical trials in which our product candidates are involved and improve our managerial, development, operational and finance systems, all of which may impose a strain on our administrative and operational infrastructure.</w:t>
      </w:r>
    </w:p>
    <w:p>
      <w:pPr>
        <w:spacing w:after="0" w:line="122" w:lineRule="exact"/>
        <w:rPr>
          <w:sz w:val="20"/>
          <w:szCs w:val="20"/>
          <w:color w:val="auto"/>
        </w:rPr>
      </w:pPr>
    </w:p>
    <w:p>
      <w:pPr>
        <w:ind w:left="120" w:right="80" w:firstLine="440"/>
        <w:spacing w:after="0" w:line="293" w:lineRule="auto"/>
        <w:rPr>
          <w:sz w:val="20"/>
          <w:szCs w:val="20"/>
          <w:color w:val="auto"/>
        </w:rPr>
      </w:pPr>
      <w:r>
        <w:rPr>
          <w:rFonts w:ascii="Times New Roman" w:cs="Times New Roman" w:eastAsia="Times New Roman" w:hAnsi="Times New Roman"/>
          <w:sz w:val="16"/>
          <w:szCs w:val="16"/>
          <w:color w:val="auto"/>
        </w:rPr>
        <w:t>If we enter into arrangements with third parties to perform sales, marketing or distribution services, any product revenues that we receive, or the profitability of these product revenues to us, are likely to be lower than if we were to market and sell any products that we develop without the involvement of these third parties. In addition, we may not be successful in entering into arrangements with third parties to sell and market our products and can provide no assurance that the terms of any such arrangements will remain favorable for us over time.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products.</w:t>
      </w:r>
    </w:p>
    <w:p>
      <w:pPr>
        <w:spacing w:after="0" w:line="93" w:lineRule="exact"/>
        <w:rPr>
          <w:sz w:val="20"/>
          <w:szCs w:val="20"/>
          <w:color w:val="auto"/>
        </w:rPr>
      </w:pPr>
    </w:p>
    <w:p>
      <w:pPr>
        <w:ind w:left="340" w:right="3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the effects of health epidemics, including the evolving effects of the COVID-19 pandemic, in regions where we or third parties on which we rely have significant manufacturing facilities, concentrations of clinical trial sites or other business operations.</w:t>
      </w:r>
    </w:p>
    <w:p>
      <w:pPr>
        <w:spacing w:after="0" w:line="34" w:lineRule="exact"/>
        <w:rPr>
          <w:sz w:val="20"/>
          <w:szCs w:val="20"/>
          <w:color w:val="auto"/>
        </w:rPr>
      </w:pPr>
    </w:p>
    <w:p>
      <w:pPr>
        <w:ind w:left="120" w:firstLine="440"/>
        <w:spacing w:after="0" w:line="288" w:lineRule="auto"/>
        <w:rPr>
          <w:sz w:val="20"/>
          <w:szCs w:val="20"/>
          <w:color w:val="auto"/>
        </w:rPr>
      </w:pPr>
      <w:r>
        <w:rPr>
          <w:rFonts w:ascii="Times New Roman" w:cs="Times New Roman" w:eastAsia="Times New Roman" w:hAnsi="Times New Roman"/>
          <w:sz w:val="16"/>
          <w:szCs w:val="16"/>
          <w:color w:val="auto"/>
        </w:rPr>
        <w:t>Health epidemics in regions where we have concentrations of clinical trial sites or other business operations could negatively affect our business, including by causing significant disruption in the operations of third-party manufacturers and CROs upon whom we rely. For example, the novel coronavirus disease 2019, or COVID-19, pandemic has presented a substantial public health and economic challenge around the world and is affecting employees, patients, communities and business operations, as well as the U.S. economy and financial markets. Based on guidance issued by Australian federal and state governments, we transitioned to a remote work environment for all of our employees. In connection with these measures, we may be subject to claims based upon, arising out of, or related to COVID-19 and our actions and responses thereto, including any determinations that we may make to continue to operate or to re-open our facilities. Further, the effects of the shelter-in-place orders in Australia and across the world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financial condition, results of operations and growth prospects.</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120" w:firstLine="440"/>
        <w:spacing w:after="0" w:line="285" w:lineRule="auto"/>
        <w:rPr>
          <w:sz w:val="20"/>
          <w:szCs w:val="20"/>
          <w:color w:val="auto"/>
        </w:rPr>
      </w:pPr>
      <w:r>
        <w:rPr>
          <w:rFonts w:ascii="Times New Roman" w:cs="Times New Roman" w:eastAsia="Times New Roman" w:hAnsi="Times New Roman"/>
          <w:sz w:val="16"/>
          <w:szCs w:val="16"/>
          <w:color w:val="auto"/>
        </w:rPr>
        <w:t>As the pandemic continues, we may experience a negative impact on our ability to initiate clinical trial sites, maintain patient enrollment and enroll new patients which may impact timelines in the future. Our ability to attract additional clinical trial sites and principal investigators to conduct our clinical trials and to conduct the necessary clinical trial site initiation procedures may be impacted by quarantines, shelter-in-place and similar restrictions imposed by federal, state and local governments. These restrictions may also prohibit patients from enrolling in, or continuing to participate in, our clinical trials.</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Principal investigators and clinical trial site staff, as healthcare providers, may have heightened exposure to COVID-19 and if their health is impacted by COVID-19 it could negatively impact the conduct of our clinical trials at their sites. Similarly, potential participants in our clinical trials, many of whom are medically vulnerable, may be unwilling to enroll in, and enrolled patients may be unwilling to continue to participate in, our clinical trials due to an unwillingness to travel to sites for required screening and clinical trial visits and procedures. Enrolled patients may be unable to comply with clinical trial protocols if quarantines, shelter-in-place and similar restrictions continue to impede patient movement or interrupt healthcare services. In addition, we may be required to develop and implement additional clinical study policies and procedures designed to help protect patients from the COVID-19 disease, which may include using telemedicine visits, remote monitoring of patients and clinical trial sites, and measures designed to ensure that data from clinical trials that may be disrupted as result of the pandemic are collected pursuant to the study protocol and consistent with cGCPs, with any significant protocol deviation reviewed and approved by the clinical trial site institutional review board, or IRB, all or any of which could materially and negatively affect our clinical development timelines and our ability to obtain regulatory approvals of our product candidates, and could significantly increase our costs. We could also see an impact on our ability to report clinical trial results, or interact with regulators, ethics committees or other important agencies due to limitations in regulatory authority employee resources or otherwise. In addition, the FDA or comparable non-U.S. regulatory authorities may refuse to accept data from clinical trials conducted in geographies experiencing heightened impact from COVID-19.</w:t>
      </w:r>
    </w:p>
    <w:p>
      <w:pPr>
        <w:spacing w:after="0" w:line="13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Moreover, we rely on third-party CROs and other third parties to assist us with clinical development activities, and we cannot guarantee that they will continue to perform their contractual duties in a timely and satisfactory manner as a result of the COVID-19 pandemic. In addition, quarantines, shelter-in-place and similar government orders could impact personnel at third-party manufacturing facilities in the United States and other countries, or the availability or cost of materials, which would disrupt our supply chain. In particular, some of our suppliers of certain materials used in the production of our drug products are located in Europe. In any event, if the COVID-19 pandemic continues and persists for an extended period of time or more acutely impacts geographies with particular impact on our business, we could experience significant disruptions to our clinical development timelines, which would harm our business, financial condition, results of operations and growth prospects.</w:t>
      </w:r>
    </w:p>
    <w:p>
      <w:pPr>
        <w:spacing w:after="0" w:line="127"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our liquidity. In addition, a recession or market correction resulting from the spread of COVID-19 could harm our business and the value of our ordinary shares and ADSs offered hereby following this offering.</w:t>
      </w:r>
    </w:p>
    <w:p>
      <w:pPr>
        <w:spacing w:after="0" w:line="118" w:lineRule="exact"/>
        <w:rPr>
          <w:sz w:val="20"/>
          <w:szCs w:val="20"/>
          <w:color w:val="auto"/>
        </w:rPr>
      </w:pPr>
    </w:p>
    <w:p>
      <w:pPr>
        <w:jc w:val="both"/>
        <w:ind w:left="340"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and retain key leadership and other personnel, otherwise prevent new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39"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8"/>
          <w:szCs w:val="18"/>
          <w:color w:val="auto"/>
        </w:rPr>
        <w:t>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0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Separately, in response to the COVID-19 pandemic, in March 2020, the FDA announced its intention to postpone most inspections of foreign manufacturing facilities and products through April 2020. Also in March 2020, the FDA announced its intention to temporarily postpone routine surveillance inspections of domestic manufacturing facilities. Regulatory authorities outside the United States may adopt similar restrictions or other policy measures in response to the COVID-19 pandemic or issue guidance materially affecting the conduct of clinical trials.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130" w:lineRule="exact"/>
        <w:rPr>
          <w:sz w:val="20"/>
          <w:szCs w:val="20"/>
          <w:color w:val="auto"/>
        </w:rPr>
      </w:pPr>
    </w:p>
    <w:p>
      <w:pPr>
        <w:ind w:left="340" w:right="20"/>
        <w:spacing w:after="0" w:line="328" w:lineRule="auto"/>
        <w:rPr>
          <w:sz w:val="20"/>
          <w:szCs w:val="20"/>
          <w:color w:val="auto"/>
        </w:rPr>
      </w:pPr>
      <w:r>
        <w:rPr>
          <w:rFonts w:ascii="Times New Roman" w:cs="Times New Roman" w:eastAsia="Times New Roman" w:hAnsi="Times New Roman"/>
          <w:sz w:val="16"/>
          <w:szCs w:val="16"/>
          <w:b w:val="1"/>
          <w:bCs w:val="1"/>
          <w:i w:val="1"/>
          <w:iCs w:val="1"/>
          <w:color w:val="auto"/>
        </w:rPr>
        <w:t>Even if we commercialize OPT-302 or any future product candidate, we may face challenges to achieving profitability such as our products becoming subject to unfavorable pricing regulations, third-party reimbursement practices or healthcare reform initiatives, which could harm our business.</w:t>
      </w:r>
    </w:p>
    <w:p>
      <w:pPr>
        <w:spacing w:after="0" w:line="1" w:lineRule="exact"/>
        <w:rPr>
          <w:sz w:val="20"/>
          <w:szCs w:val="20"/>
          <w:color w:val="auto"/>
        </w:rPr>
      </w:pPr>
    </w:p>
    <w:p>
      <w:pPr>
        <w:ind w:left="120" w:right="60" w:firstLine="440"/>
        <w:spacing w:after="0" w:line="293" w:lineRule="auto"/>
        <w:rPr>
          <w:sz w:val="20"/>
          <w:szCs w:val="20"/>
          <w:color w:val="auto"/>
        </w:rPr>
      </w:pPr>
      <w:r>
        <w:rPr>
          <w:rFonts w:ascii="Times New Roman" w:cs="Times New Roman" w:eastAsia="Times New Roman" w:hAnsi="Times New Roman"/>
          <w:sz w:val="16"/>
          <w:szCs w:val="16"/>
          <w:color w:val="auto"/>
        </w:rPr>
        <w:t>In the United States and in other countries, patients who are prescribed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OPT-302 or any our product candidates. Third-party payors decide which medications they will pay for and establish reimbursement levels. The availability of coverage and extent of reimbursement by governmental and other third-party payors is essential for most patients to be able to afford treatments such as OPT-302.</w:t>
      </w:r>
    </w:p>
    <w:p>
      <w:pPr>
        <w:spacing w:after="0" w:line="97"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41" w:lineRule="exact"/>
        <w:rPr>
          <w:sz w:val="20"/>
          <w:szCs w:val="20"/>
          <w:color w:val="auto"/>
        </w:rPr>
      </w:pPr>
    </w:p>
    <w:p>
      <w:pPr>
        <w:ind w:left="760" w:hanging="21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85"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depend in part on the extent to which coverage and adequate reimbursement for these products and related treatments will be available from third-party payors, including government health care programs and private health insurers. Moreover, a payor’s decision to provide coverage for a drug product does not imply that an adequate reimbursement rate will be approved. If coverage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19" w:lineRule="exact"/>
        <w:rPr>
          <w:sz w:val="20"/>
          <w:szCs w:val="20"/>
          <w:color w:val="auto"/>
        </w:rPr>
      </w:pPr>
    </w:p>
    <w:p>
      <w:pPr>
        <w:ind w:left="120" w:right="220" w:firstLine="440"/>
        <w:spacing w:after="0" w:line="296" w:lineRule="auto"/>
        <w:rPr>
          <w:sz w:val="20"/>
          <w:szCs w:val="20"/>
          <w:color w:val="auto"/>
        </w:rPr>
      </w:pPr>
      <w:r>
        <w:rPr>
          <w:rFonts w:ascii="Times New Roman" w:cs="Times New Roman" w:eastAsia="Times New Roman" w:hAnsi="Times New Roman"/>
          <w:sz w:val="16"/>
          <w:szCs w:val="16"/>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w:t>
      </w:r>
    </w:p>
    <w:p>
      <w:pPr>
        <w:spacing w:after="0" w:line="9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Government authorities and other third-party payors in the United States and abroad have attempted to control costs by limiting coverage and the amount of reimbursement for particular medications and for newly approved products, and as a result, they may not cover or provide adequate reimbursement for OPT-302 and future product candidates. Increasingly, certain third-party payors are requiring that drug companies provide them with predetermined discounts from list prices and are challenging the prices charged for medical products. We cannot be sure that coverage and reimbursement will be available for any product that we or our future collaborators commercialize and, if reimbursement is available, what the level of reimbursement will be. Coverage and reimbursement may impact the demand for, or the price of, any product candidate for which we or our future collaborators obtain marketing approval. If coverage and reimbursement are not available or reimbursement is available only to limited levels, we and our future collaborators may not be able to successfully commercialize any product candidate for which marketing approval is obtained. 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OPT-302 and any future product candidates and any reimbursement that may become available may not be adequate or may be decreased or eliminated in the future.</w:t>
      </w:r>
    </w:p>
    <w:p>
      <w:pPr>
        <w:spacing w:after="0" w:line="13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non-U.S.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harm our operating results, our ability to raise capital needed to commercialize products and our overall financial condition.</w:t>
      </w:r>
    </w:p>
    <w:p>
      <w:pPr>
        <w:spacing w:after="0" w:line="127" w:lineRule="exact"/>
        <w:rPr>
          <w:sz w:val="20"/>
          <w:szCs w:val="20"/>
          <w:color w:val="auto"/>
        </w:rPr>
      </w:pPr>
    </w:p>
    <w:p>
      <w:pPr>
        <w:ind w:left="120" w:right="20" w:firstLine="440"/>
        <w:spacing w:after="0" w:line="296" w:lineRule="auto"/>
        <w:rPr>
          <w:sz w:val="20"/>
          <w:szCs w:val="20"/>
          <w:color w:val="auto"/>
        </w:rPr>
      </w:pPr>
      <w:r>
        <w:rPr>
          <w:rFonts w:ascii="Times New Roman" w:cs="Times New Roman" w:eastAsia="Times New Roman" w:hAnsi="Times New Roman"/>
          <w:sz w:val="16"/>
          <w:szCs w:val="16"/>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color w:val="auto"/>
        </w:rPr>
        <w:t>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or any potential future collaborator must develop and eventually commercialize OPT-302 or any future product candidates with significant market potential at an adequate profit margin after cost of goods sold and other expenses. Commercialization of OPT-302 or any future product candidates may entail a substantial cost of goods sold and there can be no assurance that we will be able to achieve a suitable gross margin with respect to sales of OPT-302 or any future product candidates.</w:t>
      </w:r>
    </w:p>
    <w:p>
      <w:pPr>
        <w:spacing w:after="0" w:line="118" w:lineRule="exact"/>
        <w:rPr>
          <w:sz w:val="20"/>
          <w:szCs w:val="20"/>
          <w:color w:val="auto"/>
        </w:rPr>
      </w:pPr>
    </w:p>
    <w:p>
      <w:pPr>
        <w:ind w:left="340" w:right="3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Changes in U.S. healthcare law and implementing regulations, as well as changes in healthcare policy, may impact our business in ways that we cannot currently predict and may harm our business and results of operations.</w:t>
      </w:r>
    </w:p>
    <w:p>
      <w:pPr>
        <w:spacing w:after="0" w:line="22" w:lineRule="exact"/>
        <w:rPr>
          <w:sz w:val="20"/>
          <w:szCs w:val="20"/>
          <w:color w:val="auto"/>
        </w:rPr>
      </w:pPr>
    </w:p>
    <w:p>
      <w:pPr>
        <w:ind w:left="120" w:right="80" w:firstLine="440"/>
        <w:spacing w:after="0" w:line="296" w:lineRule="auto"/>
        <w:rPr>
          <w:sz w:val="20"/>
          <w:szCs w:val="20"/>
          <w:color w:val="auto"/>
        </w:rPr>
      </w:pPr>
      <w:r>
        <w:rPr>
          <w:rFonts w:ascii="Times New Roman" w:cs="Times New Roman" w:eastAsia="Times New Roman" w:hAnsi="Times New Roman"/>
          <w:sz w:val="16"/>
          <w:szCs w:val="16"/>
          <w:color w:val="auto"/>
        </w:rPr>
        <w:t>There have been, and likely will continue to be, several executive,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Among policy makers and payors in the United States there is significant interest in promoting changes in healthcare systems with the stated goals of containing healthcare costs, improving quality and/or expanding access and the pharmaceutical industry has been a particular focus of these efforts and has been significantly affected by major legislative initiatives.</w:t>
      </w:r>
    </w:p>
    <w:p>
      <w:pPr>
        <w:spacing w:after="0" w:line="94"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The Patient Protection and Affordable Care Act, as amended by the Health Care and Education Reconciliation Act of 2010, collectively referred to as the Affordable Care Act, substantially changed the way healthcare is financed by both the government and private insurers, and significantly impacts the U.S. pharmaceutical industry. The Affordable Care Act, among other things: (1) introduced a new average manufacturer price definition for drugs and biologics that are inhaled, infused, instilled, implanted or injected and not generally dispensed through retail community pharmacies; (2) increased the minimum Medicaid rebates owed by manufacturers under the Medicaid Drug Rebate Program and expanded rebate liability from fee-for-service Medicaid utilization to include the utilization of Medicaid managed care organizations as well; (3) established a branded prescription drug fee that pharmaceutical manufacturers of branded prescription drugs must pay to the federal government; (4) expanded the list of covered entities eligible to participate in the 340B drug pricing program by adding new entities eligible for the program; (5) established a new Medicare Part D coverage gap discount program, in which manufacturers must agree to offer 50% (increased to 70% pursuant to the Bipartisan Budget Act of 2018, or BBA, effective as of January 2019) point-of-sale discounts off negotiated prices of applicable branded drugs to eligible beneficiaries during their coverage gap period, as a condition for the manufacturer’s outpatient drugs to be covered under Medicare Part D; (6) extended manufacturers’ Medicaid rebate liability to covered drugs dispensed to individuals who are enrolled in Medicaid managed care organizations; (7) expanded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 (8) created a licensure framework for follow-on biologic products; and</w:t>
      </w:r>
    </w:p>
    <w:p>
      <w:pPr>
        <w:spacing w:after="0" w:line="186" w:lineRule="exact"/>
        <w:rPr>
          <w:sz w:val="20"/>
          <w:szCs w:val="20"/>
          <w:color w:val="auto"/>
        </w:rPr>
      </w:pPr>
    </w:p>
    <w:p>
      <w:pPr>
        <w:ind w:left="120" w:right="140" w:hanging="4"/>
        <w:spacing w:after="0" w:line="260" w:lineRule="auto"/>
        <w:tabs>
          <w:tab w:leader="none" w:pos="3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Center for Medicare and Medicaid Innovation at the CMS to test innovative payment and service delivery models to lower Medicare and Medicaid spending.</w:t>
      </w:r>
    </w:p>
    <w:p>
      <w:pPr>
        <w:spacing w:after="0" w:line="12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There remain judicial and Congressional challenges to certain aspects of the Affordable Care Act, as well as efforts by the Trump administration to repeal or replace certain aspects of the Affordable Care Act. For example, the Tax Cuts and Jobs Act of 2017, or the TCJA, was enacted, which included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Affordable Care Act, and</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55" w:right="5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therefore, because it was repealed as part of the TCJA, the remaining provisions of the Affordable Care Act are invalid as well. On December 18, 2019, the U.S. Court of Appeals for the 5th Circuit ruled that the individual mandate was unconstitutional but remanded the case back to the District Court to determine whether the remaining provisions of the Affordable Care Act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Affordable Care Act. We are continuing to monitor any changes to the Affordable Care Act that, in turn, may potentially impact our business in the future.</w:t>
      </w:r>
    </w:p>
    <w:p>
      <w:pPr>
        <w:spacing w:after="0" w:line="125" w:lineRule="exact"/>
        <w:rPr>
          <w:sz w:val="20"/>
          <w:szCs w:val="20"/>
          <w:color w:val="auto"/>
        </w:rPr>
      </w:pPr>
    </w:p>
    <w:p>
      <w:pPr>
        <w:ind w:left="120" w:firstLine="440"/>
        <w:spacing w:after="0" w:line="283" w:lineRule="auto"/>
        <w:rPr>
          <w:sz w:val="20"/>
          <w:szCs w:val="20"/>
          <w:color w:val="auto"/>
        </w:rPr>
      </w:pPr>
      <w:r>
        <w:rPr>
          <w:rFonts w:ascii="Times New Roman" w:cs="Times New Roman" w:eastAsia="Times New Roman" w:hAnsi="Times New Roman"/>
          <w:sz w:val="16"/>
          <w:szCs w:val="16"/>
          <w:color w:val="auto"/>
        </w:rPr>
        <w:t>Other legislative changes have been proposed and adopted since the Affordable Care Act was enacted. These changes include aggregate reductions to Medicare payments to providers of 2% per fiscal year pursuant to the Budget Control Act of 2011 and subsequent laws, which began in 2013 and will remain in effect through 2030, unless additional Congressional action is taken. These Medicare sequester reductions will be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negatively affect customer demand and affordability for our products and, accordingly, the results of our financial operations. Also, there has been heightened governmental scrutiny recently over the manner in which pharmaceutical companies set prices for their marketed products, which have resulted in several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For example,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or plan,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individual states in the United States are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87" w:lineRule="auto"/>
        <w:rPr>
          <w:sz w:val="20"/>
          <w:szCs w:val="20"/>
          <w:color w:val="auto"/>
        </w:rPr>
      </w:pPr>
      <w:r>
        <w:rPr>
          <w:rFonts w:ascii="Times New Roman" w:cs="Times New Roman" w:eastAsia="Times New Roman" w:hAnsi="Times New Roman"/>
          <w:sz w:val="16"/>
          <w:szCs w:val="16"/>
          <w:color w:val="auto"/>
        </w:rPr>
        <w:t>We expect that these and other healthcare reform measures that may be adopted in the future, may result in more rigorous coverage criteria and lower reimbursement, and put additional downward pressure on the price that we receive for any approved product. It is possible that additional governmental action is taken in response to the COVID-19 pandemic. For example, on August 6, 2020, the Trump administration issued another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once marketing approval is obtained.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316" w:lineRule="exact"/>
        <w:rPr>
          <w:sz w:val="20"/>
          <w:szCs w:val="20"/>
          <w:color w:val="auto"/>
        </w:rPr>
      </w:pPr>
    </w:p>
    <w:p>
      <w:pPr>
        <w:ind w:left="340" w:right="1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As a company primarily based outside of the United States, our business is subject to economic, political, regulatory and other risks associated with international operations.</w:t>
      </w:r>
    </w:p>
    <w:p>
      <w:pPr>
        <w:spacing w:after="0" w:line="2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As a company with substantial operations in Australia and an international clinical trial program,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38" w:lineRule="exact"/>
        <w:rPr>
          <w:sz w:val="20"/>
          <w:szCs w:val="20"/>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for product approvals;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03"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Australian dollar, U.S. dollar, euro and currency controls;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03" w:lineRule="exact"/>
        <w:rPr>
          <w:rFonts w:ascii="Times New Roman" w:cs="Times New Roman" w:eastAsia="Times New Roman" w:hAnsi="Times New Roman"/>
          <w:sz w:val="18"/>
          <w:szCs w:val="18"/>
          <w:color w:val="auto"/>
        </w:rPr>
      </w:pPr>
    </w:p>
    <w:p>
      <w:pPr>
        <w:ind w:left="760" w:right="200" w:hanging="212"/>
        <w:spacing w:after="0" w:line="325"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03" w:lineRule="exact"/>
        <w:rPr>
          <w:rFonts w:ascii="Times New Roman" w:cs="Times New Roman" w:eastAsia="Times New Roman" w:hAnsi="Times New Roman"/>
          <w:sz w:val="18"/>
          <w:szCs w:val="18"/>
          <w:color w:val="auto"/>
        </w:rPr>
      </w:pPr>
    </w:p>
    <w:p>
      <w:pPr>
        <w:ind w:left="760" w:right="880" w:hanging="212"/>
        <w:spacing w:after="0" w:line="275"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health epidemics, or natural disasters including earthquakes, typhoons, floods and fires.</w:t>
      </w:r>
    </w:p>
    <w:p>
      <w:pPr>
        <w:spacing w:after="0" w:line="102" w:lineRule="exact"/>
        <w:rPr>
          <w:sz w:val="20"/>
          <w:szCs w:val="20"/>
          <w:color w:val="auto"/>
        </w:rPr>
      </w:pPr>
    </w:p>
    <w:p>
      <w:pPr>
        <w:ind w:left="340"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non-U.S. regulatory requirements governing human clinical trials and marketing approval for drugs, we could be prevented from selling our product candidates in non-U.S. markets, which may negatively affect our operating results and financial condition.</w:t>
      </w:r>
    </w:p>
    <w:p>
      <w:pPr>
        <w:spacing w:after="0" w:line="2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requirements governing the conduct of clinical trials, product licensing, pricing and reimbursement for marketing our product candidates outside the United States vary greatly from country to country and may require additional testing. We expect that our future clinical development of our product candidates will involve a number of clinical trials in non-U.S. jurisdictions. We have no direct experience as a company in obtaining non-U.S. regulatory approvals. The time required to obtain approvals outside the United States may differ from that required to obtain FDA approval. We may not obtain non-U.S. regulatory approvals on a timely basis, if at all. Approval by the FDA does not guarantee approval by comparable non-U.S. regulatory authorities, and approval by one non-U.S. regulatory authority does not ensure approval by regulatory authorities in other countries or by the FDA. Failure to comply with these regulatory requirements or obtain required approvals could impair our ability to develop non-U.S. markets for our product candidates and may harm our results of operations and financial condition.</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Price controls may be imposed in non-U.S. markets, which may negatively affect our future profitability.</w:t>
      </w:r>
    </w:p>
    <w:p>
      <w:pPr>
        <w:spacing w:after="0" w:line="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revenues or profitability could be harmed.</w:t>
      </w:r>
    </w:p>
    <w:p>
      <w:pPr>
        <w:spacing w:after="0" w:line="123" w:lineRule="exact"/>
        <w:rPr>
          <w:sz w:val="20"/>
          <w:szCs w:val="20"/>
          <w:color w:val="auto"/>
        </w:rPr>
      </w:pPr>
    </w:p>
    <w:p>
      <w:pPr>
        <w:jc w:val="both"/>
        <w:ind w:left="340"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received tax incentives under the Research and Development Tax Incentive scheme in Australia that may become repayable if we did not or do not comply with the rules of the scheme, or we may become ineligible for tax incentives in our current or future tax years, which could harm our business, financial condition and results of operations.</w:t>
      </w:r>
    </w:p>
    <w:p>
      <w:pPr>
        <w:spacing w:after="0" w:line="3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have received cash incentives in the past under the Research and Development Tax Incentive scheme, or the R&amp;D Scheme, to offset the costs of our clinical trials and other qualifying expenses incurred both in Australia and other jurisdictions. Certain research and development costs that we incur in the future may be ineligible for cash incentives under the R&amp;D Scheme. For example, costs incurred outside Australia in connection with our future clinical trials are generally not eligible for cash incentives under the R&amp;D Scheme. In addition, the federal government of Australia and the Australian Taxation Office, or ATO, could change the rules of the regulatory regime or amend past tax returns and, as a result, amounts paid to us may become repayable to the ATO including the amount of tax incentives in respect of our fiscal year ended June 30, 2020 included as current receivables in our consolidated financial statements. We have received an aggregate of A$35.1 million in cash tax incentives during the five fiscal years ended June 30, 2020 under the R&amp;D Scheme. As at June 30, 2020, our</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current tax receivable under the R&amp;D Scheme was A$14.6 million. This receivable amount as at June 30, 2020 is based on Australian legislation as enacted as at June 30, 2020. Any proposed changes to the legislation, such as the currently proposed rate change from 43.5% to 41%, may have a retrospective impact on our current tax receivable under the R&amp;D Scheme. Any rule changes made to reduce the amount we are able to claim under the R&amp;D Scheme currently or in the future and any retrospective changes made to the R&amp;D Scheme that reduce the incentives that we have claimed in past tax years could harm our business, financial condition and 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planned exit of the U.K. from the EU are a source of instability and uncertainty.</w:t>
      </w:r>
    </w:p>
    <w:p>
      <w:pPr>
        <w:spacing w:after="0" w:line="81"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6"/>
          <w:szCs w:val="16"/>
          <w:color w:val="auto"/>
        </w:rPr>
        <w:t>On June 23, 2016, the U.K. held a referendum in which a majority of the eligible members of the electorate voted for the U.K. to leave the EU. The U.K’s withdrawal from the EU is commonly referred to as “Brexit.” The U.K. and the EU have agreed to a withdrawal agreement, or the Withdrawal Agreement, which was approved by the U.K. Parliament on January 24, 2020. Under the Withdrawal Agreement, the U.K. is subject to a transition period until December 31, 2020, or the Transition Period, during which EU rules will continue to apply. Negotiations between the U.K. and the EU are expected to continue in relation to the customs and trading relationship between the U.K. and the EU following the expiration of the Transition Period.</w:t>
      </w:r>
    </w:p>
    <w:p>
      <w:pPr>
        <w:spacing w:after="0" w:line="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uncertainty concerning the U.K’s legal, political and economic relationship with the EU after the Transition Period may be a source of instability in the international markets, create significant currency fluctuations, and/or otherwise negatively affect trading agreements or similar cross-border cooperation arrangements (whether economic, tax, fiscal, legal, regulatory or otherwise). These developments, or the perception that any of them could occur, have had, and may continue to have, a significant negative impact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regulatory process in Europe.</w:t>
      </w:r>
    </w:p>
    <w:p>
      <w:pPr>
        <w:spacing w:after="0" w:line="1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Brexit has created political and economic uncertainty, particularly in the U.K. and the EU, and this uncertainty may persist for years. A withdrawal could, among other outcomes, disrupt the free movement of goods, services and people between the U.K. and the EU, and result in increased legal and regulatory complexities, as well as potentially higher costs of conducting business in Europe. The U.K.’s vote to exit the EU could also result in similar referendums or votes in other European countries in which we do business. Given the lack of comparable precedent, it is unclear what financial, trade and legal implications the withdrawal of the U.K. from the EU would have and how such withdrawal would affect us.</w:t>
      </w:r>
    </w:p>
    <w:p>
      <w:pPr>
        <w:spacing w:after="0" w:line="1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Any new regulations could add time and expense to the conduct of our business, as well as the process by which our product candidate receives regulatory approval in the U.K., the EU and elsewhere. In addition, the announcement of Brexit and the withdrawal of the U.K. from the EU have had and may continue to negatively affect global economic conditions and the stability of global financial markets, and may significantly reduce global market liquidity and restrict the ability of key market participants to operate in certain financial markets. Any of these effects of Brexit, among others, could harm our business, our results of operations, liquidity and financial condition.</w:t>
      </w:r>
    </w:p>
    <w:p>
      <w:pPr>
        <w:spacing w:after="0" w:line="121" w:lineRule="exact"/>
        <w:rPr>
          <w:sz w:val="20"/>
          <w:szCs w:val="20"/>
          <w:color w:val="auto"/>
        </w:rPr>
      </w:pPr>
    </w:p>
    <w:p>
      <w:pPr>
        <w:ind w:left="340" w:right="5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22"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commercialize any resulting products. Product liability claims may be brought against us by subjects enrolled in our clinical trials, patients, or others using our products. If we cannot successfully defend ourselves against claims that our product candidates or products that</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60"/>
          </w:cols>
          <w:pgMar w:left="320" w:top="455" w:right="5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develop caused injuries, we could incur substantial liabilities. Regardless of merit or eventual outcome, liability claims may result in:</w:t>
      </w:r>
    </w:p>
    <w:p>
      <w:pPr>
        <w:spacing w:after="0" w:line="77" w:lineRule="exact"/>
        <w:rPr>
          <w:sz w:val="20"/>
          <w:szCs w:val="20"/>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products may be used;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85"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harm our ability to obtain physician endorsement of our products or expand our business.</w:t>
      </w:r>
    </w:p>
    <w:p>
      <w:pPr>
        <w:spacing w:after="0" w:line="125" w:lineRule="exact"/>
        <w:rPr>
          <w:sz w:val="20"/>
          <w:szCs w:val="20"/>
          <w:color w:val="auto"/>
        </w:rPr>
      </w:pPr>
    </w:p>
    <w:p>
      <w:pPr>
        <w:ind w:left="340"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employees, contractors, vendors, principal investigators, consultants and future partners may engage in misconduct or other improper activities, including noncompliance with regulatory standards and requirements and insider trading.</w:t>
      </w:r>
    </w:p>
    <w:p>
      <w:pPr>
        <w:spacing w:after="0" w:line="2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We are exposed to the risk of fraud or other misconduct by our employees, contractors, vendors, principal investigators, consultants or future partners. Misconduct by these parties could include failures to comply with FDA or comparable non-U.S. authority regulations, to provide accurate information to the FDA or comparable non-U.S. regulators, to comply with U.S. federal and state and non-U.S.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Although we have adopted a Code of Conduct,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 If we or our future partners market products in a manner that violates fraud and abuse and other healthcare laws, or if we or our future partners</w:t>
      </w: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violate government price reporting laws, we or our future partners may be subject to administrative civil and/or criminal penalties, among other sanctions.</w:t>
      </w:r>
    </w:p>
    <w:p>
      <w:pPr>
        <w:spacing w:after="0" w:line="18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Most states also have statutes or regulations similar to these federal laws, which may apply to items such as pharmaceutical products and services reimbursed by private insurers. We and/or our future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25" w:lineRule="exact"/>
        <w:rPr>
          <w:sz w:val="20"/>
          <w:szCs w:val="20"/>
          <w:color w:val="auto"/>
        </w:rPr>
      </w:pPr>
    </w:p>
    <w:p>
      <w:pPr>
        <w:ind w:left="340"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relationships with investigators, healthcare professionals, consultants, third-party payors, patient organizations and customers are subject to broadly applicable healthcare laws and regulations, which could expose us civil to penalties, criminal sanctions, contractual damages, reputational harm and diminished profits and future earnings.</w:t>
      </w:r>
    </w:p>
    <w:p>
      <w:pPr>
        <w:spacing w:after="0" w:line="3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 for which we obtain regulatory approval. Our current and future arrangements may expose us to broadly applicable fraud and abuse and other healthcare laws that may constrain the business or financial arrangements and relationships through which we would market, sell and distribute our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laws include, but are not limited to, the following:</w:t>
      </w:r>
    </w:p>
    <w:p>
      <w:pPr>
        <w:spacing w:after="0" w:line="77" w:lineRule="exact"/>
        <w:rPr>
          <w:sz w:val="20"/>
          <w:szCs w:val="20"/>
          <w:color w:val="auto"/>
        </w:rPr>
      </w:pPr>
    </w:p>
    <w:p>
      <w:pPr>
        <w:ind w:left="760" w:hanging="212"/>
        <w:spacing w:after="0" w:line="25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The Anti-Kickback Statute has been interpreted to apply to arrangements between biopharmaceutical manufacturers, on the one hand, and prescribers, purchasers and formulary managers, among others, on the other. In addition, the government may assert that a claim including items or services resulting from a violation of the federal Anti-Kickback Statute constitutes a false or fraudulent claim for purposes of the False Claims Act;</w:t>
      </w:r>
    </w:p>
    <w:p>
      <w:pPr>
        <w:spacing w:after="0" w:line="51" w:lineRule="exact"/>
        <w:rPr>
          <w:rFonts w:ascii="Times New Roman" w:cs="Times New Roman" w:eastAsia="Times New Roman" w:hAnsi="Times New Roman"/>
          <w:sz w:val="18"/>
          <w:szCs w:val="18"/>
          <w:color w:val="auto"/>
        </w:rPr>
      </w:pPr>
    </w:p>
    <w:p>
      <w:pPr>
        <w:ind w:left="760" w:right="40" w:hanging="212"/>
        <w:spacing w:after="0" w:line="26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and civil false claims laws, including the False Claims Act, which imposes criminal and civil penalties, including through civil whistleblower or qui tam actions, against individuals or entities for knowingly presenting, or causing to be presented, to the federal government, claims for payment that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60"/>
        <w:spacing w:after="0" w:line="255" w:lineRule="auto"/>
        <w:rPr>
          <w:sz w:val="20"/>
          <w:szCs w:val="20"/>
          <w:color w:val="auto"/>
        </w:rPr>
      </w:pPr>
      <w:r>
        <w:rPr>
          <w:rFonts w:ascii="Times New Roman" w:cs="Times New Roman" w:eastAsia="Times New Roman" w:hAnsi="Times New Roman"/>
          <w:sz w:val="18"/>
          <w:szCs w:val="18"/>
          <w:color w:val="auto"/>
        </w:rPr>
        <w:t>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 When an entity is determined to have violated the False Claims Act, the government may impose civil fines and penalties for each false claim, plus treble damages, and exclude the entity from participation in Medicare, Medicaid and other federal healthcare programs;</w:t>
      </w:r>
    </w:p>
    <w:p>
      <w:pPr>
        <w:spacing w:after="0" w:line="44" w:lineRule="exact"/>
        <w:rPr>
          <w:sz w:val="20"/>
          <w:szCs w:val="20"/>
          <w:color w:val="auto"/>
        </w:rPr>
      </w:pPr>
    </w:p>
    <w:p>
      <w:pPr>
        <w:ind w:left="760" w:right="260" w:hanging="212"/>
        <w:spacing w:after="0" w:line="258"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41" w:lineRule="exact"/>
        <w:rPr>
          <w:rFonts w:ascii="Times New Roman" w:cs="Times New Roman" w:eastAsia="Times New Roman" w:hAnsi="Times New Roman"/>
          <w:sz w:val="18"/>
          <w:szCs w:val="18"/>
          <w:color w:val="auto"/>
        </w:rPr>
      </w:pPr>
    </w:p>
    <w:p>
      <w:pPr>
        <w:ind w:left="760" w:right="120" w:hanging="212"/>
        <w:spacing w:after="0" w:line="288"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or HITECH, and their implementing regulations, which also impose obligations, including mandatory contractual terms, with respect to safeguarding the privacy, security, and transmission of individually identifiable health information on health plans, health care clearing houses, and certain healthcare providers and their business associates, defined as independent contractors or agents of covered entities that create, receive or obtain protected health information in connection with providing a service for or on behalf of a covered entity, as well as their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personally identifiable information, or personal information or personal data, in certain circumstances, many of which differ from each other in significant ways and may not have the same effect, thus complicating compliance efforts;</w:t>
      </w:r>
    </w:p>
    <w:p>
      <w:pPr>
        <w:spacing w:after="0" w:line="19" w:lineRule="exact"/>
        <w:rPr>
          <w:rFonts w:ascii="Times New Roman" w:cs="Times New Roman" w:eastAsia="Times New Roman" w:hAnsi="Times New Roman"/>
          <w:sz w:val="16"/>
          <w:szCs w:val="16"/>
          <w:color w:val="auto"/>
        </w:rPr>
      </w:pPr>
    </w:p>
    <w:p>
      <w:pPr>
        <w:ind w:left="760" w:right="180" w:hanging="212"/>
        <w:spacing w:after="0" w:line="291"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as defined by law, and teaching hospitals, and requires applicable manufacturers and group purchasing organizations to report annually to the ownership and investment interests held by such physicians and their immediate family members and payments or other “transfers of value” to such physician owners (covered manufacturers are required to submit reports to CMS by the 90th day of each calendar year). Effective January 1, 2022, these reporting obligations will extend to include transfers of value made in the previous year to certain non-physician providers such as physician assistants and nurse practitioners; and</w:t>
      </w:r>
    </w:p>
    <w:p>
      <w:pPr>
        <w:spacing w:after="0" w:line="17" w:lineRule="exact"/>
        <w:rPr>
          <w:rFonts w:ascii="Times New Roman" w:cs="Times New Roman" w:eastAsia="Times New Roman" w:hAnsi="Times New Roman"/>
          <w:sz w:val="16"/>
          <w:szCs w:val="16"/>
          <w:color w:val="auto"/>
        </w:rPr>
      </w:pPr>
    </w:p>
    <w:p>
      <w:pPr>
        <w:ind w:left="760" w:hanging="212"/>
        <w:spacing w:after="0" w:line="253"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and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marketing expenditures or drug pricing; and state and local laws that require the registration of pharmaceutical sales representatives; and state and non-U.S. laws governing the privacy and security of health information in some circumstances, many of which differ from each other in significant ways and often are not preempted by HIPAA, thus complicating compliance efforts.</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Pharmaceutical and other healthcare companies have been prosecuted under these laws for a variety of promotional and marketing activities, such as: providing free trips, free or discounted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any actions are instituted against us for violation of these laws or regulations, and we are not successful in defending ourselves, those actions could have a significant impact on our business, including the imposition of significant civil, criminal and administrative sanctions, damages, disgorgement, monetary fines, possible exclusion from participation in Medicare, Medicaid and other federal healthcare programs, imprisonment, integrity oversight and reporting obligations, contractual damages, reputational harm, diminished profits and future earnings, and curtailment or restructuring of our operations, any of which could harm our ability to operate our business and our results of operations.</w:t>
      </w:r>
    </w:p>
    <w:p>
      <w:pPr>
        <w:spacing w:after="0" w:line="13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affected by or subject to new, amended or existing laws and regulations in the future, including as our operations continue to expand or if we operate in non-U.S. jurisdictions. Several non-U.S. jurisdictions, including the European Union, or EU, its member states, the United Kingdom, Japan and Australia, among others, have adopted legislation and regulations that increase or change the requirements governing the collection, use, disclosure and transfer of the personal information of individuals in these jurisdictions. Additionally, certain countries have passed or are considering passing laws that require local data residency and/or restrict the international transfer of data and/or impose data localization requirements with respect to certain personal information. These laws have the potential to increase costs of compliance, risks of noncompliance and penalties for noncompliance.</w:t>
      </w:r>
    </w:p>
    <w:p>
      <w:pPr>
        <w:spacing w:after="0" w:line="12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damages, disgorgement, fines, imprisonment, exclusion from government funded healthcare programs, such as Medicare and Medicaid, additional oversight and reporting obligations, contractual damages, reputational harm, diminished profits and future earnings, and the curtailment or restructuring of our operations. If any of the physicians or other healthcare providers or entities with whom we expect to do business is found not to be in compliance with applicable laws, that person or entity may be subject to significant criminal, civil or administrative sanctions, including exclusions from government funded healthcare programs.</w:t>
      </w:r>
    </w:p>
    <w:p>
      <w:pPr>
        <w:spacing w:after="0" w:line="123" w:lineRule="exact"/>
        <w:rPr>
          <w:sz w:val="20"/>
          <w:szCs w:val="20"/>
          <w:color w:val="auto"/>
        </w:rPr>
      </w:pPr>
    </w:p>
    <w:p>
      <w:pPr>
        <w:ind w:left="340" w:right="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those of our third-party collaborators, service providers, contractors or consultants. Our internal computer systems, or those of our third-party collaborators, service providers, contractors or consultants, may fail or suffer security breaches, disruptions, or incidents, which could result in a material disruption of our development programs or loss of data or compromise the privacy, security, integrity or confidentiality of sensitive information related to our business and could harm our reputation, business, financial condition or results of operations.</w:t>
      </w:r>
    </w:p>
    <w:p>
      <w:pPr>
        <w:spacing w:after="0" w:line="4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large amounts of confidential information, including intellectual property, proprietary business information and personal information. Our internal technology systems and infrastructure, and those of our current or future third-party collaborators, service providers, contractors and consultants are vulnerable to damage from computer viruses, unauthorized access or use resulting from malware, natural disasters, terrorism, war and telecommunication and electrical failures, denial-of-service attacks, cyber-attacks or cyber-intrusions over the Internet, hacking, phishing and other social engineering attacks, persons inside our organizations (including employees or contractors), loss or theft, or persons with access to systems inside our organization. Attacks on information technology systems are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60"/>
        <w:spacing w:after="0" w:line="252" w:lineRule="auto"/>
        <w:rPr>
          <w:sz w:val="20"/>
          <w:szCs w:val="20"/>
          <w:color w:val="auto"/>
        </w:rPr>
      </w:pPr>
      <w:r>
        <w:rPr>
          <w:rFonts w:ascii="Times New Roman" w:cs="Times New Roman" w:eastAsia="Times New Roman" w:hAnsi="Times New Roman"/>
          <w:sz w:val="18"/>
          <w:szCs w:val="18"/>
          <w:color w:val="auto"/>
        </w:rPr>
        <w:t>increasing in their frequency, levels of persistence, sophistication and intensity, and they are being conducted by increasingly sophisticated and organized non-U.S. governments, groups and individuals with a wide range of motives and expertise. For example, in June 2020, a coordinated cyber security attack targeted Australian government entities and companies. In addition to extracting or accessing sensitive information, such attacks could include the deployment of harmful malware, ransomware, denial-of-service attacks, social engineering and other means to affect service reliability and threaten the security, confidentiality, integrity and availability of information. The prevalent use of mobile devices that access sensitive information also increases the risk of data security incidents which could lead to such sensitive information (which may include confidential information, other intellectual property or personal information) being subject to unauthorized access or otherwise compromised. While to our knowledge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w:t>
      </w:r>
    </w:p>
    <w:p>
      <w:pPr>
        <w:spacing w:after="0" w:line="13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example, the loss of clinical trial data from completed, ongoing or planned clinical trials for our product candidates could result in delays in our regulatory approval efforts and significantly increase our costs to recover or reproduce the data. To the extent that any real or perceived security breach affects our systems (or those of our third-party collaborators, service providers, contractors or consultants), or results in the loss of or accidental, unlawful or unauthorized access to, use of, release of, or other processing of personal information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Such a breach may require notification to governmental agencies, the media or individuals pursuant to various non-U.S. domestic (federal and state) privacy and security laws, if applicable, including HIPAA, as amended by HITECH, and its implementing rules and regulations, as well as regulations promulgated by the Federal Trade Commission and state breach notification laws. In addition, our liability insurance may not be sufficient in type or amount to cover us against all losses and claims related to security breaches, cyberattacks and other related incidents.</w:t>
      </w:r>
    </w:p>
    <w:p>
      <w:pPr>
        <w:spacing w:after="0" w:line="12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or any data security incidents or other security breaches that result in the accidental, unlawful or unauthorized access to, use of, release of, processing of, or transfer of sensitive information, including personal information, may result in negative publicity, harm to our reputation, governmental investigations, enforcement actions, regulatory fines, litigation or public statements against us, could cause third parties to lose trust in us or could result in claims by third parties, including those that assert that we have breached our privacy, confidentiality, data security or similar obligations, any of which could harm our reputation, business, financial condition or results of operations.</w:t>
      </w:r>
    </w:p>
    <w:p>
      <w:pPr>
        <w:spacing w:after="0" w:line="1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the extent we maintain individually identifiable health information, we could be subject to fines and penalties (including civil and criminal) under HIPAA for any failure by us or our business associates to comply with HIPAA’s requirements. Moreover, data security incidents and other security breaches can be difficult to detect, and any delay in identifying them may lead to increased harm. While we have implemented data security measures intended to protect our information, data, information technology systems, applications and infrastructure, there can be no assurance that such measures will successfully prevent service interruptions or data security incidents.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5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collection, use, processing and cross-border transfer of personal information.</w:t>
      </w:r>
    </w:p>
    <w:p>
      <w:pPr>
        <w:spacing w:after="0" w:line="22"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We may collect, process, use or transfer personal information from individuals located in the European Economic Area in connection with our business, including in connection with conducting clinical trials in the European Economic Area, or the EEA. Additionally, if any of our product candidates are approved, we may seek to commercialize those products in the European Economic Area. The collection and use of personal health data in the European Economic Area is governed by the provisions of the General Data Protection Regulation ((EU) 2016/679), or the GDPR, along with other European Union and country-specific laws and regulations. The United Kingdom and Switzerland have also adopted data protection laws and regulations. These legislative acts (together with regulations and guidelines) impose requirements relating to having legal bases for processing personal data relating to identifiable individuals and transferring such data outside of the European Economic Area, including to the United States,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or corporate representatives,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Economic Area and other states in the European Economic Area may result in substantial penalties, including potential fines of up to €20 million or 4% of annual global revenues, whichever is greater, other administrative penalties and civil claims being brought against us, which could harm our business, financial condition and results of operations. European data protection authorities may interpret the GDPR and national laws differently and may impose additional requirements, which adds to the complexity of processing personal data in or from the EEA or United Kingdom. Guidance on implementation and compliance practices are often updated or otherwise revised.</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leaving us exposed to significant uninsured liabilities.</w:t>
      </w:r>
    </w:p>
    <w:p>
      <w:pPr>
        <w:spacing w:after="0" w:line="81" w:lineRule="exact"/>
        <w:rPr>
          <w:sz w:val="20"/>
          <w:szCs w:val="20"/>
          <w:color w:val="auto"/>
        </w:rPr>
      </w:pPr>
    </w:p>
    <w:p>
      <w:pPr>
        <w:ind w:left="120" w:right="40" w:firstLine="440"/>
        <w:spacing w:after="0" w:line="293" w:lineRule="auto"/>
        <w:rPr>
          <w:sz w:val="20"/>
          <w:szCs w:val="20"/>
          <w:color w:val="auto"/>
        </w:rPr>
      </w:pPr>
      <w:r>
        <w:rPr>
          <w:rFonts w:ascii="Times New Roman" w:cs="Times New Roman" w:eastAsia="Times New Roman" w:hAnsi="Times New Roman"/>
          <w:sz w:val="16"/>
          <w:szCs w:val="16"/>
          <w:color w:val="auto"/>
        </w:rPr>
        <w:t>We do not carry insurance for all categories of risk that our business may encounter. We believe that we maintain insurance customary for businesses of our size and type, including clinical trial liability insurance. However, there are types of losses we may incur that cannot be insured against or that we believe are not economically reasonable to insure. Moreover, any loss incurred could exceed policy limits and policy payments made to us may not be made on a timely basis. Such losses could negatively affect our business prospects, results of operations, cash flows and financial condition. We do not know if our current levels of coverage are adequate or if we will be able to obtain insurance with adequate levels of coverage in the future, if at all. Any significant uninsured liability may require us to pay substantial amounts, which could negatively impact our financial position and results of operations.</w:t>
      </w:r>
    </w:p>
    <w:p>
      <w:pPr>
        <w:spacing w:after="0" w:line="93" w:lineRule="exact"/>
        <w:rPr>
          <w:sz w:val="20"/>
          <w:szCs w:val="20"/>
          <w:color w:val="auto"/>
        </w:rPr>
      </w:pPr>
    </w:p>
    <w:p>
      <w:pPr>
        <w:ind w:left="340"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2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340"/>
        <w:spacing w:after="0" w:line="275" w:lineRule="auto"/>
        <w:rPr>
          <w:sz w:val="20"/>
          <w:szCs w:val="20"/>
          <w:color w:val="auto"/>
        </w:rPr>
      </w:pPr>
      <w:r>
        <w:rPr>
          <w:rFonts w:ascii="Times New Roman" w:cs="Times New Roman" w:eastAsia="Times New Roman" w:hAnsi="Times New Roman"/>
          <w:sz w:val="18"/>
          <w:szCs w:val="18"/>
          <w:color w:val="auto"/>
        </w:rPr>
        <w:t>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106"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and financial condition.</w:t>
      </w:r>
    </w:p>
    <w:p>
      <w:pPr>
        <w:spacing w:after="0" w:line="81" w:lineRule="exact"/>
        <w:rPr>
          <w:sz w:val="20"/>
          <w:szCs w:val="20"/>
          <w:color w:val="auto"/>
        </w:rPr>
      </w:pPr>
    </w:p>
    <w:p>
      <w:pPr>
        <w:ind w:left="120" w:right="60" w:firstLine="440"/>
        <w:spacing w:after="0" w:line="290" w:lineRule="auto"/>
        <w:rPr>
          <w:sz w:val="20"/>
          <w:szCs w:val="20"/>
          <w:color w:val="auto"/>
        </w:rPr>
      </w:pPr>
      <w:r>
        <w:rPr>
          <w:rFonts w:ascii="Times New Roman" w:cs="Times New Roman" w:eastAsia="Times New Roman" w:hAnsi="Times New Roman"/>
          <w:sz w:val="16"/>
          <w:szCs w:val="16"/>
          <w:color w:val="auto"/>
        </w:rPr>
        <w:t>Global credit and financial markets have experienced extreme disruptions at various points over the last few decades,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harmed.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harm our growth strategy, financial performance and share price and could require us to delay or abandon development or commercialization plans. In addition, there is a risk that one or more of our service providers, manufacturers or other partners would not survive or be able to meet their commitments to us under such circumstances, which could directly affect our ability to attain our operating goals on schedule and on budget.</w:t>
      </w:r>
    </w:p>
    <w:p>
      <w:pPr>
        <w:spacing w:after="0" w:line="94" w:lineRule="exact"/>
        <w:rPr>
          <w:sz w:val="20"/>
          <w:szCs w:val="20"/>
          <w:color w:val="auto"/>
        </w:rPr>
      </w:pPr>
    </w:p>
    <w:p>
      <w:pPr>
        <w:ind w:left="340"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negatively impacted.</w:t>
      </w:r>
    </w:p>
    <w:p>
      <w:pPr>
        <w:spacing w:after="0" w:line="3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404(a) of the Sarbanes-Oxley Act of 2002, or the Sarbanes-Oxley Act, requires that our management assess and report annually on the effectiveness of our internal controls over financial reporting and identify any material weaknesses in our internal controls over financial reporting. During the audit of our consolidated financial statements for the fiscal year ended June 30, 2019, material weaknesses were identified in our internal control over financial reporting. Under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that have been identified relate to our lack of (i) sufficient accounting and financial reporting personnel with requisite knowledge of and experience in application of SEC rules and regulations and (ii) adequate controls to address segregation of duties. We and our independent registered public accounting firm were not required to perform an evaluation of our internal control over financial reporting as of June 30, 2019 and 2020 in accordance with the provisions of the Sarbanes-Oxley Act. Accordingly, we cannot assure you that we have identified all, or that we will not in the future have additional, material weaknesses.</w:t>
      </w:r>
    </w:p>
    <w:p>
      <w:pPr>
        <w:spacing w:after="0" w:line="1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in the process of implementing a number of measures to address the material weaknesses that have been identified including: (i) hiring additional accounting and financial reporting personnel with SEC reporting experience, (ii) expanding the capabilities of existing accounting and financial reporting personnel through continuous training and education in the accounting and reporting requirements under International Financial Reporting Standards, or IFRS, and SEC rules and regulations, (iii) establishing effective monitoring and oversight controls for non-recurring and complex transactions to ensure the accuracy and completeness of our company’s consolidated financial statements and related disclosures and (iv) implementing formal processes and controls to identify, monitor and mitigate segregation of duties conflicts.</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presence of material weaknesses could result in financial statement errors which, in turn, could lead to errors in our financial reports or delays in our financial reporting, which could require us to restate our operating results or result in our auditors issuing a qualified audit report. In order to establish and maintain effective disclosure controls and procedures and internal controls over financial reporting, we will need to expend significant resources and provide significant management oversight. Developing, implementing and testing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establishing and maintaining adequate internal controls.</w:t>
      </w:r>
    </w:p>
    <w:p>
      <w:pPr>
        <w:spacing w:after="0" w:line="1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either we are unable to conclude that we have effective internal controls over financial reporting or our independent auditors are unwilling or unable to provide us with an unqualified report on the effectiveness of our internal controls over financial reporting as required by Section 404(b) of the Sarbanes-Oxley Act, investors may lose confidence in our operating results, the price of the ADSs could decline and we may be subject to litigation or regulatory enforcement actions. In addition, if we are unable to meet the requirements of Section 404 of the Sarbanes-Oxley Act, we may not be able to remain listed on The Nasdaq Global Select Market, or Nasdaq.</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Approvals</w:t>
      </w:r>
    </w:p>
    <w:p>
      <w:pPr>
        <w:spacing w:after="0" w:line="75" w:lineRule="exact"/>
        <w:rPr>
          <w:sz w:val="20"/>
          <w:szCs w:val="20"/>
          <w:color w:val="auto"/>
        </w:rPr>
      </w:pPr>
    </w:p>
    <w:p>
      <w:pPr>
        <w:ind w:left="340" w:right="2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required regulatory approvals, we will not be able to commercialize OPT-302 or any future product candidate, and our ability to generate product revenue will be impaired.</w:t>
      </w:r>
    </w:p>
    <w:p>
      <w:pPr>
        <w:spacing w:after="0" w:line="2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OPT-302 and any future product candidate that we may develop, as well as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 regulatory agencies in the United States and by similar regulatory authorities outside the United States. Failure to obtain marketing approval for, and thus commercialize any product candidate, could negatively impact our ability to generate any revenue from product sales.</w:t>
      </w:r>
    </w:p>
    <w:p>
      <w:pPr>
        <w:spacing w:after="0" w:line="1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received approval from regulatory authorities to market any product candidate in any jurisdiction, and it is possible that our product candidate will never obtain the appropriate regulatory approvals necessary for us to commence product sales. Neither we nor any collaborator is permitted to market our product candidate in the United States or any other jurisdiction until we receive regulatory approval of a BLA from the FDA or similar application from regulatory authorities outside of the United States.</w:t>
      </w:r>
    </w:p>
    <w:p>
      <w:pPr>
        <w:spacing w:after="0" w:line="12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time required to obtain approval of a BLA by the FDA or similar application from regulatory authorities outside of the United States is unpredictable but typically takes many years following the commencement of clinical trials and depends upon numerous factors, including the substantial discretion of the regulatory authority. Prior to submitting a BLA to the FDA or any comparable application to any other non-U.S. regulatory authorities for approval of any product candidate, we will need to complete pivotal Phase 3 clinical trials and demonstrate favorable results with respect to safety, tolerability and efficacy. In addition, approval policies, regulations or the type and amount of clinical data necessary to gain approval may change during the course of a product candidate’s clinical development and may vary among jurisdictions.</w:t>
      </w:r>
    </w:p>
    <w:p>
      <w:pPr>
        <w:spacing w:after="0" w:line="12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Securing marketing approvals requires the submission of extensive nonclinical and clinical data and supporting information to regulatory authorities for each therapeutic indication to establish the safety and efficacy of our product candidate for the specified indications. We expect to rely on third-party CROs, consultants and our collaborators to assist us in filing and supporting the applications necessary to gain marketing approvals. Securing marketing approval also requires the submission of information about the product manufacturing process to, and inspection of manufacturing facilities by, regulatory authorities. Errors in the submission of applications for marketing approval or issues, including those related to gathering the appropriate data and the inspection process, may ultimately delay or affect our ability to obtain regulatory approval, commercialize our product candidate and generate product revenue.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22" w:lineRule="exact"/>
        <w:rPr>
          <w:sz w:val="20"/>
          <w:szCs w:val="20"/>
          <w:color w:val="auto"/>
        </w:rPr>
      </w:pPr>
    </w:p>
    <w:p>
      <w:pPr>
        <w:ind w:left="120" w:firstLine="440"/>
        <w:spacing w:after="0" w:line="285" w:lineRule="auto"/>
        <w:rPr>
          <w:sz w:val="20"/>
          <w:szCs w:val="20"/>
          <w:color w:val="auto"/>
        </w:rPr>
      </w:pPr>
      <w:r>
        <w:rPr>
          <w:rFonts w:ascii="Times New Roman" w:cs="Times New Roman" w:eastAsia="Times New Roman" w:hAnsi="Times New Roman"/>
          <w:sz w:val="16"/>
          <w:szCs w:val="16"/>
          <w:color w:val="auto"/>
        </w:rPr>
        <w:t>If we succeed in developing any products, we intend to market them in non-U.S. jurisdictions in addition to the United States. In order to market and sell our products in other jurisdictions, we must obtain separate marketing approvals and comply with numerous and varying regulatory requirements. We may not obtain non-U.S.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non-U.S. regulatory approvals and compliance with non-U.S.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negatively affected.</w:t>
      </w:r>
    </w:p>
    <w:p>
      <w:pPr>
        <w:spacing w:after="0" w:line="321" w:lineRule="exact"/>
        <w:rPr>
          <w:sz w:val="20"/>
          <w:szCs w:val="20"/>
          <w:color w:val="auto"/>
        </w:rPr>
      </w:pPr>
    </w:p>
    <w:p>
      <w:pPr>
        <w:ind w:left="340" w:right="6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Even if OPT-302 combination therapy or any future product candidate receives regulatory approval, it may still face future development and regulatory difficulties.</w:t>
      </w:r>
    </w:p>
    <w:p>
      <w:pPr>
        <w:spacing w:after="0" w:line="2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Even if we obtained regulatory approval for a product candidate, it would be subject to ongoing requirements by the FDA and comparable non-U.S. regulatory authorities governing the manufacture, quality control, further development, labeling, packaging, storage, distribution, safety surveillance, import, export, advertising, promotion, recordkeeping and reporting of safety and other post-market information. The FDA and comparable non-U.S. regulatory authorities will continue to closely monitor the safety profile of any product even after approval. If the FDA, or comparable non-U.S. regulatory authorities, become aware of new safety information after approval of any of our product candidates, it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127" w:lineRule="exact"/>
        <w:rPr>
          <w:sz w:val="20"/>
          <w:szCs w:val="20"/>
          <w:color w:val="auto"/>
        </w:rPr>
      </w:pPr>
    </w:p>
    <w:p>
      <w:pPr>
        <w:ind w:left="120" w:firstLine="440"/>
        <w:spacing w:after="0" w:line="293" w:lineRule="auto"/>
        <w:rPr>
          <w:sz w:val="20"/>
          <w:szCs w:val="20"/>
          <w:color w:val="auto"/>
        </w:rPr>
      </w:pPr>
      <w:r>
        <w:rPr>
          <w:rFonts w:ascii="Times New Roman" w:cs="Times New Roman" w:eastAsia="Times New Roman" w:hAnsi="Times New Roman"/>
          <w:sz w:val="16"/>
          <w:szCs w:val="16"/>
          <w:color w:val="auto"/>
        </w:rPr>
        <w:t>In addition, manufacturers of drug products and their facilities are subject to continual review and periodic inspections by the FDA and other regulatory authorities for compliance with current good manufacturing practices, or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16" w:lineRule="exact"/>
        <w:rPr>
          <w:sz w:val="20"/>
          <w:szCs w:val="20"/>
          <w:color w:val="auto"/>
        </w:rPr>
      </w:pPr>
    </w:p>
    <w:p>
      <w:pPr>
        <w:jc w:val="center"/>
        <w:ind w:left="5540" w:right="980" w:hanging="4992"/>
        <w:spacing w:after="0" w:line="478" w:lineRule="auto"/>
        <w:tabs>
          <w:tab w:leader="none" w:pos="7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safety alerts, Dear Healthcare Provider letters, press releases or other communications containing warnings about such product; 46</w:t>
      </w:r>
    </w:p>
    <w:p>
      <w:pPr>
        <w:sectPr>
          <w:pgSz w:w="11900" w:h="16838" w:orient="portrait"/>
          <w:cols w:equalWidth="0" w:num="1">
            <w:col w:w="11080"/>
          </w:cols>
          <w:pgMar w:left="320" w:top="455"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103" w:lineRule="exact"/>
        <w:rPr>
          <w:rFonts w:ascii="Times New Roman" w:cs="Times New Roman" w:eastAsia="Times New Roman" w:hAnsi="Times New Roman"/>
          <w:sz w:val="18"/>
          <w:szCs w:val="18"/>
          <w:color w:val="auto"/>
        </w:rPr>
      </w:pPr>
    </w:p>
    <w:p>
      <w:pPr>
        <w:ind w:left="760" w:right="20" w:hanging="212"/>
        <w:spacing w:after="0" w:line="275"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labeling, including adding limitations on approved uses or the additions of additional warnings, contraindications or other safety information including boxed warnings;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 REMS which may include distribution on or use restrictions;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we conduct post-marketing studies;</w:t>
      </w:r>
    </w:p>
    <w:p>
      <w:pPr>
        <w:spacing w:after="0" w:line="103" w:lineRule="exact"/>
        <w:rPr>
          <w:rFonts w:ascii="Times New Roman" w:cs="Times New Roman" w:eastAsia="Times New Roman" w:hAnsi="Times New Roman"/>
          <w:sz w:val="18"/>
          <w:szCs w:val="18"/>
          <w:color w:val="auto"/>
        </w:rPr>
      </w:pPr>
    </w:p>
    <w:p>
      <w:pPr>
        <w:ind w:left="760" w:right="20" w:hanging="212"/>
        <w:spacing w:after="0" w:line="275"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marketing of, withdraw regulatory approval of or recall such product;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studies;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product revenue.</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significant civil and criminal sanctions by the government. In the United States, engaging in the impermissible promotion of our products for off-label uses can also subject us to false claims litigation under federal and state statutes, which can lead to significant civil and criminal penalties. Additionally, comparable non-U.S. regulatory authorities will heavily scrutinize advertising and promotion of any product candidate that obtains approval outside of the United States.</w:t>
      </w:r>
    </w:p>
    <w:p>
      <w:pPr>
        <w:spacing w:after="0" w:line="127"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negatively affect our business, prospects and ability to achieve or sustain profitability.</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75" w:lineRule="exact"/>
        <w:rPr>
          <w:sz w:val="20"/>
          <w:szCs w:val="20"/>
          <w:color w:val="auto"/>
        </w:rPr>
      </w:pPr>
    </w:p>
    <w:p>
      <w:pPr>
        <w:ind w:left="340" w:right="20"/>
        <w:spacing w:after="0" w:line="312" w:lineRule="auto"/>
        <w:rPr>
          <w:sz w:val="20"/>
          <w:szCs w:val="20"/>
          <w:color w:val="auto"/>
        </w:rPr>
      </w:pPr>
      <w:r>
        <w:rPr>
          <w:rFonts w:ascii="Times New Roman" w:cs="Times New Roman" w:eastAsia="Times New Roman" w:hAnsi="Times New Roman"/>
          <w:sz w:val="16"/>
          <w:szCs w:val="16"/>
          <w:b w:val="1"/>
          <w:bCs w:val="1"/>
          <w:i w:val="1"/>
          <w:iCs w:val="1"/>
          <w:color w:val="auto"/>
        </w:rPr>
        <w:t>We have relied on, and expect to continue to rely on, third-party manufacturers to produce OPT-302 or any future product candidates. Any failure by a third-party manufacturer to produce acceptable product candidates for us pursuant to our specifications and regulatory standards may delay or impair our ability to initiate or complete our clinical trials, obtain and maintain regulatory approvals or commercialize approved products.</w:t>
      </w:r>
    </w:p>
    <w:p>
      <w:pPr>
        <w:spacing w:after="0" w:line="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manufacturing of biologic drugs such as OPT-302 is complex and the process of identifying the qualifying suppliers takes a significant investment of time and money. 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us with OPT-302 and any future product candidates.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currently have a sole source relationship with Patheon N.V., a division of Thermo Fisher Scientific Inc., pursuant to which they supply us with OPT-302 drug substance and drug product. If there should be any disruption in our supply arrangement with Patheon, including any adverse events affecting Patheon or Thermo Fisher Scientific, it could have a negative effect on the clinical development of OPT-302 and other operations while we work to identify and qualify an alternate supply source. In addition, we do not have a long-term supply arrangement to purchase anti-VEGF-A therapy for use in combination with OPT-302 in our clinical trials and acquire such drug product on a purchase order basis. Any complications with our existing suppliers of anti-VEGF-A therapies could considerably delay our clinical trials for OPT-302, including our Phase 3 pivotal clinical program of OPT-302 for the treatment of wet AMD, or the regulatory approvals of OPT-302.</w:t>
      </w:r>
    </w:p>
    <w:p>
      <w:pPr>
        <w:spacing w:after="0" w:line="12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Reliance on third-party suppliers and manufacturers entails risks to which we would not be subject if we manufacture product candidates or products ourselves. For example, if we do not maintain our key manufacturing relationships, including with Patheon, we may fail to find replacement manufacturers or develop our own manufacturing capabilities in a timely manner or at all,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in a timely manner, if at all, and there could be a substantial delay before new facilities could be qualified and registered with or licensed by the FDA and other comparable non-U.S. regulatory authorities.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Even if we are able to establish agreements with third-party manufacturers, reliance on third-party manufacturers entails additional risks, including:</w:t>
      </w:r>
    </w:p>
    <w:p>
      <w:pPr>
        <w:spacing w:after="0" w:line="100" w:lineRule="exact"/>
        <w:rPr>
          <w:sz w:val="20"/>
          <w:szCs w:val="20"/>
          <w:color w:val="auto"/>
        </w:rPr>
      </w:pPr>
    </w:p>
    <w:p>
      <w:pPr>
        <w:ind w:left="760" w:right="60" w:hanging="212"/>
        <w:spacing w:after="0" w:line="26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third party to manufacture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37" w:lineRule="exact"/>
        <w:rPr>
          <w:rFonts w:ascii="Times New Roman" w:cs="Times New Roman" w:eastAsia="Times New Roman" w:hAnsi="Times New Roman"/>
          <w:sz w:val="18"/>
          <w:szCs w:val="18"/>
          <w:color w:val="auto"/>
        </w:rPr>
      </w:pPr>
    </w:p>
    <w:p>
      <w:pPr>
        <w:ind w:left="760" w:right="580" w:hanging="212"/>
        <w:spacing w:after="0" w:line="275"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 because of factors beyond our control (including a failure to manufacture product candidates in accordance with our product specifications);</w:t>
      </w:r>
    </w:p>
    <w:p>
      <w:pPr>
        <w:spacing w:after="0" w:line="25" w:lineRule="exact"/>
        <w:rPr>
          <w:rFonts w:ascii="Times New Roman" w:cs="Times New Roman" w:eastAsia="Times New Roman" w:hAnsi="Times New Roman"/>
          <w:sz w:val="18"/>
          <w:szCs w:val="18"/>
          <w:color w:val="auto"/>
        </w:rPr>
      </w:pPr>
    </w:p>
    <w:p>
      <w:pPr>
        <w:ind w:left="760" w:right="480" w:hanging="212"/>
        <w:spacing w:after="0" w:line="275"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third-parties for manufacturing process development, regulatory compliance and quality assurance;</w:t>
      </w:r>
    </w:p>
    <w:p>
      <w:pPr>
        <w:spacing w:after="0" w:line="25" w:lineRule="exact"/>
        <w:rPr>
          <w:rFonts w:ascii="Times New Roman" w:cs="Times New Roman" w:eastAsia="Times New Roman" w:hAnsi="Times New Roman"/>
          <w:sz w:val="18"/>
          <w:szCs w:val="18"/>
          <w:color w:val="auto"/>
        </w:rPr>
      </w:pPr>
    </w:p>
    <w:p>
      <w:pPr>
        <w:ind w:left="760" w:right="520" w:hanging="212"/>
        <w:spacing w:after="0" w:line="275"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mislabeling of clinical supplies, potentially resulting in the wrong dose amounts being supplied or active drug or placebo not being properly identified;</w:t>
      </w:r>
    </w:p>
    <w:p>
      <w:pPr>
        <w:spacing w:after="0" w:line="25" w:lineRule="exact"/>
        <w:rPr>
          <w:rFonts w:ascii="Times New Roman" w:cs="Times New Roman" w:eastAsia="Times New Roman" w:hAnsi="Times New Roman"/>
          <w:sz w:val="18"/>
          <w:szCs w:val="18"/>
          <w:color w:val="auto"/>
        </w:rPr>
      </w:pPr>
    </w:p>
    <w:p>
      <w:pPr>
        <w:ind w:left="760" w:right="460" w:hanging="212"/>
        <w:spacing w:after="0" w:line="275"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and safety and pharmacovigilance reporting.</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FDA and other comparable non-U.S. regulatory authorities require manufacturers to register manufacturing facilities. The FDA and other comparable non-U.S. regulatory authorities also inspect these facilities to confirm compliance with cGMP. Contract manufacturers may face manufacturing or quality control problems causing drug substance production and shipment delays or a situation where the contractor may not be able to maintain compliance with the applicable cGMP requirements. We may have little to no control regarding the occurrence of third-party manufacturer incidents. Failure by our third-party manufacturers and suppliers to pass such inspections and otherwise satisfactorily complete the FDA approval regimen with respect to our product candidate may result in regulatory actions such as the issuance of FDA Form 483 notices of</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observations, warning letters or injunctions or the loss of operating licenses. 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Any failure to comply with cGMP requirements or other FDA or comparable non-U.S. regulatory requirements could negatively impact our clinical research activities and our ability to develop OPT-302 or any future product candidates and market our products following approval.</w:t>
      </w:r>
    </w:p>
    <w:p>
      <w:pPr>
        <w:spacing w:after="0" w:line="1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OPT-302 or any future product candidates are approved by the FDA or other comparable non-U.S. regulatory authorities for commercial sale, we may need to manufacture such product candidate in larger quantities. We intend to use third-party manufacturers for commercial quantities of OPT-302 to the extent we advance this product candidate and other product candidates. Our manufacturers may not be able to successfully increase the manufacturing capacity for any of our product candidates in a timely or efficient manner, or at all. If we are unable to successfully increase the manufacturing capacity for a product candidate, the regulatory approval or commercial launch of that product candidate may be delayed or there may be a shortage in the supply of the product candidate.</w:t>
      </w:r>
    </w:p>
    <w:p>
      <w:pPr>
        <w:spacing w:after="0" w:line="125"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addition, the operations of our third-party manufacturers may be subject to earthquakes, power shortages, telecommunications failures, failures or breaches of information technology systems, water shortages, floods, hurricanes, typhoons, fires, extreme weather conditions, medical epidemics, such as the recent COVID-19 pandemic, and other natural or man-made disasters or business interruptions. Damage or extended periods of interruption to our facilities due to fire, natural disaster, power loss, communications failure, unauthorized entry or other events could cause us to cease or delay development of some or all of our product candidates. Our ability to obtain clinical supplies of our product candidates could be disrupted if the operations of these suppliers are affected by a man-made or natural disaster or other business interruption.</w:t>
      </w:r>
    </w:p>
    <w:p>
      <w:pPr>
        <w:spacing w:after="0" w:line="125" w:lineRule="exact"/>
        <w:rPr>
          <w:sz w:val="20"/>
          <w:szCs w:val="20"/>
          <w:color w:val="auto"/>
        </w:rPr>
      </w:pPr>
    </w:p>
    <w:p>
      <w:pPr>
        <w:ind w:left="120" w:right="460" w:firstLine="440"/>
        <w:spacing w:after="0" w:line="339" w:lineRule="auto"/>
        <w:rPr>
          <w:sz w:val="20"/>
          <w:szCs w:val="20"/>
          <w:color w:val="auto"/>
        </w:rPr>
      </w:pPr>
      <w:r>
        <w:rPr>
          <w:rFonts w:ascii="Times New Roman" w:cs="Times New Roman" w:eastAsia="Times New Roman" w:hAnsi="Times New Roman"/>
          <w:sz w:val="16"/>
          <w:szCs w:val="16"/>
          <w:color w:val="auto"/>
        </w:rPr>
        <w:t>Our current and anticipated future dependence upon others for the manufacture of our product candidates may negatively affect our future profit margins and our ability to develop our product candidates and commercialize any products that receive regulatory approval on a timely basis.</w:t>
      </w:r>
    </w:p>
    <w:p>
      <w:pPr>
        <w:spacing w:after="0" w:line="6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some cases, the technical skills or technology required to manufacture our product candidates may be unique or proprietary to the original manufacturer, we may have difficulty transferring such skills or technology to another third party and a feasible alternative many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the manufacturer may be required to obtain applicable licenses or approvals. The delays associated with the verification of a new manufacturer, if we are able to identify an alternative source, could negatively affect our ability to develop product candidates in a timely manner or within budget.</w:t>
      </w:r>
    </w:p>
    <w:p>
      <w:pPr>
        <w:spacing w:after="0" w:line="123" w:lineRule="exact"/>
        <w:rPr>
          <w:sz w:val="20"/>
          <w:szCs w:val="20"/>
          <w:color w:val="auto"/>
        </w:rPr>
      </w:pPr>
    </w:p>
    <w:p>
      <w:pPr>
        <w:ind w:left="340" w:right="3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 products is complex and we are subject to many manufacturing risks, any of which could substantially increase our costs and limit supply of our products.</w:t>
      </w:r>
    </w:p>
    <w:p>
      <w:pPr>
        <w:spacing w:after="0" w:line="2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non-U.S. regulations. We cannot assure you that any stability or other issues relating to the manufacture of OPT-302 will not occur in the future.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process of manufacturing OPT-302 is complex, highly regulated and subject to several risks, including:</w:t>
      </w:r>
    </w:p>
    <w:p>
      <w:pPr>
        <w:spacing w:after="0" w:line="77" w:lineRule="exact"/>
        <w:rPr>
          <w:sz w:val="20"/>
          <w:szCs w:val="20"/>
          <w:color w:val="auto"/>
        </w:rPr>
      </w:pPr>
    </w:p>
    <w:p>
      <w:pPr>
        <w:ind w:left="760" w:right="60" w:hanging="212"/>
        <w:spacing w:after="0" w:line="25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the manufacturing facilities may need to be closed for an extended period of time to investigate and eliminate the contamination;</w:t>
      </w:r>
    </w:p>
    <w:p>
      <w:pPr>
        <w:spacing w:after="0" w:line="43" w:lineRule="exact"/>
        <w:rPr>
          <w:rFonts w:ascii="Times New Roman" w:cs="Times New Roman" w:eastAsia="Times New Roman" w:hAnsi="Times New Roman"/>
          <w:sz w:val="18"/>
          <w:szCs w:val="18"/>
          <w:color w:val="auto"/>
        </w:rPr>
      </w:pPr>
    </w:p>
    <w:p>
      <w:pPr>
        <w:ind w:left="760" w:right="140" w:hanging="212"/>
        <w:spacing w:after="0" w:line="325"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manufacturing facilities in which our products are made could be negatively affected by equipment failures, labor and raw material shortages, financial difficulties of our contract manufacturers, natural disasters, power failures, local political unrest and numerous other factors; and</w:t>
      </w:r>
    </w:p>
    <w:p>
      <w:pPr>
        <w:spacing w:after="0" w:line="1" w:lineRule="exact"/>
        <w:rPr>
          <w:rFonts w:ascii="Times New Roman" w:cs="Times New Roman" w:eastAsia="Times New Roman" w:hAnsi="Times New Roman"/>
          <w:sz w:val="16"/>
          <w:szCs w:val="16"/>
          <w:color w:val="auto"/>
        </w:rPr>
      </w:pPr>
    </w:p>
    <w:p>
      <w:pPr>
        <w:ind w:left="760" w:right="120" w:hanging="212"/>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 candidates may result in shipment delays, inventory shortages, lot failures, and for any approved products,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12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To date, OPT-302 has been manufactured by a single third-party manufacturer, Patheon, solely for preclinical studies and Phase 1 and 2 trials. This manufacturer may not be able to scale production to the larger quantities required for large clinical trials, including our planned Phase 3 clinical trials of OPT-302 in combination with anti-VEGF-A therapy for the treatment of wet AMD, and to commercialize OPT-302, on a timely basis or at all. Any such failure will require us to seek alternative manufacturing sources, which may result in considerable additional expense and delays in our planned clinical trials. 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 Any delay or interruption in the supply of clinical trial materials, including as a result of breach by us or Patheon of our agreement with Patheon, or our inability to agree to the terms of supply or related services in any statement of work,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nonclinical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OPT-302 or any future product candidate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OPT-302 or any future product candidate or jeopardize our ability to commence sales and generate revenue.</w:t>
      </w:r>
    </w:p>
    <w:p>
      <w:pPr>
        <w:spacing w:after="0" w:line="123" w:lineRule="exact"/>
        <w:rPr>
          <w:sz w:val="20"/>
          <w:szCs w:val="20"/>
          <w:color w:val="auto"/>
        </w:rPr>
      </w:pPr>
    </w:p>
    <w:p>
      <w:pPr>
        <w:ind w:left="340" w:right="2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some aspects of our research and development activities, and those third parties may not perform satisfactorily, including failing to meet deadlines for the completion of such trials, research or testing.</w:t>
      </w:r>
    </w:p>
    <w:p>
      <w:pPr>
        <w:spacing w:after="0" w:line="22" w:lineRule="exact"/>
        <w:rPr>
          <w:sz w:val="20"/>
          <w:szCs w:val="20"/>
          <w:color w:val="auto"/>
        </w:rPr>
      </w:pPr>
    </w:p>
    <w:p>
      <w:pPr>
        <w:ind w:left="120" w:right="360" w:firstLine="440"/>
        <w:spacing w:after="0" w:line="275" w:lineRule="auto"/>
        <w:rPr>
          <w:sz w:val="20"/>
          <w:szCs w:val="20"/>
          <w:color w:val="auto"/>
        </w:rPr>
      </w:pPr>
      <w:r>
        <w:rPr>
          <w:rFonts w:ascii="Times New Roman" w:cs="Times New Roman" w:eastAsia="Times New Roman" w:hAnsi="Times New Roman"/>
          <w:sz w:val="18"/>
          <w:szCs w:val="18"/>
          <w:color w:val="auto"/>
        </w:rPr>
        <w:t>We currently rely on, and expect to continue to rely on, third parties, such as CROs, clinical data management organizations, medical institutions, consultants and clinical investigators, to conduct our clinical</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color w:val="auto"/>
        </w:rPr>
        <w:t>trials and certain aspects of our research and development activities.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clinical trial protocols.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government-sponsored database within certain timeframes. Failure to do so can result in fines, adverse publicity and civil and criminal sanctions.</w:t>
      </w:r>
    </w:p>
    <w:p>
      <w:pPr>
        <w:spacing w:after="0" w:line="1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standard operating procedures or clinical trial protocols, we will not be able to obtain, or may be delayed in obtaining, marketing approvals for OPT-302 or any future product candidates and will not be able to, or may be delayed in our efforts to, successfully commercialize our product candidates.</w:t>
      </w:r>
    </w:p>
    <w:p>
      <w:pPr>
        <w:spacing w:after="0" w:line="122" w:lineRule="exact"/>
        <w:rPr>
          <w:sz w:val="20"/>
          <w:szCs w:val="20"/>
          <w:color w:val="auto"/>
        </w:rPr>
      </w:pPr>
    </w:p>
    <w:p>
      <w:pPr>
        <w:ind w:left="120" w:right="380" w:firstLine="440"/>
        <w:spacing w:after="0" w:line="262"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marketing approval and/or commercialization of OPT-302 or any future product candidates, producing additional losses and depriving us of potential revenue.</w:t>
      </w:r>
    </w:p>
    <w:p>
      <w:pPr>
        <w:spacing w:after="0" w:line="115" w:lineRule="exact"/>
        <w:rPr>
          <w:sz w:val="20"/>
          <w:szCs w:val="20"/>
          <w:color w:val="auto"/>
        </w:rPr>
      </w:pPr>
    </w:p>
    <w:p>
      <w:pPr>
        <w:ind w:left="340"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commercial collaborations for our product candidates, and, if we are not able to establish them on commercially reasonable terms, we may have to alter our development and commercialization plans.</w:t>
      </w:r>
    </w:p>
    <w:p>
      <w:pPr>
        <w:spacing w:after="0" w:line="22"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decide to collaborate with other pharmaceutical and biotechnology companies for the development and potential commercialization of our product candidates.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non-U.S. regulatory authorities, the potential market for the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131" w:lineRule="exact"/>
        <w:rPr>
          <w:sz w:val="20"/>
          <w:szCs w:val="20"/>
          <w:color w:val="auto"/>
        </w:rPr>
      </w:pPr>
    </w:p>
    <w:p>
      <w:pPr>
        <w:ind w:left="120" w:right="880" w:firstLine="440"/>
        <w:spacing w:after="0" w:line="275"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06"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maintain intellectual property protection for our products and technologies.</w:t>
      </w:r>
    </w:p>
    <w:p>
      <w:pPr>
        <w:spacing w:after="0" w:line="81" w:lineRule="exact"/>
        <w:rPr>
          <w:sz w:val="20"/>
          <w:szCs w:val="20"/>
          <w:color w:val="auto"/>
        </w:rPr>
      </w:pPr>
    </w:p>
    <w:p>
      <w:pPr>
        <w:ind w:left="120" w:right="40" w:firstLine="440"/>
        <w:spacing w:after="0" w:line="288" w:lineRule="auto"/>
        <w:rPr>
          <w:sz w:val="20"/>
          <w:szCs w:val="20"/>
          <w:color w:val="auto"/>
        </w:rPr>
      </w:pPr>
      <w:r>
        <w:rPr>
          <w:rFonts w:ascii="Times New Roman" w:cs="Times New Roman" w:eastAsia="Times New Roman" w:hAnsi="Times New Roman"/>
          <w:sz w:val="16"/>
          <w:szCs w:val="16"/>
          <w:color w:val="auto"/>
        </w:rPr>
        <w:t>Our success will depend in significant part on our current or future licensors’, licensees’ or collaborators’ ability to establish and maintain adequate protection of our owned and licensed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hold issued patents, we have applied for patents, and we intend to continue to apply for, patents with claims covering our technologies, processes and product candidates when and where we deem it appropriate to do so. We have filed patent applications both in the United States and in certain non-U.S. jurisdictions to obtain patent rights to inventions we have developed, with claims directed to compositions of matter, methods of use and other technologies relating to our programs. There can be no assurance that any of these patent applications will issue as patents or, for those applications that do mature into patents, that the claims of the patents will exclude others from making, using or selling our product candidates or products that compete with or are similar to our product candidates. In countries where we have not sought and do not seek patent protection, third parties may be able to manufacture and sell our product candidates without our permission, and we may not be able to stop them from doing so.</w:t>
      </w:r>
    </w:p>
    <w:p>
      <w:pPr>
        <w:spacing w:after="0" w:line="10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 For a description of our patent portfolio, see “Business—Intellectual Property.”</w:t>
      </w:r>
    </w:p>
    <w:p>
      <w:pPr>
        <w:spacing w:after="0" w:line="131" w:lineRule="exact"/>
        <w:rPr>
          <w:sz w:val="20"/>
          <w:szCs w:val="20"/>
          <w:color w:val="auto"/>
        </w:rPr>
      </w:pPr>
    </w:p>
    <w:p>
      <w:pPr>
        <w:jc w:val="both"/>
        <w:ind w:left="120" w:right="60" w:firstLine="440"/>
        <w:spacing w:after="0" w:line="301" w:lineRule="auto"/>
        <w:rPr>
          <w:sz w:val="20"/>
          <w:szCs w:val="20"/>
          <w:color w:val="auto"/>
        </w:rPr>
      </w:pPr>
      <w:r>
        <w:rPr>
          <w:rFonts w:ascii="Times New Roman" w:cs="Times New Roman" w:eastAsia="Times New Roman" w:hAnsi="Times New Roman"/>
          <w:sz w:val="16"/>
          <w:szCs w:val="16"/>
          <w:color w:val="auto"/>
        </w:rPr>
        <w:t>Any changes we make to OPT-302 or any future product candidates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potentially crowded, and there can be no assurance that we would be able to secure patent protection that would adequately cover an alternative to OPT-302 or any future product candidates.</w:t>
      </w:r>
    </w:p>
    <w:p>
      <w:pPr>
        <w:spacing w:after="0" w:line="9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93" w:lineRule="auto"/>
        <w:rPr>
          <w:sz w:val="20"/>
          <w:szCs w:val="20"/>
          <w:color w:val="auto"/>
        </w:rPr>
      </w:pPr>
      <w:r>
        <w:rPr>
          <w:rFonts w:ascii="Times New Roman" w:cs="Times New Roman" w:eastAsia="Times New Roman" w:hAnsi="Times New Roman"/>
          <w:sz w:val="16"/>
          <w:szCs w:val="16"/>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97" w:lineRule="exact"/>
        <w:rPr>
          <w:sz w:val="20"/>
          <w:szCs w:val="20"/>
          <w:color w:val="auto"/>
        </w:rPr>
      </w:pPr>
    </w:p>
    <w:p>
      <w:pPr>
        <w:ind w:left="120" w:right="20" w:firstLine="440"/>
        <w:spacing w:after="0" w:line="288" w:lineRule="auto"/>
        <w:rPr>
          <w:sz w:val="20"/>
          <w:szCs w:val="20"/>
          <w:color w:val="auto"/>
        </w:rPr>
      </w:pPr>
      <w:r>
        <w:rPr>
          <w:rFonts w:ascii="Times New Roman" w:cs="Times New Roman" w:eastAsia="Times New Roman" w:hAnsi="Times New Roman"/>
          <w:sz w:val="16"/>
          <w:szCs w:val="16"/>
          <w:color w:val="auto"/>
        </w:rPr>
        <w:t>Similar to the patent rights of other biotechnology companies, the scope, validity and enforceability of our owned and licensed patent rights generally are highly uncertain and involve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those third parties.</w:t>
      </w:r>
    </w:p>
    <w:p>
      <w:pPr>
        <w:spacing w:after="0" w:line="317"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6"/>
          <w:szCs w:val="16"/>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each regulatory review period may be extended and only those claims covering the approved drug, a method for using it, or a method for manufacturing it may be extended, with extended rights limited to the approved product, its approved uses and/or its manufacture. During the period of patent term extension, the claims of a patent are not enforceable for their full scope, but are instead limited to the scope of the approved product. In addition, the applicable authorities, including the FDA in the United States, and any comparable non-U.S. regulatory authorities,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81" w:lineRule="exact"/>
        <w:rPr>
          <w:sz w:val="20"/>
          <w:szCs w:val="20"/>
          <w:color w:val="auto"/>
        </w:rPr>
      </w:pPr>
    </w:p>
    <w:p>
      <w:pPr>
        <w:jc w:val="both"/>
        <w:ind w:left="120" w:right="360" w:firstLine="440"/>
        <w:spacing w:after="0" w:line="262" w:lineRule="auto"/>
        <w:rPr>
          <w:sz w:val="20"/>
          <w:szCs w:val="20"/>
          <w:color w:val="auto"/>
        </w:rPr>
      </w:pPr>
      <w:r>
        <w:rPr>
          <w:rFonts w:ascii="Times New Roman" w:cs="Times New Roman" w:eastAsia="Times New Roman" w:hAnsi="Times New Roman"/>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States. Whether filed in the United States or abroad, our patent applications may be challenged or may fail to result in issued patents.</w:t>
      </w:r>
    </w:p>
    <w:p>
      <w:pPr>
        <w:spacing w:after="0" w:line="158" w:lineRule="exact"/>
        <w:rPr>
          <w:sz w:val="20"/>
          <w:szCs w:val="20"/>
          <w:color w:val="auto"/>
        </w:rPr>
      </w:pPr>
    </w:p>
    <w:p>
      <w:pPr>
        <w:ind w:left="120" w:right="100" w:firstLine="440"/>
        <w:spacing w:after="0" w:line="293" w:lineRule="auto"/>
        <w:rPr>
          <w:sz w:val="20"/>
          <w:szCs w:val="20"/>
          <w:color w:val="auto"/>
        </w:rPr>
      </w:pPr>
      <w:r>
        <w:rPr>
          <w:rFonts w:ascii="Times New Roman" w:cs="Times New Roman" w:eastAsia="Times New Roman" w:hAnsi="Times New Roman"/>
          <w:sz w:val="16"/>
          <w:szCs w:val="16"/>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non-U.S.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non-U.S. countries do not protect intellectual property rights to the same extent as federal and certain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OPT-302 or any future product candidates and our patents or other intellectual property rights may not be effective or sufficient to prevent them from competing.</w:t>
      </w:r>
    </w:p>
    <w:p>
      <w:pPr>
        <w:spacing w:after="0" w:line="13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non-U.S. jurisdictions. The legal systems of certain countries, particularly certain developing countries, do not favor the enforcement of patents and other intellectual property protection, particularly those relating to biopharmaceuticals. This could make it difficult for us to stop the infringement of our patents or the marketing of competing products in violation of our proprietary rights, generally. Proceedings to enforce our patent rights in non-U.S. jurisdictions could result in substantial costs and divert our efforts and attention from other aspects of our business, could put our patents at risk of being invalidated or interpreted narrowly, could place our patent applications at risk of not issuing and could provoke third parties to assert claims against us or our collaborator. We may not prevail in any lawsuits that we initiate and the damages or other remedies awarded, if any, may not be commercially meaningful.</w:t>
      </w:r>
    </w:p>
    <w:p>
      <w:pPr>
        <w:spacing w:after="0" w:line="12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requirements for patentability differ and certain countries have heightened requirements for patentability, requiring more disclosure in the patent application. In addition, certain countries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efforts to enforce intellectual property rights around the world may be inadequate to obtain a significant commercial advantage from the intellectual property that we own or license.</w:t>
      </w:r>
    </w:p>
    <w:p>
      <w:pPr>
        <w:spacing w:after="0" w:line="123" w:lineRule="exact"/>
        <w:rPr>
          <w:sz w:val="20"/>
          <w:szCs w:val="20"/>
          <w:color w:val="auto"/>
        </w:rPr>
      </w:pPr>
    </w:p>
    <w:p>
      <w:pPr>
        <w:ind w:left="340" w:right="5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OPT-302 and any future product candidates.</w:t>
      </w:r>
    </w:p>
    <w:p>
      <w:pPr>
        <w:spacing w:after="0" w:line="22"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costly, time-consuming and inherently uncertain. The U.S. Supreme Court in recent years has issued rulings either narrowing the scope of patent protection available in certain circumstances or weakening the rights of patent owners in certain situations or ruling that certain subject matter is not eligible for patent protection. In addition to increasing uncertainty with regard to our ability to obtain patents in the future, this combination of events has created uncertainty with respect to the value of patents, once obtained. Depending on decisions by Congress, the federal courts, the USPTO and equivalent bodies in non-U.S. jurisdictions, the laws and regulations governing patents could change in unpredictable ways that would weaken our ability to obtain new patents or to enforce existing patents and patents we may obtain in the future.</w:t>
      </w:r>
    </w:p>
    <w:p>
      <w:pPr>
        <w:spacing w:after="0" w:line="1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Patent reform laws, such as the Leahy-Smith America Invents Act, or the Leahy-Smith Act, as well as changes in how patent laws are interpreted, could increase the uncertainties and costs surrounding the prosecution of our patent applications and the enforcement or defense of our issued patents. The Leahy-Smith Act made a number of significant changes to U.S. patent law. These include provisions that affect the filing and prosecution strategies associated with patent applications, including a change from a “first-to-invent” to a “first-inventor-to-file” patent system, and a change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The Leahy-Smith Act and its implementation may increase the uncertainties and costs surrounding the prosecution of our patent applications and the enforcement or defense of our issued patents, all of which could have harm our business, financial condition and results of operations.</w:t>
      </w:r>
    </w:p>
    <w:p>
      <w:pPr>
        <w:spacing w:after="0" w:line="123" w:lineRule="exact"/>
        <w:rPr>
          <w:sz w:val="20"/>
          <w:szCs w:val="20"/>
          <w:color w:val="auto"/>
        </w:rPr>
      </w:pPr>
    </w:p>
    <w:p>
      <w:pPr>
        <w:ind w:left="340" w:right="4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intellectual property rights or technology necessary to develop and commercialize OPT-302 and any future product candidates.</w:t>
      </w:r>
    </w:p>
    <w:p>
      <w:pPr>
        <w:spacing w:after="0" w:line="22" w:lineRule="exact"/>
        <w:rPr>
          <w:sz w:val="20"/>
          <w:szCs w:val="20"/>
          <w:color w:val="auto"/>
        </w:rPr>
      </w:pPr>
    </w:p>
    <w:p>
      <w:pPr>
        <w:ind w:left="120" w:firstLine="440"/>
        <w:spacing w:after="0" w:line="290" w:lineRule="auto"/>
        <w:rPr>
          <w:sz w:val="20"/>
          <w:szCs w:val="20"/>
          <w:color w:val="auto"/>
        </w:rPr>
      </w:pPr>
      <w:r>
        <w:rPr>
          <w:rFonts w:ascii="Times New Roman" w:cs="Times New Roman" w:eastAsia="Times New Roman" w:hAnsi="Times New Roman"/>
          <w:sz w:val="16"/>
          <w:szCs w:val="16"/>
          <w:color w:val="auto"/>
        </w:rPr>
        <w:t>The patent landscape around our programs is complex, and there may be one or more third-party patents and patent applications containing subject matter that might be relevant to OPT-302. Depending on what claims may ultimately issue from these patent applications, and how courts construe the issued patent claims, as well as depending on the ultimate formulation and method of use of OPT-302 or any future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harm our business, financial condition and results of operations. Moreover, even if we obtain licenses to such intellectual property, but subsequently fail to meet our obligations under the relevant license agreements, or such license agreements are terminated for any other reasons, we may lose our rights to the technologies licensed under those agreements.</w:t>
      </w:r>
    </w:p>
    <w:p>
      <w:pPr>
        <w:spacing w:after="0" w:line="98"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an area in which many companies operate that have interests that are in conflict with ours,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harm our business, financial condition, results of operations and prospects.</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other proceedings to protect or enforce our intellectual property, which could be expensive, time-consuming and unsuccessful and have a negative effect on the success of our business.</w:t>
      </w:r>
    </w:p>
    <w:p>
      <w:pPr>
        <w:spacing w:after="0" w:line="22" w:lineRule="exact"/>
        <w:rPr>
          <w:sz w:val="20"/>
          <w:szCs w:val="20"/>
          <w:color w:val="auto"/>
        </w:rPr>
      </w:pPr>
    </w:p>
    <w:p>
      <w:pPr>
        <w:ind w:left="120" w:right="40" w:firstLine="440"/>
        <w:spacing w:after="0" w:line="251" w:lineRule="auto"/>
        <w:rPr>
          <w:sz w:val="20"/>
          <w:szCs w:val="20"/>
          <w:color w:val="auto"/>
        </w:rPr>
      </w:pPr>
      <w:r>
        <w:rPr>
          <w:rFonts w:ascii="Times New Roman" w:cs="Times New Roman" w:eastAsia="Times New Roman" w:hAnsi="Times New Roman"/>
          <w:sz w:val="18"/>
          <w:szCs w:val="18"/>
          <w:color w:val="auto"/>
        </w:rPr>
        <w:t>Third parties may infringe our patents or misappropriate or otherwise violate our intellectual property rights. In the future, we may initiate legal proceedings to enforce or defend our intellectual property rights, to protect our trade secrets or to determine the validity or scope of intellectual property rights we own or control. Also, third parties may initiate legal proceedings against us to challenge the validity or scope of intellectual property rights we own, control or to which we have rights. For example, generic or biosimilar drug manufacturers or other competitors or third parties may challenge the scope, validity or enforceability of our patents, requiring us to engage in complex, lengthy and costly litigation or other proceedings. These proceedings can be expensive and time-consuming and many of our adversaries in these proceedings may have the ability to dedicate substantially greater resources to prosecuting these legal actions than we can. Accordingly, despite our efforts, we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initiated legal proceedings against a third party to enforce a patent covering a product candidate, the defendant could counterclaim that such patent is invalid or unenforceable. In patent litigation in the United States, defendants usually assert counterclaims alleging invalidity or unenforceability.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subject matter alleged to be infringing on the grounds that our patents do not cover that subject matter. An adverse result in any litigation proceeding could put one or more of our patents at risk of being invalidated, narrowed, held unenforceable or interpreted in such a manner that would not preclude third parties from entering the market with competing products.</w:t>
      </w:r>
    </w:p>
    <w:p>
      <w:pPr>
        <w:spacing w:after="0" w:line="13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revocation,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pre-issuance or post-grant proceedings or other patent office proceedings or litigation in the United States or other jurisdictions provoked by third parties or brought by us, may be necessary to determine the inventorship, priority, patentability or validity of inventions with respect to our patents or patent applications. An unfavorable outcome could leave our technology or product candidates without patent protection, allow third parties to commercialize our technology or product candidates and compete directly with us, without payment to us, or could require us to obtain license rights from the prevailing party in order to be able to manufacture or commercialize our product candidates without infringing third-party patent rights. Our business could be harmed if the prevailing party in such a case does not offer us a license on commercially reasonable terms, or at all.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Even if we successfully defend such litigation or proceeding, we may incur substantial costs and our defense may distract our management and other employees.</w:t>
      </w:r>
    </w:p>
    <w:p>
      <w:pPr>
        <w:spacing w:after="0" w:line="12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non-U.S. jurisdictions have rules of discovery that are different than those in the United States and that may make defending or enforcing our patents extremely difficult. There could also be public announcements of the results of hearings, motions or other interim proceedings or developments. If securities analysts or investors perceive these results to be negative, it could negatively affect the price of the ADSs and our ordinary shares.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harm our business.</w:t>
      </w:r>
    </w:p>
    <w:p>
      <w:pPr>
        <w:spacing w:after="0" w:line="34"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to develop, manufacture, market and sell OPT-302 and any future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alleging that we infringe their intellectual property rights or we may initiate legal proceedings against third parties to challenge the validity or scope of intellectual property rights controlled by third parties, including in oppositions, interferences, revocations,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or its counterparts in other jurisdictions. These proceedings can be expensive and time-consuming and many of our adversaries in these proceedings may have the ability to dedicate substantially greater resources to prosecuting these legal actions than we can.</w:t>
      </w:r>
    </w:p>
    <w:p>
      <w:pPr>
        <w:spacing w:after="0" w:line="13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We could be found liable for monetary damages, including treble damages and attorneys’ fees, if we are found to have willfully infringed a patent of a third party. A finding of infringement could prevent us from commercializing OPT-302 or any future product candidates or force us to cease some of our business operations, which could materially harm our business.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OPT-302 or any future product candidates and technologies. We are not aware of any facts that would lead us to conclude that the valid and enforceable claims of any third-party patents would reasonably be interpreted to cover our product candidates.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negatively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other commercialization partners and we were unable to successfully challenge the validity or enforceability of any such asserted patents, then we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harm our business, financial condition and operating results.</w:t>
      </w:r>
    </w:p>
    <w:p>
      <w:pPr>
        <w:spacing w:after="0" w:line="127" w:lineRule="exact"/>
        <w:rPr>
          <w:sz w:val="20"/>
          <w:szCs w:val="20"/>
          <w:color w:val="auto"/>
        </w:rPr>
      </w:pPr>
    </w:p>
    <w:p>
      <w:pPr>
        <w:ind w:left="120" w:firstLine="440"/>
        <w:spacing w:after="0" w:line="301" w:lineRule="auto"/>
        <w:rPr>
          <w:sz w:val="20"/>
          <w:szCs w:val="20"/>
          <w:color w:val="auto"/>
        </w:rPr>
      </w:pPr>
      <w:r>
        <w:rPr>
          <w:rFonts w:ascii="Times New Roman" w:cs="Times New Roman" w:eastAsia="Times New Roman" w:hAnsi="Times New Roman"/>
          <w:sz w:val="16"/>
          <w:szCs w:val="16"/>
          <w:color w:val="auto"/>
        </w:rPr>
        <w:t>Although we have reviewed certain third-party patents and patent filings that we believe may be relevant to our therapeutic candidates or products, we have not conducted a freedom-to-operate search or analysis for any of our therapeutic candidates or products, and we may not be aware of patents or pending or future patent applications that, if issued, would block us from commercializing our therapeutic candidates or products. Thus, we cannot guarantee that our therapeutic candidates or products, or our commercialization thereof, do not and will not infringe any third party’s intellectual property.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misappropriation of intellectual property, or claiming ownership of what we regard as our own intellectual property.</w:t>
      </w:r>
    </w:p>
    <w:p>
      <w:pPr>
        <w:spacing w:after="0" w:line="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seek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the services of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3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results of operations and prospects.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8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trade secrets and there may be no adequate remedy available for such breach of an agreement. We cannot assure you that our trade secrets will not be disclosed or that we can meaningfully protect our trade secrets. Enforcing a claim that a party illegally disclosed or misappropriated a trade secret is difficult, expensive and time consuming, and the outcome is unpredictable. In addition, some courts both within and outside the United States may be less willing, or unwilling, to protect trade secrets. If a competitor lawfully obtained or independently developed any technology or information that we protect as trade secret, we would have no right to prevent such competitor from using that technology or information to compete with us, which could harm our competitive position.</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81"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5" w:lineRule="exact"/>
        <w:rPr>
          <w:sz w:val="20"/>
          <w:szCs w:val="20"/>
          <w:color w:val="auto"/>
        </w:rPr>
      </w:pPr>
    </w:p>
    <w:p>
      <w:pPr>
        <w:ind w:left="760" w:right="180" w:hanging="212"/>
        <w:spacing w:after="0" w:line="275"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OPT-302 and any future product candidates we may develop or utilize similar technology but that are not covered by the claims of the patents that we exclusively license or may own in the future;</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60" w:hanging="212"/>
        <w:spacing w:after="0" w:line="275"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our future collaborators, might not have been the first to make the inventions covered by the issued patents and pending patent applications that we exclusively license or may own in the future;</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our future collaborators, might not have been the first to file patent applications covering certain of our or their inventions;</w:t>
      </w:r>
    </w:p>
    <w:p>
      <w:pPr>
        <w:spacing w:after="0" w:line="103" w:lineRule="exact"/>
        <w:rPr>
          <w:rFonts w:ascii="Times New Roman" w:cs="Times New Roman" w:eastAsia="Times New Roman" w:hAnsi="Times New Roman"/>
          <w:sz w:val="18"/>
          <w:szCs w:val="18"/>
          <w:color w:val="auto"/>
        </w:rPr>
      </w:pPr>
    </w:p>
    <w:p>
      <w:pPr>
        <w:ind w:left="760" w:right="620" w:hanging="212"/>
        <w:spacing w:after="0" w:line="275"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exclusively licensed intellectual property rights;</w:t>
      </w:r>
    </w:p>
    <w:p>
      <w:pPr>
        <w:spacing w:after="0" w:line="25" w:lineRule="exact"/>
        <w:rPr>
          <w:rFonts w:ascii="Times New Roman" w:cs="Times New Roman" w:eastAsia="Times New Roman" w:hAnsi="Times New Roman"/>
          <w:sz w:val="18"/>
          <w:szCs w:val="18"/>
          <w:color w:val="auto"/>
        </w:rPr>
      </w:pPr>
    </w:p>
    <w:p>
      <w:pPr>
        <w:ind w:left="760" w:right="280" w:hanging="212"/>
        <w:spacing w:after="0" w:line="275"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file in the future, including those that we have licensed, will not result in issued patents;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to which we hold rights may be held invalid or unenforceable, including as a result of legal challenges by our competitors;</w:t>
      </w:r>
    </w:p>
    <w:p>
      <w:pPr>
        <w:spacing w:after="0" w:line="103" w:lineRule="exact"/>
        <w:rPr>
          <w:rFonts w:ascii="Times New Roman" w:cs="Times New Roman" w:eastAsia="Times New Roman" w:hAnsi="Times New Roman"/>
          <w:sz w:val="18"/>
          <w:szCs w:val="18"/>
          <w:color w:val="auto"/>
        </w:rPr>
      </w:pPr>
    </w:p>
    <w:p>
      <w:pPr>
        <w:ind w:left="760" w:right="60" w:hanging="212"/>
        <w:spacing w:after="0" w:line="26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major commercial markets in which we do not have sufficient patent rights to stop such sales;</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be asserted against our product candidates and technologies in a manner that harms our business; and</w:t>
      </w:r>
    </w:p>
    <w:p>
      <w:pPr>
        <w:spacing w:after="0" w:line="103" w:lineRule="exact"/>
        <w:rPr>
          <w:rFonts w:ascii="Times New Roman" w:cs="Times New Roman" w:eastAsia="Times New Roman" w:hAnsi="Times New Roman"/>
          <w:sz w:val="18"/>
          <w:szCs w:val="18"/>
          <w:color w:val="auto"/>
        </w:rPr>
      </w:pPr>
    </w:p>
    <w:p>
      <w:pPr>
        <w:ind w:left="760" w:right="340" w:hanging="212"/>
        <w:spacing w:after="0" w:line="275"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covering such trade secrets or know-how.</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154" w:lineRule="exact"/>
        <w:rPr>
          <w:sz w:val="20"/>
          <w:szCs w:val="20"/>
          <w:color w:val="auto"/>
        </w:rPr>
      </w:pPr>
    </w:p>
    <w:p>
      <w:pPr>
        <w:ind w:left="340" w:right="3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maintained and adequately protected, we may not be able to build name recognition in our markets of interest, and our business may be negatively affected.</w:t>
      </w:r>
    </w:p>
    <w:p>
      <w:pPr>
        <w:spacing w:after="0" w:line="22" w:lineRule="exact"/>
        <w:rPr>
          <w:sz w:val="20"/>
          <w:szCs w:val="20"/>
          <w:color w:val="auto"/>
        </w:rPr>
      </w:pPr>
    </w:p>
    <w:p>
      <w:pPr>
        <w:ind w:left="120" w:firstLine="440"/>
        <w:spacing w:after="0" w:line="293" w:lineRule="auto"/>
        <w:rPr>
          <w:sz w:val="20"/>
          <w:szCs w:val="20"/>
          <w:color w:val="auto"/>
        </w:rPr>
      </w:pPr>
      <w:r>
        <w:rPr>
          <w:rFonts w:ascii="Times New Roman" w:cs="Times New Roman" w:eastAsia="Times New Roman" w:hAnsi="Times New Roman"/>
          <w:sz w:val="16"/>
          <w:szCs w:val="16"/>
          <w:color w:val="auto"/>
        </w:rPr>
        <w:t>Failure to obtain trademark registrations in the future, could limit our ability to protect and enforce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any future trademark rights and prevent infringement, we may be required to file trademark claims against third parties or initiate trademark opposition proceedings. This can be expensive and time consuming and can strain the financial resources of a company of our size, and we may not be successful in enforcing our trademark rights. In addition, our registered or unregistered trademarks or trade names may be challenged, infringed, circumvented, declared generic or determined to be infringing on other marks.</w:t>
      </w:r>
    </w:p>
    <w:p>
      <w:pPr>
        <w:spacing w:after="0" w:line="9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Future trademark applications in the United States and in other non-U.S. jurisdictions where we may file may not be allowed or may subsequently be opposed. Even if these applications result in registration of trademarks, third parties may challenge our use or registration of these trademarks in the future. Over the long term, if we are unable to establish name recognition based on our trademarks and trade names, then we may not be able to compete effectively and our business may be negatively affected.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 from biosimilar products.</w:t>
      </w:r>
    </w:p>
    <w:p>
      <w:pPr>
        <w:spacing w:after="0" w:line="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The Biologics Price Competition and Innovation Act of 2009, or BPCIA, created an abbreviated pathway for the approval of biosimilar and interchangeable biologic products. The abbreviated regulatory pathway establishes legal authority for the FDA to review and approve biosimilar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w:t>
      </w:r>
    </w:p>
    <w:p>
      <w:pPr>
        <w:spacing w:after="0" w:line="1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There is a risk that any exclusivity we may be afforded if any of our product candidates are approved as a biologic product under a BLA could be shortened due to congressional action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12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market it until 10 years after the time of approval of the innovative product.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25"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the ADSs and this Offering</w:t>
      </w:r>
    </w:p>
    <w:p>
      <w:pPr>
        <w:spacing w:after="0" w:line="75" w:lineRule="exact"/>
        <w:rPr>
          <w:sz w:val="20"/>
          <w:szCs w:val="20"/>
          <w:color w:val="auto"/>
        </w:rPr>
      </w:pPr>
    </w:p>
    <w:p>
      <w:pPr>
        <w:ind w:left="340" w:right="2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market for the ADSs and an active and liquid market for our securities may fail to develop, which could harm the market price of the ADSs.</w:t>
      </w:r>
    </w:p>
    <w:p>
      <w:pPr>
        <w:spacing w:after="0" w:line="2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While our ordinary shares have been listed on the Australian Securities Exchange, or ASX, since 1985, and certain ADSs have been traded on the over-the-counter market in the United States since June 2011 through our existing sponsored Level I ADR facility with The Bank of New York Mellon, as depositary, prior to this offering, there has been no public market on a U.S. national securities exchange for our ordinary shares or ADSs. Although we anticipate that the ADSs will be approved for listing on Nasdaq, an active trading market for the ADSs may never develop or be sustained following this offering. The initial offering price of the ADSs will be determined through negotiations between us and the underwriters and will be based, in part, on prevailing market prices of our ordinary shares on the ASX, after taking into account market conditions and other factors. This offering price may not be indicative of the market price of the ADSs after this offering. In the absence of an active trading market for the ADSs, investors may not be able to sell their ADSs at or above the offering price or at the time that they would like to sell.</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and volume of the ADSs may be volatile, and purchasers of the ADSs could incur substantial losses.</w:t>
      </w:r>
    </w:p>
    <w:p>
      <w:pPr>
        <w:spacing w:after="0" w:line="8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price and trading volumes of our ordinary shares and ADSs may be significantly affected by events such as announcements regarding scientific and clinical results concerning product candidates currently being developed by us, our collaboration partners or our main competitors, changes in market conditions related to our sector of activity, announcements of new contracts, technological innovations and collaborations by us or our main competitors, developments concerning intellectual property rights, as well as the development, regulatory approval and commercialization of new products by us or our main competitors and changes in our financial results.</w:t>
      </w:r>
    </w:p>
    <w:p>
      <w:pPr>
        <w:spacing w:after="0" w:line="1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equity markets may be subject to considerable price and trading volume fluctuations, and often, these movements do not reflect the operational and financial performance of the listed companies concerned. In particular, biotechnology companies’ share prices have been highly volatile in the past and may continue to be highly volatile in the future. As we operate in a single industry, we are especially vulnerable to these factors to the extent that they affect our industry. Fluctuations in the stock market as well as the macroeconomic environment could significantly affect the price of the ADSs. As a result of this volatility, investors may not be able to sell their ADSs at or above the price originally paid for the security. The market price and trading volume for the ADSs may be influenced by many factors, including:</w:t>
      </w:r>
    </w:p>
    <w:p>
      <w:pPr>
        <w:spacing w:after="0" w:line="44" w:lineRule="exact"/>
        <w:rPr>
          <w:sz w:val="20"/>
          <w:szCs w:val="20"/>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03" w:lineRule="exact"/>
        <w:rPr>
          <w:rFonts w:ascii="Times New Roman" w:cs="Times New Roman" w:eastAsia="Times New Roman" w:hAnsi="Times New Roman"/>
          <w:sz w:val="18"/>
          <w:szCs w:val="18"/>
          <w:color w:val="auto"/>
        </w:rPr>
      </w:pPr>
    </w:p>
    <w:p>
      <w:pPr>
        <w:ind w:left="760" w:right="280" w:hanging="212"/>
        <w:spacing w:after="0" w:line="27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divestitures, spin-offs, strategic partnerships, joint ventures, collaborations, capital commitments or changes in business strategy;</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of delays in our or any of our competitors’ preclinical studies or clinical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any of our product candidates;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strategic alliance or the inability to establish additional strategic alliances;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price and volume fluctuations attributable to inconsistent trading volume levels of the ADSs;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trading of our ordinary shares on the ASX;</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or other market manipulation activities;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U.S. dollar and the Australian dollar;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or manufacturing arrangements;</w:t>
      </w:r>
    </w:p>
    <w:p>
      <w:pPr>
        <w:spacing w:after="0" w:line="103" w:lineRule="exact"/>
        <w:rPr>
          <w:rFonts w:ascii="Times New Roman" w:cs="Times New Roman" w:eastAsia="Times New Roman" w:hAnsi="Times New Roman"/>
          <w:sz w:val="18"/>
          <w:szCs w:val="18"/>
          <w:color w:val="auto"/>
        </w:rPr>
      </w:pPr>
    </w:p>
    <w:p>
      <w:pPr>
        <w:ind w:left="760" w:right="720" w:hanging="212"/>
        <w:spacing w:after="0" w:line="27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and other intellectual property protection for our technologies;</w:t>
      </w:r>
    </w:p>
    <w:p>
      <w:pPr>
        <w:spacing w:after="0" w:line="25" w:lineRule="exact"/>
        <w:rPr>
          <w:rFonts w:ascii="Times New Roman" w:cs="Times New Roman" w:eastAsia="Times New Roman" w:hAnsi="Times New Roman"/>
          <w:sz w:val="18"/>
          <w:szCs w:val="18"/>
          <w:color w:val="auto"/>
        </w:rPr>
      </w:pPr>
    </w:p>
    <w:p>
      <w:pPr>
        <w:ind w:left="760" w:right="20" w:hanging="212"/>
        <w:spacing w:after="0" w:line="27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coverage policies or reimbursement levels by commercial third-party payors and government payors and any announcements relating to coverage policies or reimbursement levels;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calamities or disease outbreaks, such as the COVID-19 pandemic;</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ADSs by us, our affiliates or our other shareholders;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85"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the ADSs to fluctuate, regardless of our actual operating performance, which may limit or prevent investors from readily selling their ADSs and may otherwise negatively affect the liquidity of the trading market for the ADSs.</w:t>
      </w:r>
    </w:p>
    <w:p>
      <w:pPr>
        <w:spacing w:after="0" w:line="115" w:lineRule="exact"/>
        <w:rPr>
          <w:sz w:val="20"/>
          <w:szCs w:val="20"/>
          <w:color w:val="auto"/>
        </w:rPr>
      </w:pPr>
    </w:p>
    <w:p>
      <w:pPr>
        <w:ind w:left="340" w:right="3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the ADSs and their trading volume could decline.</w:t>
      </w:r>
    </w:p>
    <w:p>
      <w:pPr>
        <w:spacing w:after="0" w:line="2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trading market for the ADSs depends in part on the research and reports that securities or industry analysts publish about us or our business. As a public listed company in Australia since 1985, our equity securities are currently subject to coverage by a number of analysts. If fewer securities or industry analysts cover our company, the trading price for the ADSs could be negatively impacted. If one or more of the analysts who covers us downgrades our equity securities or publishes incorrect or unfavorable research about our business, the price of the ADSs would likely decline. If one or more of these analysts ceases coverage of our company or fails to publish reports on us regularly, or downgrades our securities, demand for the ADSs could decrease, which could cause the price of the ADSs or their trading volume to decline.</w:t>
      </w:r>
    </w:p>
    <w:p>
      <w:pPr>
        <w:spacing w:after="0" w:line="121" w:lineRule="exact"/>
        <w:rPr>
          <w:sz w:val="20"/>
          <w:szCs w:val="20"/>
          <w:color w:val="auto"/>
        </w:rPr>
      </w:pPr>
    </w:p>
    <w:p>
      <w:pPr>
        <w:ind w:left="340" w:right="2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securities and, consequently, your ability to achieve a return on your investment will depend on appreciation in the price of the ADSs.</w:t>
      </w:r>
    </w:p>
    <w:p>
      <w:pPr>
        <w:spacing w:after="0" w:line="2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not declared or paid any cash dividends on our ordinary shares since February 2005 and do not currently intend to do so for the foreseeable future. We currently intend to invest our future earnings, if any, to fund our operations and growth. Therefore, you are not likely to receive any dividends on your ADSs for the foreseeable future and the success of an investment in the ADSs will depend upon any future appreciation in its value. Consequently, investors may need to sell all or part of their holdings of the ADSs after price appreciation, which may never occur, as the only way to realize any future gains on their investment. There is no guarantee that the ADSs will appreciate in value or even maintain the price at which our shareholders have purchased them. Investors seeking cash dividends should consider not purchasing the ADSs.</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we do not anticipate paying any cash dividends on our ordinary shares in the foreseeable future, if such a dividend is declared,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the ADSs, ordinary shares, rights or anything else to holders of the ADSs. This means that you may not receive the distributions we make on our ordinary shares or any value from them if it is unlawful or impractical to make them available to you. These restrictions may negatively impact the value of your ADSs. In addition, exchange rate fluctuations may affect the amount of Australian dollars that we are able to distribute, and the amount in U.S. dollars that our shareholders receive upon the payment of cash dividends or other distributions we declare and pay in Australian dollars, if any. These factors could harm the value of the ADSs, and, in turn, the U.S. dollar proceeds that holders receive from the sale of the ADSs.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ADSs you purchase in this offering.</w:t>
      </w:r>
    </w:p>
    <w:p>
      <w:pPr>
        <w:spacing w:after="0" w:line="81" w:lineRule="exact"/>
        <w:rPr>
          <w:sz w:val="20"/>
          <w:szCs w:val="20"/>
          <w:color w:val="auto"/>
        </w:rPr>
      </w:pPr>
    </w:p>
    <w:p>
      <w:pPr>
        <w:ind w:left="120" w:right="740" w:firstLine="440"/>
        <w:spacing w:after="0" w:line="275" w:lineRule="auto"/>
        <w:rPr>
          <w:sz w:val="20"/>
          <w:szCs w:val="20"/>
          <w:color w:val="auto"/>
        </w:rPr>
      </w:pPr>
      <w:r>
        <w:rPr>
          <w:rFonts w:ascii="Times New Roman" w:cs="Times New Roman" w:eastAsia="Times New Roman" w:hAnsi="Times New Roman"/>
          <w:sz w:val="18"/>
          <w:szCs w:val="18"/>
          <w:color w:val="auto"/>
        </w:rPr>
        <w:t>The assumed initial public offering price of the ADSs is substantially higher than the net tangible book value per ADS or per ordinary share immediately after this offering. If you purchase ADSs in this offering, you</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will suffer immediate dilution of US$12.82 per ADS (or US$1.60 per ordinary share), or US$12.45 per ADS (or US$1.56 per ordinary share) if the underwriters exercise their option to purchase additional shares in full, representing the difference between our as adjusted net tangible book value per ADS or per ordinary share after giving effect to the sale of ADSs in this offering and the assumed initial public offering price of US$17.26 per ADS, the U.S. dollar equivalent of the last reported sale of price of our ordinary shares on the ASX on October 8, 2020, after giving effect to the Australian dollar/U.S. dollar exchange rate of A$1.3996 to US$1.00 as of October 8, 2020, and an ADS-to-ordinary share ratio of 1-to-8. See “Dilution.” If outstanding options are exercised in the future, you will experience additional dilution.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81" w:lineRule="exact"/>
        <w:rPr>
          <w:sz w:val="20"/>
          <w:szCs w:val="20"/>
          <w:color w:val="auto"/>
        </w:rPr>
      </w:pPr>
    </w:p>
    <w:p>
      <w:pPr>
        <w:ind w:left="120" w:right="40" w:firstLine="440"/>
        <w:spacing w:after="0" w:line="301" w:lineRule="auto"/>
        <w:rPr>
          <w:sz w:val="20"/>
          <w:szCs w:val="20"/>
          <w:color w:val="auto"/>
        </w:rPr>
      </w:pPr>
      <w:r>
        <w:rPr>
          <w:rFonts w:ascii="Times New Roman" w:cs="Times New Roman" w:eastAsia="Times New Roman" w:hAnsi="Times New Roman"/>
          <w:sz w:val="16"/>
          <w:szCs w:val="16"/>
          <w:color w:val="auto"/>
        </w:rPr>
        <w:t>We will have broad discretion in the application of the net proceeds that we receive from this offering as well as of our existing cash and cash equivalents and non-current financial assets, and we may spend or invest these funds in a way with which our shareholders or holders of the ADSs disagree. Our failure to apply these funds effectively could harm our business and financial condition. Pending their use, we may invest the net proceeds from the offering in a manner that does not produce income or that loses value. These investments may not yield a favorable return to our investors.</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ordinary shares or ADSs by existing holders could depress the market price of the ordinary shares or ADSs.</w:t>
      </w:r>
    </w:p>
    <w:p>
      <w:pPr>
        <w:spacing w:after="0" w:line="81" w:lineRule="exact"/>
        <w:rPr>
          <w:sz w:val="20"/>
          <w:szCs w:val="20"/>
          <w:color w:val="auto"/>
        </w:rPr>
      </w:pPr>
    </w:p>
    <w:p>
      <w:pPr>
        <w:ind w:left="120" w:right="420" w:firstLine="440"/>
        <w:spacing w:after="0" w:line="287" w:lineRule="auto"/>
        <w:rPr>
          <w:sz w:val="20"/>
          <w:szCs w:val="20"/>
          <w:color w:val="auto"/>
        </w:rPr>
      </w:pPr>
      <w:r>
        <w:rPr>
          <w:rFonts w:ascii="Times New Roman" w:cs="Times New Roman" w:eastAsia="Times New Roman" w:hAnsi="Times New Roman"/>
          <w:sz w:val="16"/>
          <w:szCs w:val="16"/>
          <w:color w:val="auto"/>
        </w:rPr>
        <w:t>Based on 269,157,769 ordinary shares outstanding as of June 30, 2020, upon the closing of this offering, we will have outstanding a total of 343,557,769 ordinary shares (including ordinary shares represented by ADSs), assuming no exercise of the underwriters’ option to purchase additional ADSs and no exercise of outstanding options. Each member of our senior management and board of directors and their affiliates are subject</w:t>
      </w:r>
    </w:p>
    <w:p>
      <w:pPr>
        <w:ind w:left="120" w:right="120"/>
        <w:spacing w:after="0" w:line="250" w:lineRule="auto"/>
        <w:rPr>
          <w:sz w:val="20"/>
          <w:szCs w:val="20"/>
          <w:color w:val="auto"/>
        </w:rPr>
      </w:pPr>
      <w:r>
        <w:rPr>
          <w:rFonts w:ascii="Times New Roman" w:cs="Times New Roman" w:eastAsia="Times New Roman" w:hAnsi="Times New Roman"/>
          <w:sz w:val="18"/>
          <w:szCs w:val="18"/>
          <w:color w:val="auto"/>
        </w:rPr>
        <w:t>to lock-up agreements with the underwriters that restrict their ability to transfer ordinary shares, options and other securities convertible into, exchangeable for, or exercisable for ordinary shares during the period ending on, and including, the 90th day after the date of this prospectus, subject to specified exceptions. Citigroup Global Markets Inc. and SVB Leerink LLC may, in their discretion, permit our shareholders who are subject to</w:t>
      </w:r>
    </w:p>
    <w:p>
      <w:pPr>
        <w:spacing w:after="0" w:line="1" w:lineRule="exact"/>
        <w:rPr>
          <w:sz w:val="20"/>
          <w:szCs w:val="20"/>
          <w:color w:val="auto"/>
        </w:rPr>
      </w:pPr>
    </w:p>
    <w:p>
      <w:pPr>
        <w:ind w:left="120" w:right="60"/>
        <w:spacing w:after="0" w:line="323" w:lineRule="auto"/>
        <w:rPr>
          <w:sz w:val="20"/>
          <w:szCs w:val="20"/>
          <w:color w:val="auto"/>
        </w:rPr>
      </w:pPr>
      <w:r>
        <w:rPr>
          <w:rFonts w:ascii="Times New Roman" w:cs="Times New Roman" w:eastAsia="Times New Roman" w:hAnsi="Times New Roman"/>
          <w:sz w:val="16"/>
          <w:szCs w:val="16"/>
          <w:color w:val="auto"/>
        </w:rPr>
        <w:t>these lock-up agreements to sell securities prior to the expiration of the lock-up agreements. As of the date of this prospectus, the exercise of all outstanding options exercisable for ordinary shares would enable the subscription of new ordinary shares representing approximately 7.6% of the diluted share capital.</w:t>
      </w:r>
    </w:p>
    <w:p>
      <w:pPr>
        <w:spacing w:after="0" w:line="7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After the lock-up agreements pertaining to this offering expire, 2,408,861 additional ordinary shares will be eligible for sale in the public market, all of which ordinary shares are held by members of our senior management and board of directors and will be subject to volume limitations under Rule 144 under the Securities Act of 1933, as amended, or the Securities Act. In addition, the ordinary shares subject to subscription under outstanding options exercisable for ordinary shares will become eligible for sale in the public market in the future, subject to certain legal and contractual limitations. Sales of a large number of the ordinary shares in the public market could depress the market price of the ADSs. See “Shares and American Depository Shares Eligible for Future Sale” for a more detailed description of sales that may occur in the future. If these additional ordinary shares are sold, or if it is perceived that they will be sold, in the public market, the trading price of the ordinary shares and ADSs could decline substantially, which could impair our ability to raise additional capital through the issuance of ordinary shares, ADSs or other securities in the future.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dual listing of our ordinary shares and the ADSs following this offering may negatively impact the liquidity and value of the ADSs.</w:t>
      </w:r>
    </w:p>
    <w:p>
      <w:pPr>
        <w:spacing w:after="0" w:line="8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Following this offering and after the ADSs are listed on Nasdaq, our ordinary shares will continue to be listed on the ASX. We cannot predict the effect of this dual listing on the value of our ordinary shares and ADSs. However, the dual listing of our ordinary shares and ADSs may dilute the liquidity of these securities in one or both markets and may negatively impact the development of an active trading market for the ADSs in the United States. The price of the ADSs could also be negatively impacted by trading in our ordinary shares on the ASX.</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currency fluctuations, and changes in foreign currency exchange rates could impact our results of operations.</w:t>
      </w:r>
    </w:p>
    <w:p>
      <w:pPr>
        <w:spacing w:after="0" w:line="10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ordinary shares are quoted in Australian dollars on the ASX and the ADSs will be quoted in U.S. dollars. In the past year, the Australian dollar has generally weakened against the U.S. dollar; however, this trend may not continue and may be reversed. As such, any significant change in the value of the Australian dollar may have a negative effect on the value of the ADSs in U.S. dollars. In addition, if the Australian dollar weakens against the U.S. dollar, then, if we decide to convert our Australian dollars into U.S. dollars for any business purpose, appreciation of the U.S. dollar against the Australian dollar would have a negative effect on the U.S. dollar amount available to us. While we engage in limited hedging transactions to manage our foreign exchange risk, these activities may not be effective in limiting or eliminating foreign exchange losses. To the extent that we need to convert U.S. dollars we receive from this offering into Australian dollars for our operations, appreciation of the Australian dollar against the U.S. dollar would have a negative effect on the Australian dollar amount we would receive from the conversion. Consequently, appreciation or depreciation in the value of the Australian dollar relative to the U.S. dollar would affect our financial results reported in U.S. dollar terms without giving effect to any underlying change in our business or results of operations. As a result of such foreign currency fluctuations, it could be more difficult to detect underlying trends in our business and results of operations.</w:t>
      </w:r>
    </w:p>
    <w:p>
      <w:pPr>
        <w:spacing w:after="0" w:line="130" w:lineRule="exact"/>
        <w:rPr>
          <w:sz w:val="20"/>
          <w:szCs w:val="20"/>
          <w:color w:val="auto"/>
        </w:rPr>
      </w:pPr>
    </w:p>
    <w:p>
      <w:pPr>
        <w:ind w:left="340" w:right="5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company with ADSs that are publicly traded in the United States, and our management will be required to devote substantial time to new compliance initiatives.</w:t>
      </w:r>
    </w:p>
    <w:p>
      <w:pPr>
        <w:spacing w:after="0" w:line="2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As a company whose ADSs will be publicly traded in the United States, we will incur significant legal, accounting, insurance and other expenses that we did not previously incur. In addition, the Sarbanes-Oxley Act, Dodd-Frank Wall Street Reform and Consumer Protection Act and related rules implemented by the SEC and Nasdaq have imposed various requirements on public companies listed in the United States including requiring establishment and maintenance of effective disclosure and financial controls. Our management and other personnel will need to devote a substantial amount of time to these compliance initiatives, and we will need to add additional personnel and build our internal compliance infrastructure. Moreover, these rules and regulations will increase our legal and financial compliance costs and will make some activities more time-consuming and costly. These laws and regulations could also make it more difficult and expensive for us to attract and retain qualified persons to serve on our board of directors, our board committees or as our senior management. Furthermore, if we are unable to satisfy our obligations as a public company listed in the United States, we could be subject to delisting of the ADSs, fines, sanctions and other regulatory action and potentially civil litigation.</w:t>
      </w:r>
    </w:p>
    <w:p>
      <w:pPr>
        <w:spacing w:after="0" w:line="125" w:lineRule="exact"/>
        <w:rPr>
          <w:sz w:val="20"/>
          <w:szCs w:val="20"/>
          <w:color w:val="auto"/>
        </w:rPr>
      </w:pPr>
    </w:p>
    <w:p>
      <w:pPr>
        <w:ind w:left="340" w:right="3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U.S. investors may have difficulty enforcing civil liabilities against our company, our directors or members of senior management and the experts named in this prospectus.</w:t>
      </w:r>
    </w:p>
    <w:p>
      <w:pPr>
        <w:spacing w:after="0" w:line="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members of our senior management and board of directors named in this prospectus are non-residents of the United States, and a substantial portion of the assets of such persons are located outside the United States. As a result, it may be impracticable to serve process on such persons in the United States or to enforce judgments obtained in U.S. courts against them based on civil liability provisions of the securities laws of the United States. Even if you are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United States or elsewhere may be unenforceable in Australia or elsewhere outside the United States. An award for monetary damages under U.S. securities laws would be considered punitive if it does not seek to compensate the claimant for loss or damage suffered and is intended to punish the defendant. The enforceability of any judgment in Australia will depend on the particular facts of the case as well as the laws and treaties in effect at the time. The United States and Australia do not currently have a treaty or statute providing for recognition and enforcement of the judgments of the other country (other than arbitration awards) in civil and commercial matters.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a result, our public shareholders may have more difficulty in protecting their interests through actions against us, our management or our directors than would shareholders of a corporation incorporated in a jurisdiction in the United States. In addition, as a company incorporated in Australia, the provisions of the Corporations Act 2001 (Cth), or the Corporations Act, regulate the circumstances in which shareholder derivative actions may be commenced which may be different, and in many ways less permissive, than for companies incorporated in the United States.</w:t>
      </w:r>
    </w:p>
    <w:p>
      <w:pPr>
        <w:spacing w:after="0" w:line="118" w:lineRule="exact"/>
        <w:rPr>
          <w:sz w:val="20"/>
          <w:szCs w:val="20"/>
          <w:color w:val="auto"/>
        </w:rPr>
      </w:pPr>
    </w:p>
    <w:p>
      <w:pPr>
        <w:ind w:left="340" w:right="6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Australian takeover laws may discourage takeover offers being made for us or may discourage the acquisition of a significant position in our ordinary shares or ADSs.</w:t>
      </w:r>
    </w:p>
    <w:p>
      <w:pPr>
        <w:spacing w:after="0" w:line="2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incorporated in Australia and are subject to the takeover laws of Australia. Among other things, we are subject to the Corporations Act. Subject to a range of exceptions, the Corporations Act prohibits the acquisition of a direct or indirect interest in our issued voting shares if the acquisition of that interest will lead to a person’s voting power in us increasing to more than 20%, or increasing from a starting point that is above 20% and below 90%. Australian takeover laws may discourage takeover offers being made for us or may discourage the acquisition of a significant position in our ordinary shares. This may have the ancillary effect of entrenching our board of directors and may deprive or limit our shareholders’ opportunity to sell their ordinary shares and may further restrict the ability of our shareholders to obtain a premium from such transactions. See “Description of Share Capital—Change of Control.”</w:t>
      </w:r>
    </w:p>
    <w:p>
      <w:pPr>
        <w:spacing w:after="0" w:line="123" w:lineRule="exact"/>
        <w:rPr>
          <w:sz w:val="20"/>
          <w:szCs w:val="20"/>
          <w:color w:val="auto"/>
        </w:rPr>
      </w:pPr>
    </w:p>
    <w:p>
      <w:pPr>
        <w:ind w:left="340" w:right="1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Constitution and Australian laws and regulations applicable to us may adversely affect our ability to take actions that could be beneficial to our shareholders.</w:t>
      </w:r>
    </w:p>
    <w:p>
      <w:pPr>
        <w:spacing w:after="0" w:line="2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an Australian company we are subject to different corporate requirements than a corporation organized under the laws of the United States. Our Constitution, as well as the Corporations Act, sets forth various rights and obligations that apply to us as an Australian company and which may not apply to a U.S. corporation. These requirements may operate differently than those of many U.S. companies. You should carefully review the summary of these matters set forth under “Description of Share Capital” as well as our Constitution, which is included as an exhibit to the registration statement of which this prospectus forms a part, prior to investing in the ADSs.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Purchasers of ADSs in this offering will not be directly holding our ordinary shares.</w:t>
      </w:r>
    </w:p>
    <w:p>
      <w:pPr>
        <w:spacing w:after="0" w:line="8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 holder of ADSs will not be treated as one of our shareholders and will not have direct shareholder rights. Our Constitution and Australian law govern our shareholder rights. The depositary, through the custodian or the custodian’s nominee, will be the holder of the ordinary shares underlying ADSs held by purchasers of ADSs in this offering. Purchasers of ADSs in this offering will have ADS holder rights. The deposit agreement among us, the depositary and purchasers of ADSs in this offering, as an ADS holder, and all other persons directly and indirectly holding ADSs, sets out ADS holder rights, as well as the rights and obligations of us and the depositary.</w:t>
      </w:r>
    </w:p>
    <w:p>
      <w:pPr>
        <w:spacing w:after="0" w:line="121" w:lineRule="exact"/>
        <w:rPr>
          <w:sz w:val="20"/>
          <w:szCs w:val="20"/>
          <w:color w:val="auto"/>
        </w:rPr>
      </w:pPr>
    </w:p>
    <w:p>
      <w:pPr>
        <w:ind w:left="340" w:right="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Your right as a holder of ADSs to participate in any future preferential subscription rights offering or to elect to receive dividends in ordinary shares may be limited, which may cause dilution to your holdings.</w:t>
      </w:r>
    </w:p>
    <w:p>
      <w:pPr>
        <w:spacing w:after="0" w:line="2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deposit agreement provides that the depositary will not make rights available to you unless the distribution to ADS holders of both the rights and any related securities are either registered under the Securities Act or exempted from registration under the Securities Act.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40"/>
        <w:spacing w:after="0" w:line="262" w:lineRule="auto"/>
        <w:rPr>
          <w:sz w:val="20"/>
          <w:szCs w:val="20"/>
          <w:color w:val="auto"/>
        </w:rPr>
      </w:pPr>
      <w:r>
        <w:rPr>
          <w:rFonts w:ascii="Times New Roman" w:cs="Times New Roman" w:eastAsia="Times New Roman" w:hAnsi="Times New Roman"/>
          <w:sz w:val="18"/>
          <w:szCs w:val="18"/>
          <w:color w:val="auto"/>
        </w:rPr>
        <w:t>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exercise your right to vote the ordinary shares underlying your ADSs.</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w:t>
      </w:r>
    </w:p>
    <w:p>
      <w:pPr>
        <w:spacing w:after="0" w:line="1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may instruct the depositary to vote the ordinary shares underlying your ADSs. Otherwise, you will not be able to exercise your right to vote, unless you withdraw the ordinary shares underlying the ADSs you hold. However, you may not know about the meeting far enough in advance to withdraw those ordinary shares. If we ask for your instructions, the depositary, upon timely notice from us, will notify you of the upcoming vote and arrange to deliver our voting materials to you and will try to vote ordinary shares as you instruct. We cannot guarantee you that you will receive the voting materials in time to ensure that you can instruct the depositary to vote your ordinary shares or to withdraw your ordinary shares so that you can vote them yourself. If we do not ask for your instructions, you can still send voting instructions to the depository and the depository may try to carry out those instructions, but it is not required to do so.</w:t>
      </w:r>
    </w:p>
    <w:p>
      <w:pPr>
        <w:spacing w:after="0" w:line="1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our Constitution, any resolution to be considered at a meeting of the shareholders shall be decided on a show of hands unless a poll is demanded in accordance with the terms of our Constitution. A poll may be demanded before a vote is taken, or, in the case of a vote taken on a show of hands, immediately before or immediately after, the declaration of the result of the show of hands. Under voting by a show of hands, multiple “yes” votes by ADS holders will only count as one “yes” vote and will be negated by a single “no” vote, unless a poll is demanded.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your ADSs and the withdrawal of the underlying ordinary shares.</w:t>
      </w:r>
    </w:p>
    <w:p>
      <w:pPr>
        <w:spacing w:after="0" w:line="8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refuse to deliver, transfer or register transfers of your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your right to surrender your ADSs and receive the underlying ordinary shares. Temporary delays in the surrendering of your ADSs and receipt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you may not be able to surrender your ADSs and receive the underlying ordinary shares when you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are not treated as holders of our ordinary shares.</w:t>
      </w:r>
    </w:p>
    <w:p>
      <w:pPr>
        <w:spacing w:after="0" w:line="8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By participating in this offering you will become a holder of ADSs with underlying ordinary shares in an Australian public listed company. Holders of ADSs are not treated as holders of our ordinary shares, unless they surrender the ADSs to receive the ordinary shares underlying their ADSs in accordance with the deposit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color w:val="auto"/>
        </w:rPr>
        <w:t>agreement and applicable laws and regulations. The depositary is the holder of the ordinary shares underlying the ADSs. Holders of ADSs therefore do not have any rights as holders of our ordinary shares, other than the rights that they have pursuant to the deposit agreement. See “Description of American Depositary Shares.”</w:t>
      </w:r>
    </w:p>
    <w:p>
      <w:pPr>
        <w:spacing w:after="0" w:line="115" w:lineRule="exact"/>
        <w:rPr>
          <w:sz w:val="20"/>
          <w:szCs w:val="20"/>
          <w:color w:val="auto"/>
        </w:rPr>
      </w:pPr>
    </w:p>
    <w:p>
      <w:pPr>
        <w:ind w:left="340" w:right="5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2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deposit agreement governing the ADSs provides that holders and beneficial owners of ADSs, including those holders and owners who acquired ADSs in secondary transactions, irrevocably waive the right to a trial by jury in any legal proceeding arising out of or relating to the deposit agreement or the ADSs, including in respect of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or the ADSs.</w:t>
      </w:r>
    </w:p>
    <w:p>
      <w:pPr>
        <w:spacing w:after="0" w:line="131" w:lineRule="exact"/>
        <w:rPr>
          <w:sz w:val="20"/>
          <w:szCs w:val="20"/>
          <w:color w:val="auto"/>
        </w:rPr>
      </w:pPr>
    </w:p>
    <w:p>
      <w:pPr>
        <w:ind w:left="120" w:right="20" w:firstLine="440"/>
        <w:spacing w:after="0" w:line="291" w:lineRule="auto"/>
        <w:rPr>
          <w:sz w:val="20"/>
          <w:szCs w:val="20"/>
          <w:color w:val="auto"/>
        </w:rPr>
      </w:pPr>
      <w:r>
        <w:rPr>
          <w:rFonts w:ascii="Times New Roman" w:cs="Times New Roman" w:eastAsia="Times New Roman" w:hAnsi="Times New Roman"/>
          <w:sz w:val="16"/>
          <w:szCs w:val="16"/>
          <w:color w:val="auto"/>
        </w:rPr>
        <w:t>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such matters,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9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As the jury trial waiver relates to claims arising out of or relating to the ADSs or the deposit agreement, we believe that the waiver would likely continue to apply to ADS holders or beneficial owners who withdraw the ordinary shares from the ADS facility with respect to claims arising before the cancellation of the ADSs and the withdrawal of the ordinary shares, and the waiver would likely not apply to ADS holders or beneficial owners who subsequently withdraw the ordinary shares represented by ADSs from the ADS facility with respect to claims arising after the withdrawal. However, to our knowledge, there has been no case law on the applicability of the jury trial waiver to ADS holders or beneficial owners who withdraw the ordinary shares represented by the ADSs from the ADS facility.</w:t>
      </w:r>
    </w:p>
    <w:p>
      <w:pPr>
        <w:spacing w:after="0" w:line="121" w:lineRule="exact"/>
        <w:rPr>
          <w:sz w:val="20"/>
          <w:szCs w:val="20"/>
          <w:color w:val="auto"/>
        </w:rPr>
      </w:pPr>
    </w:p>
    <w:p>
      <w:pPr>
        <w:ind w:left="340"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currently report our financial results under IFRS, which differs in certain significant respect from U.S. generally accepted accounting principles, or U.S. GAAP.</w:t>
      </w:r>
    </w:p>
    <w:p>
      <w:pPr>
        <w:spacing w:after="0" w:line="2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Currently we report our financial statements under IFRS. There have been and there may in the future be certain significant differences between IFRS and U.S. GAAP, including differences related to revenue recognition, intangible assets, share-based compensation expense, income tax and earnings per share. As a result, our financial information and reported earnings for historical or future periods could be significantly different if they were prepared in accordance with U.S. GAAP. In addition, we do not intend to provide a reconciliation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8"/>
          <w:szCs w:val="18"/>
          <w:color w:val="auto"/>
        </w:rPr>
        <w:t>between IFRS and U.S. GAAP unless it is required under applicable law. As a result, you may not be able to meaningfully compare our financial statements under IFRS with those companies that prepare financial statements under U.S. GAAP.</w:t>
      </w:r>
    </w:p>
    <w:p>
      <w:pPr>
        <w:spacing w:after="0" w:line="102" w:lineRule="exact"/>
        <w:rPr>
          <w:sz w:val="20"/>
          <w:szCs w:val="20"/>
          <w:color w:val="auto"/>
        </w:rPr>
      </w:pPr>
    </w:p>
    <w:p>
      <w:pPr>
        <w:ind w:left="340" w:right="2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exempt from a number of rules under the U.S. securities laws and are permitted to file less information with the SEC than a U.S. company.</w:t>
      </w:r>
    </w:p>
    <w:p>
      <w:pPr>
        <w:spacing w:after="0" w:line="22" w:lineRule="exact"/>
        <w:rPr>
          <w:sz w:val="20"/>
          <w:szCs w:val="20"/>
          <w:color w:val="auto"/>
        </w:rPr>
      </w:pPr>
    </w:p>
    <w:p>
      <w:pPr>
        <w:ind w:left="120" w:firstLine="440"/>
        <w:spacing w:after="0" w:line="288" w:lineRule="auto"/>
        <w:rPr>
          <w:sz w:val="20"/>
          <w:szCs w:val="20"/>
          <w:color w:val="auto"/>
        </w:rPr>
      </w:pPr>
      <w:r>
        <w:rPr>
          <w:rFonts w:ascii="Times New Roman" w:cs="Times New Roman" w:eastAsia="Times New Roman" w:hAnsi="Times New Roman"/>
          <w:sz w:val="16"/>
          <w:szCs w:val="16"/>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senior management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the ASX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 Form 8-K under the Exchange Act. In addition, foreign private issuers are not required to file their annual report on Form 20-F until four months after the end of each fiscal year. Accordingly, there may be less publicly available information concerning our company than there would be if we were not a foreign private issuer.</w:t>
      </w:r>
    </w:p>
    <w:p>
      <w:pPr>
        <w:spacing w:after="0" w:line="97" w:lineRule="exact"/>
        <w:rPr>
          <w:sz w:val="20"/>
          <w:szCs w:val="20"/>
          <w:color w:val="auto"/>
        </w:rPr>
      </w:pPr>
    </w:p>
    <w:p>
      <w:pPr>
        <w:ind w:left="340" w:right="3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adopt certain home country practices in relation to corporate governance matters that differ significantly from Nasdaq corporate governance listing standards and these practices may afford less protection to shareholders than they would enjoy if we complied fully with Nasdaq corporate governance listing standards.</w:t>
      </w:r>
    </w:p>
    <w:p>
      <w:pPr>
        <w:spacing w:after="0" w:line="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As a foreign private issuer listed on Nasdaq, we will be subject to their corporate governance listing standards. However, Nasdaq rules permit foreign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private issuers to follow the corporate governance practices of its home country. Some corporate governance practices in Australia may differ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Nasdaq corporate governance listing standards. For example, we could include non-independent directors as members of our Remuneration and Nomination</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committees, and our independent directors may not necessarily hold regularly scheduled meetings at which only independent members of the board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directors are present. Currently, we intend to follow home country practice to the maximum extent possible. Therefore, our shareholders may be afforded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less protection than they otherwise would have under corporate governance listing standards applicable to U.S. domestic issuers. For an overview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governance practices, see “Management.”</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81" w:lineRule="exact"/>
        <w:rPr>
          <w:sz w:val="20"/>
          <w:szCs w:val="20"/>
          <w:color w:val="auto"/>
        </w:rPr>
      </w:pPr>
    </w:p>
    <w:p>
      <w:pPr>
        <w:jc w:val="both"/>
        <w:ind w:left="120" w:firstLine="440"/>
        <w:spacing w:after="0" w:line="285" w:lineRule="auto"/>
        <w:rPr>
          <w:sz w:val="20"/>
          <w:szCs w:val="20"/>
          <w:color w:val="auto"/>
        </w:rPr>
      </w:pPr>
      <w:r>
        <w:rPr>
          <w:rFonts w:ascii="Times New Roman" w:cs="Times New Roman" w:eastAsia="Times New Roman" w:hAnsi="Times New Roman"/>
          <w:sz w:val="16"/>
          <w:szCs w:val="16"/>
          <w:color w:val="auto"/>
        </w:rPr>
        <w:t>While we currently qualify as a foreign private issuer, the determination of foreign private issuer status is made annually on the last business day of an issuer’s most recently completed second fiscal quarter and, accordingly, our next determination will be made on June 30, 2021. In the future, we would lose our foreign private issuer status if we to fail to meet the requirements necessary to maintain our foreign private issuer status as of the relevant determination date. For example, if 50% or more of our securities are held by U.S. residents and more than 50% of our senior management or directors are residents or</w:t>
      </w:r>
    </w:p>
    <w:p>
      <w:pPr>
        <w:spacing w:after="0" w:line="2"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citizens of the United States, we could lose our foreign private issuer status. Immediately following the closing of this offering, approximately % of our outstanding ordinary shares (including ordinary shares in the form of ADSs) will likely be held by U.S. residents (assuming that all purchasers in this offering are residents of the United States).</w:t>
      </w:r>
    </w:p>
    <w:p>
      <w:pPr>
        <w:spacing w:after="0" w:line="124"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required of U.S. domestic issuers.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121" w:lineRule="exact"/>
        <w:rPr>
          <w:sz w:val="20"/>
          <w:szCs w:val="20"/>
          <w:color w:val="auto"/>
        </w:rPr>
      </w:pPr>
    </w:p>
    <w:p>
      <w:pPr>
        <w:ind w:left="340" w:right="4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will be able to avail ourselves of reduced disclosure requirements applicable to emerging growth companies, which could make our ordinary shares ADSs less attractive to investors.</w:t>
      </w:r>
    </w:p>
    <w:p>
      <w:pPr>
        <w:spacing w:after="0" w:line="2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We will not take advantage of the extended transition period provided under Section 7(a)(2)(B) of the Securities Act for complying with new or revised accounting standards.</w:t>
      </w:r>
    </w:p>
    <w:p>
      <w:pPr>
        <w:spacing w:after="0" w:line="1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cannot predict if investors will find the ordinary shares or ADSs less attractive because we may rely on these exemptions. If some investors find the ordinary shares or ADSs less attractive as a result, there may be a less active trading market for the ordinary shares or ADSs and the price of the ordinary shares or ADSs may be more volatile. We may take advantage of these exemptions until such time that we are no longer an emerging growth company. We would cease to be an emerging growth company upon the earliest to occur of (i) the last day of the fiscal year in which we have more than $1.07 billion in annual revenue; (ii) the last day of the fiscal year in which we qualify as a “large accelerated filer”; (iii) the date on which we have, during the previous three-year period, issued more than $1.0 billion in non-convertible debt securities; and (iv) the last day of the fiscal year in which the fifth anniversary of this offering occurs.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there could be adverse U.S. federal income tax consequences to U.S. holders.</w:t>
      </w:r>
    </w:p>
    <w:p>
      <w:pPr>
        <w:spacing w:after="0" w:line="8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Based on the nature and composition of our income, assets, activities and market capitalization for our taxable year ended June 30, 2019, we believe that we were not classified as a passive foreign investment company, or PFIC, for the taxable year ended June 30, 2019. Based on the nature and composition of our income, assets, activities and market capitalization for our taxable year ended June 30, 2020, we believe that we would not be classified as a PFIC for the taxable year ended June 30, 2020. However, there can be no assurance that we will not be considered a PFIC in any past, current or future taxable year. A separate determination must be made after the close of each taxable year as to whether we are a PFIC for that year. As a result, our PFIC status may change from year to year. Our status as a PFIC will depend on the composition of our income (including whether we receive certain grants or subsidies and whether such amounts will constitute gross income for purposes of the PFIC income test) and the composition and value of our assets, which may be determined in large part by reference to the market value of the ADSs and our ordinary shares, which may be volatile, from time to time. Our status may also depend, in part, on how quickly we utilize the cash proceeds from this offering in our business. Our U.S. counsel expresses no opinion regarding our conclusions or our expectations regarding our PFIC status.</w:t>
      </w:r>
    </w:p>
    <w:p>
      <w:pPr>
        <w:spacing w:after="0" w:line="127"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Under the Code, a non-U.S. company will be considered a PFIC for any taxable year in which (1) 75% or more of its gross income consists of passive income or (2) 50% or more of the average quarterly value of its assets consists of assets that produce, or are held for the production of, passive income. For purposes of these tests, passive income includes dividends, interest, gains from the sale or exchange of investment property and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spacing w:after="0" w:line="287" w:lineRule="auto"/>
        <w:rPr>
          <w:sz w:val="20"/>
          <w:szCs w:val="20"/>
          <w:color w:val="auto"/>
        </w:rPr>
      </w:pPr>
      <w:r>
        <w:rPr>
          <w:rFonts w:ascii="Times New Roman" w:cs="Times New Roman" w:eastAsia="Times New Roman" w:hAnsi="Times New Roman"/>
          <w:sz w:val="16"/>
          <w:szCs w:val="16"/>
          <w:color w:val="auto"/>
        </w:rPr>
        <w:t>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 If we are a PFIC for any taxable year during which a U.S. holder (as defined in the section titled “Material United States Federal Income Tax and Australian Tax Considerations—Material United States Federal Income Tax Considerations”) holds our ordinary shares or ADSs, we will continue to be treated as a PFIC with respect to such U.S. holder in all succeeding years during which the U.S. holder owns the ordinary shares or ADSs, regardless of whether we continue to meet the PFIC test described above, unless the U.S. holder is eligible to make and makes a mark-to-market election or makes a specified election once we cease to be a PFIC. If we are classified as a PFIC for any taxable year during which a U.S. holder holds our ordinary shares or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 For further discussion of the PFIC rules and the adverse U.S. federal income tax consequences in the event we are classified as a PFIC, see “Material United States Federal Income Tax and Australian Tax Considerations—Material United States Federal Income Tax Considerations.”</w:t>
      </w:r>
    </w:p>
    <w:p>
      <w:pPr>
        <w:spacing w:after="0" w:line="100" w:lineRule="exact"/>
        <w:rPr>
          <w:sz w:val="20"/>
          <w:szCs w:val="20"/>
          <w:color w:val="auto"/>
        </w:rPr>
      </w:pPr>
    </w:p>
    <w:p>
      <w:pPr>
        <w:ind w:left="340" w:right="3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2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a U.S. holder is treated as owning, directly, indirectly or constructively, at least 10% of the value or voting power of our ordinary shares or ADSs, such U.S. holder may be treated as a “United States shareholder” with respect to each “controlled foreign corporation” in our group, if any. While our group does not currently include any U.S. subsidiaries, if we form or acquire any U.S. subsidiaries in the future any of our current non-U.S. subsidiaries and any future newly formed or acquired non-U.S. subsidiaries will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controlled foreign corporation reporting obligations may subject a United States shareholder to significant monetary penalties. We cannot provide any assurances that we will furnish to any United States shareholder information that may be necessary to comply with the reporting and tax paying obligations applicable under the controlled foreign corporation rules of the Code. U.S. holders should consult their tax advisors regarding the potential application of these rules to their investment in our ordinary shares or ADSs.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8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79" w:lineRule="exact"/>
        <w:rPr>
          <w:sz w:val="20"/>
          <w:szCs w:val="20"/>
          <w:color w:val="auto"/>
        </w:rPr>
      </w:pPr>
    </w:p>
    <w:p>
      <w:pPr>
        <w:ind w:left="120" w:right="40" w:firstLine="440"/>
        <w:spacing w:after="0" w:line="296" w:lineRule="auto"/>
        <w:rPr>
          <w:sz w:val="20"/>
          <w:szCs w:val="20"/>
          <w:color w:val="auto"/>
        </w:rPr>
      </w:pPr>
      <w:r>
        <w:rPr>
          <w:rFonts w:ascii="Times New Roman" w:cs="Times New Roman" w:eastAsia="Times New Roman" w:hAnsi="Times New Roman"/>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“Risk Factors” and elsewhere in this prospectus, regarding, among other things:</w:t>
      </w:r>
    </w:p>
    <w:p>
      <w:pPr>
        <w:spacing w:after="0" w:line="41" w:lineRule="exact"/>
        <w:rPr>
          <w:sz w:val="20"/>
          <w:szCs w:val="20"/>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 and clinical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the timing or likelihood of achieving regulatory approval and the cost of our development programs;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OPT-302 as our only product candidate;</w:t>
      </w:r>
    </w:p>
    <w:p>
      <w:pPr>
        <w:spacing w:after="0" w:line="103" w:lineRule="exact"/>
        <w:rPr>
          <w:rFonts w:ascii="Times New Roman" w:cs="Times New Roman" w:eastAsia="Times New Roman" w:hAnsi="Times New Roman"/>
          <w:sz w:val="18"/>
          <w:szCs w:val="18"/>
          <w:color w:val="auto"/>
        </w:rPr>
      </w:pPr>
    </w:p>
    <w:p>
      <w:pPr>
        <w:ind w:left="760" w:right="500" w:hanging="212"/>
        <w:spacing w:after="0" w:line="275"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protect and enforce our intellectual property portfolio;</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misappropriating or otherwise violating the intellectual property rights of third parties;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development, regulatory and commercialization expertise;</w:t>
      </w:r>
    </w:p>
    <w:p>
      <w:pPr>
        <w:spacing w:after="0" w:line="103" w:lineRule="exact"/>
        <w:rPr>
          <w:rFonts w:ascii="Times New Roman" w:cs="Times New Roman" w:eastAsia="Times New Roman" w:hAnsi="Times New Roman"/>
          <w:sz w:val="18"/>
          <w:szCs w:val="18"/>
          <w:color w:val="auto"/>
        </w:rPr>
      </w:pPr>
    </w:p>
    <w:p>
      <w:pPr>
        <w:ind w:left="760" w:right="200" w:hanging="212"/>
        <w:spacing w:after="0" w:line="275"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the initiation, patient enrollment, development and operation of our clinical trials, including as a result of a public health emergency, such as the global outbreak of the COVID-19 pandemic;</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Australia and other jurisdictions;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60"/>
          </w:cols>
          <w:pgMar w:left="320" w:top="455" w:right="51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under the JOBS Act;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this offering;</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 of the ADSs and impact of securities analysts’ reports on these prices;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“Risk Factors.”</w:t>
      </w:r>
    </w:p>
    <w:p>
      <w:pPr>
        <w:spacing w:after="0" w:line="185"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2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7" w:lineRule="exact"/>
        <w:rPr>
          <w:sz w:val="20"/>
          <w:szCs w:val="20"/>
          <w:color w:val="auto"/>
        </w:rPr>
      </w:pPr>
    </w:p>
    <w:p>
      <w:pPr>
        <w:ind w:left="120" w:firstLine="440"/>
        <w:spacing w:after="0" w:line="301" w:lineRule="auto"/>
        <w:rPr>
          <w:sz w:val="20"/>
          <w:szCs w:val="20"/>
          <w:color w:val="auto"/>
        </w:rPr>
      </w:pPr>
      <w:r>
        <w:rPr>
          <w:rFonts w:ascii="Times New Roman" w:cs="Times New Roman" w:eastAsia="Times New Roman" w:hAnsi="Times New Roman"/>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90"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7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estimates and information concerning our industry and our business, including estimated market size and projected growth rates of the markets for our product candidates.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122"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6"/>
          <w:szCs w:val="16"/>
          <w:color w:val="auto"/>
        </w:rPr>
        <w:t>This information involves a number of assumptions and limitations. Although we are responsible for all of the disclosure contained in this prospectus and we believe the third-party market position, market opportunity and market size data included in this prospectus are reliable, we have not independently verified the accuracy or completeness of this third-party data. In addition, projections, assumptions and estimates of our future performance and the future performance of the industry in which we operate are necessarily subject to a high degree of uncertainty and risk due to a variety of factors, including those described in “Risk Factors.” These and other factors could cause results to differ materially from those expressed in these publications and reports.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40"/>
          </w:cols>
          <w:pgMar w:left="320" w:top="455" w:right="5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7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estimate that the net proceeds to us from the sale of 9,300,000 ADSs in this offering will be approximately US$146.4 million (or approximately US$168.8 million if the underwriters exercise their option to purchase 1,395,000 additional ADSs in full), based on the assumed initial public offering price of US$17.26 per ADS, the U.S. dollar equivalent of the last reported sale price of our ordinary shares on the ASX on October 8, 2020, after giving effect to the Australian dollar/U.S. dollar exchange rate of A$1.3996 to US$1.00 as of October 8, 2020, and an ADS-to-ordinary share ratio of 1-to-8, after deducting underwriting discounts and commissions and estimated offering expenses payable by us.</w:t>
      </w:r>
    </w:p>
    <w:p>
      <w:pPr>
        <w:spacing w:after="0" w:line="1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Each US$1.00 increase (decrease) in the assumed initial offering price of US$17.26 per ADS, the U.S. dollar equivalent of the last reported sale price of our ordinary shares on the ASX on October 8, 2020, after giving effect to the Australian dollar/U.S. dollar exchange rate of A$1.3996 to US$1.00 as of October 8, 2020, and an ADS-to-ordinary share ratio of 1-to-8, would increase (decrease) the net proceeds to us from this offering by approximately US$8.6 million, assuming the number of ADSs offered by us, as set forth on the cover page of this prospectus, remains the same and after deducting underwriting discounts and commissions and estimated offering expenses payable by us. Similarly, an increase (decrease) of 1,000,000 ADSs offered by us would increase (decrease) the net proceeds to us by US$16.1 million, assuming the assumed initial public offering price of US$17.26 per ADS, the U.S. dollar equivalent of the last reported sale price of our ordinary shares on the ASX on October 8, 2020, after giving effect to the ADS-to-ordinary share ratio of 1-to-8, remains the same and after deducting underwriting discounts and commissions.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to use the net proceeds from this offering, together with our existing cash and cash equivalents, as follows:</w:t>
      </w:r>
    </w:p>
    <w:p>
      <w:pPr>
        <w:spacing w:after="0" w:line="77" w:lineRule="exact"/>
        <w:rPr>
          <w:sz w:val="20"/>
          <w:szCs w:val="20"/>
          <w:color w:val="auto"/>
        </w:rPr>
      </w:pPr>
    </w:p>
    <w:p>
      <w:pPr>
        <w:ind w:left="760" w:right="220" w:hanging="212"/>
        <w:spacing w:after="0" w:line="275"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US$130 million to US$135 million to advance the clinical development of OPT-302 for the treatment of wet AMD, including the initiation of and reporting of topline data from two pivotal Phase 3 clinical trials;</w:t>
      </w:r>
    </w:p>
    <w:p>
      <w:pPr>
        <w:spacing w:after="0" w:line="25" w:lineRule="exact"/>
        <w:rPr>
          <w:rFonts w:ascii="Times New Roman" w:cs="Times New Roman" w:eastAsia="Times New Roman" w:hAnsi="Times New Roman"/>
          <w:sz w:val="18"/>
          <w:szCs w:val="18"/>
          <w:color w:val="auto"/>
        </w:rPr>
      </w:pPr>
    </w:p>
    <w:p>
      <w:pPr>
        <w:ind w:left="760" w:right="280" w:hanging="212"/>
        <w:spacing w:after="0" w:line="275"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US$5 million to US$7 million to advance the development of, and non-clinical studies for, a co-formulation of OPT-302 with an approved and/or biosimilar anti-VEGF-A therapy; and</w:t>
      </w:r>
    </w:p>
    <w:p>
      <w:pPr>
        <w:spacing w:after="0" w:line="25" w:lineRule="exact"/>
        <w:rPr>
          <w:rFonts w:ascii="Times New Roman" w:cs="Times New Roman" w:eastAsia="Times New Roman" w:hAnsi="Times New Roman"/>
          <w:sz w:val="18"/>
          <w:szCs w:val="18"/>
          <w:color w:val="auto"/>
        </w:rPr>
      </w:pPr>
    </w:p>
    <w:p>
      <w:pPr>
        <w:ind w:left="760" w:right="400" w:hanging="212"/>
        <w:spacing w:after="0" w:line="275"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proceeds for other research and development activities for OPT-302 in potential additional indications, including DME, and for working capital and general corporate purposes.</w:t>
      </w:r>
    </w:p>
    <w:p>
      <w:pPr>
        <w:spacing w:after="0" w:line="10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However, due to the uncertainties inherent in the product development process, it is difficult to estimate with certainty the exact amounts of the net proceeds from this offering that may be used for the above purposes. Our management will have broad discretion over the use of the net proceeds from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and the amount of cash obtained through future collaborations, if any.</w:t>
      </w:r>
    </w:p>
    <w:p>
      <w:pPr>
        <w:spacing w:after="0" w:line="1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We believe opportunities may exist from time to time to expand our current business through acquisitions or in-licensing of complementary companies, medicines or technologies. While we have no current agreements, commitments or understandings for any specific acquisitions or in-licensing at this time, we may use a portion of the net proceeds for these purposes.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June 30, 2020, we had cash and cash equivalents of A$62 million (or US$42.6 million). We believe our cash and cash equivalents, together with the net proceeds of this offering, will be sufficient to fund our operations through the third calendar quarter of 2023. In particular, we estimate that such funds, together with such existing cash and cash equivalents, will be sufficient to enable us to (i) advance the clinical development of OPT-302 for the treatment of wet AMD through the reporting of topline data from two pivotal Phase 3 clinical trials in 2023 and (ii) advance the development of a co-formulation of OPT-302 with an approved and/or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biosimilar anti-VEGF-A therapy through the completion of manufacturing activities and IND-enabling safety toxicology studies to support an IND filing in the second half of 2021. In the event the net proceeds are insufficient for each of the uses set forth above, we intend to prioritize the allocation of the use of proceeds to the clinical development of OPT-302 for the treatment of wet AMD. We have based these estimates on assumptions that may prove to be wrong, and we could use our available capital resources sooner than we currently expect. Following this offering, we will require additional funding to complete clinical development and commercialize OPT-302 in any indication, including wet AMD.</w:t>
      </w:r>
    </w:p>
    <w:p>
      <w:pPr>
        <w:spacing w:after="0" w:line="125"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We have not declared or paid any dividends on our ordinary shares since February 2005. We intend to retain any earnings for use in our business and do not currently intend to pay cash dividends on our ordinary shares. Dividends, if any, on our outstanding ordinary shares will be declared by and subject to the discretion of our board of directors, and subject to Australian law.</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dividend we declare will be paid to the holders of ADSs, subject to the terms of the deposit agreement, to the same extent as holders of our ordinary shares, to the extent permitted by applicable law and regulations, less the fees and expenses payable under the deposit agreement. Any dividend we declare will be distributed by the depositary bank to the holders of the ADSs, subject to the terms of the deposit agreement. See “Description of American Depositary Shares—Dividends and Distributions.”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our capitalization as of June 30, 2020, on:</w:t>
      </w:r>
    </w:p>
    <w:p>
      <w:pPr>
        <w:spacing w:after="0" w:line="77" w:lineRule="exact"/>
        <w:rPr>
          <w:sz w:val="20"/>
          <w:szCs w:val="20"/>
          <w:color w:val="auto"/>
        </w:rPr>
      </w:pPr>
    </w:p>
    <w:p>
      <w:pPr>
        <w:ind w:left="760" w:hanging="21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 adjusted basis to give effect to the issuance and sale of 9,300,000 ADSs in this offering at the assumed initial public offering price of</w:t>
      </w:r>
    </w:p>
    <w:p>
      <w:pPr>
        <w:spacing w:after="0" w:line="21" w:lineRule="exact"/>
        <w:rPr>
          <w:rFonts w:ascii="Times New Roman" w:cs="Times New Roman" w:eastAsia="Times New Roman" w:hAnsi="Times New Roman"/>
          <w:sz w:val="18"/>
          <w:szCs w:val="18"/>
          <w:color w:val="auto"/>
        </w:rPr>
      </w:pPr>
    </w:p>
    <w:p>
      <w:pPr>
        <w:ind w:left="76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US$17.26 per ADS, the U.S. dollar equivalent of the last reported sale price of our ordinary shares on the ASX on October 8, 2020, after giving effect to the Australian dollar/U.S. dollar exchange rate of A$1.3996 to US$1.00 as of October 8, 2020, and an ADS-to-ordinary share ratio of 1-to-8, after deducting underwriting discounts and commissions and estimated offering expenses payable by us.</w:t>
      </w:r>
    </w:p>
    <w:p>
      <w:pPr>
        <w:spacing w:after="0" w:line="124"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You should read this information in conjunction with our consolidated financial statements and the related notes included elsewhere in this prospectus, the information set forth in “Management’s Discussion and Analysis of Financial Condition and Results of Operations” and other financial information contained elsewhere in this prospectus.</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4"/>
          </w:tcPr>
          <w:p>
            <w:pPr>
              <w:jc w:val="right"/>
              <w:ind w:right="1520"/>
              <w:spacing w:after="0"/>
              <w:rPr>
                <w:sz w:val="20"/>
                <w:szCs w:val="20"/>
                <w:color w:val="auto"/>
              </w:rPr>
            </w:pPr>
            <w:r>
              <w:rPr>
                <w:rFonts w:ascii="Times New Roman" w:cs="Times New Roman" w:eastAsia="Times New Roman" w:hAnsi="Times New Roman"/>
                <w:sz w:val="13"/>
                <w:szCs w:val="13"/>
                <w:b w:val="1"/>
                <w:bCs w:val="1"/>
                <w:color w:val="auto"/>
              </w:rPr>
              <w:t>As of June 30, 2020</w:t>
            </w:r>
          </w:p>
        </w:tc>
        <w:tc>
          <w:tcPr>
            <w:tcW w:w="9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0"/>
                <w:szCs w:val="10"/>
                <w:b w:val="1"/>
                <w:bCs w:val="1"/>
                <w:color w:val="auto"/>
              </w:rPr>
              <w:t>Actual</w:t>
            </w:r>
            <w:r>
              <w:rPr>
                <w:rFonts w:ascii="Times New Roman" w:cs="Times New Roman" w:eastAsia="Times New Roman" w:hAnsi="Times New Roman"/>
                <w:sz w:val="16"/>
                <w:szCs w:val="16"/>
                <w:b w:val="1"/>
                <w:bCs w:val="1"/>
                <w:color w:val="auto"/>
                <w:vertAlign w:val="superscript"/>
              </w:rPr>
              <w:t>(1)</w:t>
            </w: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3"/>
          </w:tcPr>
          <w:p>
            <w:pPr>
              <w:jc w:val="right"/>
              <w:ind w:right="712"/>
              <w:spacing w:after="0" w:line="142" w:lineRule="exact"/>
              <w:rPr>
                <w:sz w:val="20"/>
                <w:szCs w:val="20"/>
                <w:color w:val="auto"/>
              </w:rPr>
            </w:pPr>
            <w:r>
              <w:rPr>
                <w:rFonts w:ascii="Times New Roman" w:cs="Times New Roman" w:eastAsia="Times New Roman" w:hAnsi="Times New Roman"/>
                <w:sz w:val="10"/>
                <w:szCs w:val="10"/>
                <w:b w:val="1"/>
                <w:bCs w:val="1"/>
                <w:color w:val="auto"/>
              </w:rPr>
              <w:t>As Adjusted</w:t>
            </w:r>
            <w:r>
              <w:rPr>
                <w:rFonts w:ascii="Times New Roman" w:cs="Times New Roman" w:eastAsia="Times New Roman" w:hAnsi="Times New Roman"/>
                <w:sz w:val="16"/>
                <w:szCs w:val="16"/>
                <w:b w:val="1"/>
                <w:bCs w:val="1"/>
                <w:color w:val="auto"/>
                <w:vertAlign w:val="superscript"/>
              </w:rPr>
              <w:t>(1)(2)</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20" w:type="dxa"/>
            <w:vAlign w:val="bottom"/>
            <w:gridSpan w:val="4"/>
          </w:tcPr>
          <w:p>
            <w:pPr>
              <w:jc w:val="right"/>
              <w:ind w:right="114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r>
              <w:rPr>
                <w:rFonts w:ascii="Times New Roman" w:cs="Times New Roman" w:eastAsia="Times New Roman" w:hAnsi="Times New Roman"/>
                <w:sz w:val="18"/>
                <w:szCs w:val="18"/>
                <w:color w:val="auto"/>
                <w:w w:val="9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w:t>
            </w: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42,565</w:t>
            </w:r>
          </w:p>
        </w:tc>
        <w:tc>
          <w:tcPr>
            <w:tcW w:w="8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u w:val="single" w:color="auto"/>
                <w:color w:val="auto"/>
                <w:w w:val="96"/>
              </w:rPr>
              <w:t>A</w:t>
            </w:r>
            <w:r>
              <w:rPr>
                <w:rFonts w:ascii="Times New Roman" w:cs="Times New Roman" w:eastAsia="Times New Roman" w:hAnsi="Times New Roman"/>
                <w:sz w:val="18"/>
                <w:szCs w:val="18"/>
                <w:color w:val="auto"/>
                <w:w w:val="96"/>
              </w:rPr>
              <w:t>$ 266,896</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w w:val="92"/>
              </w:rPr>
              <w:t>US$</w:t>
            </w:r>
            <w:r>
              <w:rPr>
                <w:rFonts w:ascii="Times New Roman" w:cs="Times New Roman" w:eastAsia="Times New Roman" w:hAnsi="Times New Roman"/>
                <w:sz w:val="18"/>
                <w:szCs w:val="18"/>
                <w:color w:val="auto"/>
                <w:w w:val="92"/>
              </w:rPr>
              <w:t xml:space="preserve"> 188,946</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Contributed equity: 269,157,769 ordinary shares, no par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value, outstanding, actual; 343,557,769 ordinary shares,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 par value, outstanding, as adjusted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0"/>
              </w:rPr>
              <w:t>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162,102</w:t>
            </w:r>
          </w:p>
        </w:tc>
        <w:tc>
          <w:tcPr>
            <w:tcW w:w="7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w w:val="92"/>
              </w:rPr>
              <w:t>111,251</w:t>
            </w: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w w:val="96"/>
              </w:rPr>
              <w:t>A$ 366,978</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2"/>
              </w:rPr>
              <w:t>US$ 257,633</w:t>
            </w:r>
          </w:p>
        </w:tc>
        <w:tc>
          <w:tcPr>
            <w:tcW w:w="0" w:type="dxa"/>
            <w:vAlign w:val="bottom"/>
          </w:tcPr>
          <w:p>
            <w:pPr>
              <w:spacing w:after="0"/>
              <w:rPr>
                <w:sz w:val="1"/>
                <w:szCs w:val="1"/>
                <w:color w:val="auto"/>
              </w:rPr>
            </w:pPr>
          </w:p>
        </w:tc>
      </w:tr>
      <w:tr>
        <w:trPr>
          <w:trHeight w:val="217"/>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w w:val="96"/>
              </w:rPr>
              <w:t>(102,589)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97"/>
              </w:rPr>
              <w:t>(70,407)</w:t>
            </w:r>
          </w:p>
        </w:tc>
        <w:tc>
          <w:tcPr>
            <w:tcW w:w="17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(102,589)</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(70,407)</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8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8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8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269,684</w:t>
            </w:r>
          </w:p>
        </w:tc>
        <w:tc>
          <w:tcPr>
            <w:tcW w:w="8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190,860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capitalization</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r>
              <w:rPr>
                <w:rFonts w:ascii="Times New Roman" w:cs="Times New Roman" w:eastAsia="Times New Roman" w:hAnsi="Times New Roman"/>
                <w:sz w:val="18"/>
                <w:szCs w:val="18"/>
                <w:color w:val="auto"/>
                <w:w w:val="9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7"/>
              </w:rPr>
              <w:t>US</w:t>
            </w:r>
            <w:r>
              <w:rPr>
                <w:rFonts w:ascii="Times New Roman" w:cs="Times New Roman" w:eastAsia="Times New Roman" w:hAnsi="Times New Roman"/>
                <w:sz w:val="18"/>
                <w:szCs w:val="18"/>
                <w:color w:val="auto"/>
                <w:w w:val="87"/>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8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A</w:t>
            </w:r>
            <w:r>
              <w:rPr>
                <w:rFonts w:ascii="Times New Roman" w:cs="Times New Roman" w:eastAsia="Times New Roman" w:hAnsi="Times New Roman"/>
                <w:sz w:val="18"/>
                <w:szCs w:val="18"/>
                <w:color w:val="auto"/>
                <w:w w:val="96"/>
              </w:rPr>
              <w:t>$ 269,684</w:t>
            </w:r>
          </w:p>
        </w:tc>
        <w:tc>
          <w:tcPr>
            <w:tcW w:w="8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US$</w:t>
            </w:r>
            <w:r>
              <w:rPr>
                <w:rFonts w:ascii="Times New Roman" w:cs="Times New Roman" w:eastAsia="Times New Roman" w:hAnsi="Times New Roman"/>
                <w:sz w:val="18"/>
                <w:szCs w:val="18"/>
                <w:color w:val="auto"/>
                <w:w w:val="92"/>
              </w:rPr>
              <w:t xml:space="preserve"> 190,860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22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60" w:right="160" w:hanging="544"/>
        <w:spacing w:after="0" w:line="27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translated from Australian dollars to U.S. dollars at an assumed exchange rate of A$1.4571 per US1.00, which was the official exchange rate published by the Reserve Bank of Australia on June 30, 2020.</w:t>
      </w:r>
    </w:p>
    <w:p>
      <w:pPr>
        <w:spacing w:after="0" w:line="25" w:lineRule="exact"/>
        <w:rPr>
          <w:rFonts w:ascii="Times New Roman" w:cs="Times New Roman" w:eastAsia="Times New Roman" w:hAnsi="Times New Roman"/>
          <w:sz w:val="18"/>
          <w:szCs w:val="18"/>
          <w:color w:val="auto"/>
        </w:rPr>
      </w:pPr>
    </w:p>
    <w:p>
      <w:pPr>
        <w:ind w:left="660" w:hanging="544"/>
        <w:spacing w:after="0" w:line="25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US$1.00 increase (decrease) in the assumed initial public offering price of US$17.26 per ADS, the U.S. dollar equivalent of the last reported sale price of our ordinary shares on the ASX on October 8, 2020, after giving effect to the Australian dollar/U.S. dollar exchange rate of A$1.3996 to US$1.00 as of October 8, 2020, and an ADS-to-ordinary share ratio of 1-to-8, would increase (decrease) each of cash and cash equivalents, contributed equity, total equity and total capitalization by A$12.1 million (or US$8.6 million), assuming the number of ADSs offered by us, as set forth on the cover page of this prospectus, remains the same, and after deducting underwriting discounts and commissions and estimated offering expenses payable by us. Similarly, an increase (decrease) of 1,000,000 ADSs offered by us would increase (decrease) each of cash and cash equivalents, contributed equity, total equity and total capitalization by A$22.5 million (or US$16.1 million), assuming the assumed initial public offering price of US$17.26 per ADS, the U.S. dollar equivalent of the last reported sale price of our ordinary shares on the ASX on October 8, 2020, after giving effect to the ADS-to-ordinary share ratio of 1-to-8, remains the same, and after deducting underwriting discounts and commissions. The as adjusted information is illustrative only and will depend on the actual initial public offering price, number of ADSs offered and other terms of this offering determined at pricing.</w:t>
      </w:r>
    </w:p>
    <w:p>
      <w:pPr>
        <w:spacing w:after="0" w:line="1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outstanding ordinary share information in the table above is based on 269,157,769 ordinary shares outstanding as of June 30, 2020, and excludes:</w:t>
      </w:r>
    </w:p>
    <w:p>
      <w:pPr>
        <w:spacing w:after="0" w:line="100" w:lineRule="exact"/>
        <w:rPr>
          <w:sz w:val="20"/>
          <w:szCs w:val="20"/>
          <w:color w:val="auto"/>
        </w:rPr>
      </w:pPr>
    </w:p>
    <w:p>
      <w:pPr>
        <w:ind w:left="760" w:hanging="212"/>
        <w:spacing w:after="0" w:line="275"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18,044,000 ordinary shares issuable upon the exercise of outstanding options as of June 30, 2020 with a weighted-average exercise price of A$0.68 per ordinary share under our equity incentive plans;</w:t>
      </w:r>
    </w:p>
    <w:p>
      <w:pPr>
        <w:spacing w:after="0" w:line="25" w:lineRule="exact"/>
        <w:rPr>
          <w:rFonts w:ascii="Times New Roman" w:cs="Times New Roman" w:eastAsia="Times New Roman" w:hAnsi="Times New Roman"/>
          <w:sz w:val="18"/>
          <w:szCs w:val="18"/>
          <w:color w:val="auto"/>
        </w:rPr>
      </w:pPr>
    </w:p>
    <w:p>
      <w:pPr>
        <w:ind w:left="760" w:right="60" w:hanging="212"/>
        <w:spacing w:after="0" w:line="25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ordinary shares issuable upon the exercise of options that will be granted under our non-executive director share and option plan to certain of our non-employee directors upon approval of such options by our shareholders, of which (i) options to purchase 4,000,000 shares are subject to approval at our annual general meeting of shareholders for 2020 on October 12, 2020, at which time an exercise price per ordinary share will be determined for such options, and (ii) an option to purchase 3,000,000 shares will be subject to approval at a future meeting of shareholders following the completion of this offering (see “Management—Remuneration of Non-Employee Directors”); and</w:t>
      </w:r>
    </w:p>
    <w:p>
      <w:pPr>
        <w:spacing w:after="0" w:line="4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12,446,777 ordinary shares reserved for future issuance under our Long Term Incentive Plan.</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79"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If you invest in the ADSs in this offering, your ownership interest will be immediately diluted to the extent of the difference between the initial public offering price per ADS and the as adjusted net tangible book value per ordinary share or ADS immediately after this offering.</w:t>
      </w:r>
    </w:p>
    <w:p>
      <w:pPr>
        <w:spacing w:after="0" w:line="106"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As of June 30, 2020, our historical net tangible book value was A$64.8 million (or US$44.5 million), or A$1.93 (or US$1.32) per ADS. Historical net tangible book value per ADS represents our total tangible assets less total liabilities, divided by the number of ordinary shares outstanding as of June 30, 2020, converted to ADSs at an ADS-to-ordinary share ratio of 1-to-8.</w:t>
      </w:r>
    </w:p>
    <w:p>
      <w:pPr>
        <w:spacing w:after="0" w:line="119" w:lineRule="exact"/>
        <w:rPr>
          <w:sz w:val="20"/>
          <w:szCs w:val="20"/>
          <w:color w:val="auto"/>
        </w:rPr>
      </w:pPr>
    </w:p>
    <w:p>
      <w:pPr>
        <w:ind w:left="120" w:right="60" w:firstLine="440"/>
        <w:spacing w:after="0" w:line="290" w:lineRule="auto"/>
        <w:rPr>
          <w:sz w:val="20"/>
          <w:szCs w:val="20"/>
          <w:color w:val="auto"/>
        </w:rPr>
      </w:pPr>
      <w:r>
        <w:rPr>
          <w:rFonts w:ascii="Times New Roman" w:cs="Times New Roman" w:eastAsia="Times New Roman" w:hAnsi="Times New Roman"/>
          <w:sz w:val="16"/>
          <w:szCs w:val="16"/>
          <w:color w:val="auto"/>
        </w:rPr>
        <w:t>After giving effect to the receipt of the net proceeds from our sale of 9,300,000 ADSs in this offering at an assumed initial public offering price of US$17.26 per ADS, the U.S. dollar equivalent of the last reported sale price of our ordinary shares on the ASX on October 8, 2020, after giving effect to the Australian dollar/U.S. dollar exchange rate of A$1.3996 to US$1.00 as of October 8, 2020, and an ADS-to-ordinary share ratio of 1-to-8, after deducting underwriting discounts and commissions and estimated offering expenses payable by us, our as adjusted net tangible book value as of June 30, 2020 was A$269.7 million (or US$190.9 million), or A$6.28 (or US$4.44) per ADS, equivalent to A$0.78 (or US$0.56) per ordinary share, in each case based on an ADS-to-ordinary share ratio of 1-to-8. This represents an immediate increase in net tangible book value of A$4.35 (or US$3.12) per ADS, equivalent to A$0.54 or (US$0.39) per ordinary share, to our existing shareholders and immediate dilution of A$17.88 (or US$12.82) per ADS, equivalent to A$2.24 (US$1.60) per ordinary share, to investors purchasing ADSs in this offering, in each case based on an ADS-to-ordinary share ratio of 1-to-8.</w:t>
      </w:r>
    </w:p>
    <w:p>
      <w:pPr>
        <w:spacing w:after="0" w:line="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illustrates this dilution on a per ADS basis, assuming all ordinary shares outstanding as of June 30, 2020 converted to ADSs at an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ADS-to-ordinary share ratio of 1-to-8:</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ADS</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3"/>
              </w:rPr>
              <w:t>US$ 17.26</w:t>
            </w:r>
          </w:p>
        </w:tc>
      </w:tr>
      <w:tr>
        <w:trPr>
          <w:trHeight w:val="216"/>
        </w:trPr>
        <w:tc>
          <w:tcPr>
            <w:tcW w:w="8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Historical net tangible book value per ADS as of June 30, 2020</w:t>
            </w:r>
          </w:p>
        </w:tc>
        <w:tc>
          <w:tcPr>
            <w:tcW w:w="2960" w:type="dxa"/>
            <w:vAlign w:val="bottom"/>
            <w:gridSpan w:val="5"/>
          </w:tcPr>
          <w:p>
            <w:pPr>
              <w:jc w:val="right"/>
              <w:ind w:right="2320"/>
              <w:spacing w:after="0"/>
              <w:rPr>
                <w:sz w:val="20"/>
                <w:szCs w:val="20"/>
                <w:color w:val="auto"/>
              </w:rPr>
            </w:pPr>
            <w:r>
              <w:rPr>
                <w:rFonts w:ascii="Times New Roman" w:cs="Times New Roman" w:eastAsia="Times New Roman" w:hAnsi="Times New Roman"/>
                <w:sz w:val="18"/>
                <w:szCs w:val="18"/>
                <w:color w:val="auto"/>
                <w:w w:val="97"/>
              </w:rPr>
              <w:t>US$1.32</w:t>
            </w:r>
          </w:p>
        </w:tc>
      </w:tr>
      <w:tr>
        <w:trPr>
          <w:trHeight w:val="148"/>
        </w:trPr>
        <w:tc>
          <w:tcPr>
            <w:tcW w:w="80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223"/>
        </w:trPr>
        <w:tc>
          <w:tcPr>
            <w:tcW w:w="8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net tangible book value per ADS attributed to investors purchasing ADSs in this offering</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ADS after this offering</w:t>
            </w:r>
          </w:p>
        </w:tc>
        <w:tc>
          <w:tcPr>
            <w:tcW w:w="2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580" w:type="dxa"/>
            <w:vAlign w:val="bottom"/>
            <w:shd w:val="clear" w:color="auto" w:fill="CCEEFF"/>
          </w:tcPr>
          <w:p>
            <w:pPr>
              <w:spacing w:after="0"/>
              <w:rPr>
                <w:sz w:val="18"/>
                <w:szCs w:val="18"/>
                <w:color w:val="auto"/>
              </w:rPr>
            </w:pPr>
          </w:p>
        </w:tc>
      </w:tr>
      <w:tr>
        <w:trPr>
          <w:trHeight w:val="22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Dilution in net tangible book value per ADS to investors in this offering</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US$</w:t>
            </w:r>
            <w:r>
              <w:rPr>
                <w:rFonts w:ascii="Times New Roman" w:cs="Times New Roman" w:eastAsia="Times New Roman" w:hAnsi="Times New Roman"/>
                <w:sz w:val="18"/>
                <w:szCs w:val="18"/>
                <w:color w:val="auto"/>
                <w:w w:val="93"/>
              </w:rPr>
              <w:t xml:space="preserve"> 12.82</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4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Each US$1.00 increase (decrease) in the assumed initial public offering price of US$17.26 per ADS, the U.S. dollar equivalent of the last reported sale price of our ordinary shares on the ASX on October 8, 2020, after giving effect to the Australian dollar/U.S. dollar exchange rate of A$1.3996 to US$1.00 as of October 8, 2020, and an ADS-to-ordinary share ratio of 1-to-8, would increase (decrease) the as adjusted net tangible book value per ADS after this offering by US$0.20 per ADS and dilution to investors in this offering by US$0.80 per ADS, assuming that the number of ADSs offered by us, as set forth on the cover page of this prospectus, remains the same and after deducting underwriting discounts and commissions. An increase of 1,000,000 ADSs offered by us would increase the as adjusted net tangible book value by US$0.26 per ADS and the dilution to investors in this offering would decrease by US$0.26 per ADS, assuming the assumed initial public offering price remains the same and after deducting underwriting discounts and commissions. A decrease of 1,000,000 ADSs offered by us would decrease the as adjusted net tangible book value by US$0.28 per ADS and the dilution to investors in this offering would increase by US$0.28 per ADS, assuming the assumed initial public offering price remains the same and after deducting underwriting discounts and commissions.</w:t>
      </w:r>
    </w:p>
    <w:p>
      <w:pPr>
        <w:spacing w:after="0" w:line="127"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If the underwriters exercise their option to purchase 1,395,000 additional ADSs in full, the as adjusted net tangible book value after the offering would be US$4.81 per ADS, the increase in net tangible book value per ADS to existing shareholders would be US$3.49 per ADS and the dilution per ADS to new investors in</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8"/>
          <w:szCs w:val="18"/>
          <w:color w:val="auto"/>
        </w:rPr>
        <w:t>this offering would be US$12.45 per ADS, in each case assuming an initial public offering price of US$17.26 per ADS, the U.S. dollar equivalent of the last reported sale price of our ordinary shares on the ASX on October 8, 2020, after giving effect to the ADS-to-ordinary share ratio of 1-to-8.</w:t>
      </w:r>
    </w:p>
    <w:p>
      <w:pPr>
        <w:spacing w:after="0" w:line="106"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The dilution information above is for illustration purposes only. Our as adjusted net tangible book value following the closing of this offering will depend on the actual initial public offering price and other terms of this offering determined at pricing.</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as of June 30, 2020:</w:t>
      </w:r>
    </w:p>
    <w:p>
      <w:pPr>
        <w:spacing w:after="0" w:line="77" w:lineRule="exact"/>
        <w:rPr>
          <w:sz w:val="20"/>
          <w:szCs w:val="20"/>
          <w:color w:val="auto"/>
        </w:rPr>
      </w:pPr>
    </w:p>
    <w:p>
      <w:pPr>
        <w:ind w:left="760" w:right="340" w:hanging="212"/>
        <w:spacing w:after="0" w:line="275"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ordinary shares purchased from us by existing shareholders and the equivalent number of ordinary shares underlying ADSs purchased by investors in this offering;</w:t>
      </w:r>
    </w:p>
    <w:p>
      <w:pPr>
        <w:spacing w:after="0" w:line="25" w:lineRule="exact"/>
        <w:rPr>
          <w:rFonts w:ascii="Times New Roman" w:cs="Times New Roman" w:eastAsia="Times New Roman" w:hAnsi="Times New Roman"/>
          <w:sz w:val="18"/>
          <w:szCs w:val="18"/>
          <w:color w:val="auto"/>
        </w:rPr>
      </w:pPr>
    </w:p>
    <w:p>
      <w:pPr>
        <w:ind w:left="760" w:right="360" w:hanging="212"/>
        <w:spacing w:after="0" w:line="258"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paid to us by our existing shareholders and by investors purchasing ADSs in this offering, assuming an initial public offering price of US$17.26 per ADS, the U.S. dollar equivalent of the last reported sale price of our ordinary shares on the ASX on October 8, 2020, after giving effect to the ADS-to-ordinary share ratio of 1-to-8, before deducting underwriting discounts and commissions and estimated offering expenses payable by us in connection with this offering; and</w:t>
      </w:r>
    </w:p>
    <w:p>
      <w:pPr>
        <w:spacing w:after="0" w:line="41"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per ordinary share paid by existing shareholders and the average price per ADS or equivalent number of ordinary shares.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2320" w:type="dxa"/>
            <w:vAlign w:val="bottom"/>
            <w:gridSpan w:val="4"/>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320" w:type="dxa"/>
            <w:vAlign w:val="bottom"/>
            <w:gridSpan w:val="4"/>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(Directly or in the Form</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740" w:type="dxa"/>
            <w:vAlign w:val="bottom"/>
          </w:tcPr>
          <w:p>
            <w:pPr>
              <w:spacing w:after="0"/>
              <w:rPr>
                <w:sz w:val="14"/>
                <w:szCs w:val="14"/>
                <w:color w:val="auto"/>
              </w:rPr>
            </w:pPr>
          </w:p>
        </w:tc>
        <w:tc>
          <w:tcPr>
            <w:tcW w:w="1340" w:type="dxa"/>
            <w:vAlign w:val="bottom"/>
            <w:gridSpan w:val="2"/>
          </w:tcPr>
          <w:p>
            <w:pPr>
              <w:jc w:val="center"/>
              <w:ind w:left="384"/>
              <w:spacing w:after="0"/>
              <w:rPr>
                <w:sz w:val="20"/>
                <w:szCs w:val="20"/>
                <w:color w:val="auto"/>
              </w:rPr>
            </w:pPr>
            <w:r>
              <w:rPr>
                <w:rFonts w:ascii="Times New Roman" w:cs="Times New Roman" w:eastAsia="Times New Roman" w:hAnsi="Times New Roman"/>
                <w:sz w:val="13"/>
                <w:szCs w:val="13"/>
                <w:b w:val="1"/>
                <w:bCs w:val="1"/>
                <w:color w:val="auto"/>
              </w:rPr>
              <w:t>of ADSs)</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gridSpan w:val="4"/>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 Consideration</w:t>
            </w:r>
          </w:p>
        </w:tc>
        <w:tc>
          <w:tcPr>
            <w:tcW w:w="1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25"/>
        </w:trPr>
        <w:tc>
          <w:tcPr>
            <w:tcW w:w="474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tcBorders>
              <w:top w:val="single" w:sz="8" w:color="auto"/>
            </w:tcBorders>
            <w:gridSpan w:val="2"/>
          </w:tcPr>
          <w:p>
            <w:pPr>
              <w:ind w:left="140"/>
              <w:spacing w:after="0" w:line="126" w:lineRule="exact"/>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3"/>
                <w:szCs w:val="13"/>
                <w:b w:val="1"/>
                <w:bCs w:val="1"/>
                <w:color w:val="auto"/>
              </w:rPr>
              <w:t>Price</w:t>
            </w:r>
          </w:p>
        </w:tc>
        <w:tc>
          <w:tcPr>
            <w:tcW w:w="80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0" w:type="dxa"/>
            <w:vAlign w:val="bottom"/>
          </w:tcPr>
          <w:p>
            <w:pPr>
              <w:spacing w:after="0"/>
              <w:rPr>
                <w:sz w:val="1"/>
                <w:szCs w:val="1"/>
                <w:color w:val="auto"/>
              </w:rPr>
            </w:pPr>
          </w:p>
        </w:tc>
      </w:tr>
      <w:tr>
        <w:trPr>
          <w:trHeight w:val="165"/>
        </w:trPr>
        <w:tc>
          <w:tcPr>
            <w:tcW w:w="4740" w:type="dxa"/>
            <w:vAlign w:val="bottom"/>
          </w:tcPr>
          <w:p>
            <w:pPr>
              <w:spacing w:after="0"/>
              <w:rPr>
                <w:sz w:val="14"/>
                <w:szCs w:val="14"/>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0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8"/>
              </w:rPr>
              <w:t>Percent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8"/>
              </w:rPr>
              <w:t>Percent</w:t>
            </w:r>
          </w:p>
        </w:tc>
        <w:tc>
          <w:tcPr>
            <w:tcW w:w="1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ADS</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269,157,769</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US$ 131.8</w:t>
            </w:r>
          </w:p>
        </w:tc>
        <w:tc>
          <w:tcPr>
            <w:tcW w:w="40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US$0.49</w:t>
            </w:r>
          </w:p>
        </w:tc>
        <w:tc>
          <w:tcPr>
            <w:tcW w:w="4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Purchasers of ADSs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74,400,000</w:t>
            </w:r>
          </w:p>
        </w:tc>
        <w:tc>
          <w:tcPr>
            <w:tcW w:w="4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160.5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US$2.16</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17.26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343,557,769</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w w:val="93"/>
              </w:rPr>
              <w:t>US$</w:t>
            </w:r>
            <w:r>
              <w:rPr>
                <w:rFonts w:ascii="Times New Roman" w:cs="Times New Roman" w:eastAsia="Times New Roman" w:hAnsi="Times New Roman"/>
                <w:sz w:val="18"/>
                <w:szCs w:val="18"/>
                <w:color w:val="auto"/>
                <w:w w:val="93"/>
              </w:rPr>
              <w:t xml:space="preserve"> 292.3</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If the underwriters exercise their option to purchase 1,395,000 additional ADSs in full, our existing shareholders would own 76% and investors in this offering would own 24% of the total number of ordinary shares outstanding (including shares underlying ADSs) upon the closing of this offering.</w:t>
      </w:r>
    </w:p>
    <w:p>
      <w:pPr>
        <w:spacing w:after="0" w:line="10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US$1.00 increase (decrease) in the assumed initial public offering price of US$17.26 per ADS, the U.S. dollar equivalent of the last reported sale price of our ordinary shares on the ASX on October 8, 2020, after giving effect to the ADS-to-ordinary share ratio of 1-to-8, would increase (decrease) the total consideration paid by investors in this offering by US$9,300,000 million and increase (decrease) the total consideration paid by investors in this offering by 5.8%, assuming that the number of ADSs offered by us, as set forth on the cover page of this prospectus, remains the same and before deducting underwriting discounts and commissions.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outstanding ordinary share information in the tables above is based on 269,157,769 ordinary shares as of June 30, 2020, and excludes:</w:t>
      </w:r>
    </w:p>
    <w:p>
      <w:pPr>
        <w:spacing w:after="0" w:line="77" w:lineRule="exact"/>
        <w:rPr>
          <w:sz w:val="20"/>
          <w:szCs w:val="20"/>
          <w:color w:val="auto"/>
        </w:rPr>
      </w:pPr>
    </w:p>
    <w:p>
      <w:pPr>
        <w:ind w:left="760" w:right="540" w:hanging="212"/>
        <w:spacing w:after="0" w:line="275"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18,044,000 ordinary shares issuable upon the exercise of outstanding options as of June 30, 2020, with a weighted-average exercise price of A$0.68 per ordinary share under our equity incentive plans;</w:t>
      </w:r>
    </w:p>
    <w:p>
      <w:pPr>
        <w:spacing w:after="0" w:line="25" w:lineRule="exact"/>
        <w:rPr>
          <w:rFonts w:ascii="Times New Roman" w:cs="Times New Roman" w:eastAsia="Times New Roman" w:hAnsi="Times New Roman"/>
          <w:sz w:val="18"/>
          <w:szCs w:val="18"/>
          <w:color w:val="auto"/>
        </w:rPr>
      </w:pPr>
    </w:p>
    <w:p>
      <w:pPr>
        <w:ind w:left="760" w:right="80" w:hanging="212"/>
        <w:spacing w:after="0" w:line="25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ordinary shares issuable upon the exercise of options that will be granted under our non-executive director share and option plan to certain of our non-employee directors upon approval of such options by our shareholders, of which (i) options to purchase 4,000,000 shares are subject to approval at our annual general meeting of shareholders for 2020 on October 12, 2020, at which time an exercise price per ordinary share will be determined for such options, and (ii) an option to purchase 3,000,000 shares will be subject to approval at a future meeting of shareholders following the completion of this offering (see “Management—Remuneration of Non-Employee Directors”); and</w:t>
      </w:r>
    </w:p>
    <w:p>
      <w:pPr>
        <w:spacing w:after="0" w:line="4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12,446,777 ordinary shares reserved for future issuance under our Long Term Incentive Plan.</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To the extent any outstanding options are exercised, there will be further dilution to investors purchasing in this offering.</w:t>
      </w:r>
    </w:p>
    <w:p>
      <w:pPr>
        <w:spacing w:after="0" w:line="1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139"/>
          </w:cols>
          <w:pgMar w:left="320" w:top="455" w:right="1440"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7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consolidated financial and other data. The summary consolidated statement of profit or loss and other comprehensive income data for the years ended June 30, 2019 and 2020 have been derived from our audited consolidated financial statements included elsewhere in this prospectus. Our audited consolidated financial statements have been prepared in accordance with IFRS, as issued by the IASB, as of and for the years ended June 30, 2019 and 2020.</w:t>
      </w:r>
    </w:p>
    <w:p>
      <w:pPr>
        <w:spacing w:after="0" w:line="12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You should read the consolidated financial and other data set forth below in conjunction with our consolidated financial statements and the accompanying notes and the information in “Management’s Discussion and Analysis of Financial Condition and Results of Operations” contained elsewhere in this prospectus.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 of Profit or Loss and Other Comprehensive Income Data</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6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0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gridSpan w:val="4"/>
          </w:tcPr>
          <w:p>
            <w:pPr>
              <w:jc w:val="right"/>
              <w:ind w:right="293"/>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gridSpan w:val="2"/>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1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11"/>
                <w:szCs w:val="11"/>
                <w:color w:val="auto"/>
              </w:rPr>
              <w:t>(1)</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918"/>
              <w:spacing w:after="0"/>
              <w:rPr>
                <w:sz w:val="20"/>
                <w:szCs w:val="20"/>
                <w:color w:val="auto"/>
              </w:rPr>
            </w:pPr>
            <w:r>
              <w:rPr>
                <w:rFonts w:ascii="Times New Roman" w:cs="Times New Roman" w:eastAsia="Times New Roman" w:hAnsi="Times New Roman"/>
                <w:sz w:val="18"/>
                <w:szCs w:val="18"/>
                <w:color w:val="auto"/>
              </w:rPr>
              <w:t>837</w:t>
            </w:r>
          </w:p>
        </w:tc>
        <w:tc>
          <w:tcPr>
            <w:tcW w:w="280" w:type="dxa"/>
            <w:vAlign w:val="bottom"/>
          </w:tcPr>
          <w:p>
            <w:pPr>
              <w:spacing w:after="0"/>
              <w:rPr>
                <w:sz w:val="18"/>
                <w:szCs w:val="18"/>
                <w:color w:val="auto"/>
              </w:rPr>
            </w:pPr>
          </w:p>
        </w:tc>
        <w:tc>
          <w:tcPr>
            <w:tcW w:w="11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(31,348)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(17,954)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58"/>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8"/>
                <w:szCs w:val="18"/>
                <w:color w:val="auto"/>
              </w:rPr>
            </w:pPr>
          </w:p>
        </w:tc>
        <w:tc>
          <w:tcPr>
            <w:tcW w:w="11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58"/>
              <w:spacing w:after="0"/>
              <w:rPr>
                <w:sz w:val="20"/>
                <w:szCs w:val="20"/>
                <w:color w:val="auto"/>
              </w:rPr>
            </w:pPr>
            <w:r>
              <w:rPr>
                <w:rFonts w:ascii="Times New Roman" w:cs="Times New Roman" w:eastAsia="Times New Roman" w:hAnsi="Times New Roman"/>
                <w:sz w:val="18"/>
                <w:szCs w:val="18"/>
                <w:color w:val="auto"/>
              </w:rPr>
              <w:t>(5,175)</w:t>
            </w:r>
          </w:p>
        </w:tc>
        <w:tc>
          <w:tcPr>
            <w:tcW w:w="280" w:type="dxa"/>
            <w:vAlign w:val="bottom"/>
          </w:tcPr>
          <w:p>
            <w:pPr>
              <w:spacing w:after="0"/>
              <w:rPr>
                <w:sz w:val="18"/>
                <w:szCs w:val="18"/>
                <w:color w:val="auto"/>
              </w:rPr>
            </w:pPr>
          </w:p>
        </w:tc>
        <w:tc>
          <w:tcPr>
            <w:tcW w:w="11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(7,001)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(35,547)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(25,062)</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10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(20,910)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(16,529)</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will not be reclassified subsequently to profit or loss: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Fair value gains on investments in financial assets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for the year</w:t>
            </w:r>
          </w:p>
        </w:tc>
        <w:tc>
          <w:tcPr>
            <w:tcW w:w="9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100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year is attributable to:</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Owners of the Company</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58"/>
              <w:spacing w:after="0"/>
              <w:rPr>
                <w:sz w:val="20"/>
                <w:szCs w:val="20"/>
                <w:color w:val="auto"/>
              </w:rPr>
            </w:pPr>
            <w:r>
              <w:rPr>
                <w:rFonts w:ascii="Times New Roman" w:cs="Times New Roman" w:eastAsia="Times New Roman" w:hAnsi="Times New Roman"/>
                <w:sz w:val="18"/>
                <w:szCs w:val="18"/>
                <w:color w:val="auto"/>
              </w:rPr>
              <w:t>(20,650)</w:t>
            </w:r>
          </w:p>
        </w:tc>
        <w:tc>
          <w:tcPr>
            <w:tcW w:w="280" w:type="dxa"/>
            <w:vAlign w:val="bottom"/>
          </w:tcPr>
          <w:p>
            <w:pPr>
              <w:spacing w:after="0"/>
              <w:rPr>
                <w:sz w:val="18"/>
                <w:szCs w:val="18"/>
                <w:color w:val="auto"/>
              </w:rPr>
            </w:pPr>
          </w:p>
        </w:tc>
        <w:tc>
          <w:tcPr>
            <w:tcW w:w="11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(16,470)</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(20,650)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(16,470)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attributable to Owners of the Company—basic and diluted (in cents)</w:t>
            </w:r>
          </w:p>
        </w:tc>
        <w:tc>
          <w:tcPr>
            <w:tcW w:w="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sz w:val="20"/>
          <w:szCs w:val="20"/>
          <w:color w:val="auto"/>
        </w:rPr>
      </w:pPr>
    </w:p>
    <w:p>
      <w:pPr>
        <w:ind w:left="660" w:right="220" w:hanging="544"/>
        <w:spacing w:after="0" w:line="26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primarily comprises finance income from interest on bank deposits, funding under a one-time Australian government grant from the Commonwealth Scientific and Industrial Research Organization during the year ended June 30, 2019, and funding under a one-time government grant from the ATO during the year ended June 30, 2020.</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Data</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6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5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720" w:type="dxa"/>
            <w:vAlign w:val="bottom"/>
            <w:gridSpan w:val="2"/>
          </w:tcPr>
          <w:p>
            <w:pPr>
              <w:ind w:left="76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52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A$ 21,535</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0"/>
              </w:rPr>
              <w:t>A$</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62,020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1"/>
                <w:szCs w:val="11"/>
                <w:color w:val="auto"/>
              </w:rPr>
              <w:t>(1)</w:t>
            </w:r>
          </w:p>
        </w:tc>
        <w:tc>
          <w:tcPr>
            <w:tcW w:w="452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30,376</w:t>
            </w:r>
          </w:p>
        </w:tc>
        <w:tc>
          <w:tcPr>
            <w:tcW w:w="5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64,398</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52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37,660</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71,887</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52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6,541</w:t>
            </w:r>
          </w:p>
        </w:tc>
        <w:tc>
          <w:tcPr>
            <w:tcW w:w="5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7,079</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452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(86,060)</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(102,589)</w:t>
            </w: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452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31,120</w:t>
            </w:r>
          </w:p>
        </w:tc>
        <w:tc>
          <w:tcPr>
            <w:tcW w:w="5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771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660" w:hanging="544"/>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together the section titled “Selected Consolidated Financial Data” and our consolidated financial statements and the accompanying notes included elsewhere in this prospectus. This discussion includes both historical information and forward-looking information based upon current expectations that involve risk, uncertainties and assumptions. Our actual results may differ materially from management’s expectations as a result of various factors, including, but not limited to, those discussed in “Risk Factors” and elsewhere in this prospectus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a clinical stage biopharmaceutical company developing a novel therapy for the treatment of highly prevalent and progressive retinal diseases. We are developing our Phase 3-ready product candidate, OPT-302, a biologic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do not adequately respond to these treatments. As the only biologic inhibitor of VEGF-C and VEGF-D in clinical development, OPT-302 differs from standard of care therapies and when administered in combination with a VEGF-A inhibitor, is designed to achieve broader inhibition of the vascular endothelial growth factor, or VEGF, family and target a mechanism of clinical resistance to improve visual acuity. Our lead indication for OPT-302 combination therapy is wet AMD, a chronic, progressive disease and the leading cause of vision loss for individuals over the age of 50. In a 366-patient Phase 2b clinical trial for the treatment of wet AMD, 2.0 mg OPT-302, in combination with a standard of care anti-VEGF-A therapy, ranibizumab (Lucentis), met the primary endpoint of a statistically significant superior mean gain in visual acuity over ranibizumab monotherapy at week 24. We intend to initiate two pivotal Phase 3 clinical trials in treatment-naive patients with wet AMD to evaluate the efficacy and safety of OPT-302 in combination with anti-VEGF-A therapies compared to anti-VEGF-A monotherapy in the first half of 2021. We expect to report topline data from these Phase 3 clinical trials in 2023. In addition to our clinical trials in wet AMD, we have observed evidence of improved clinical outcomes in a Phase 1b/2a clinical trial of OPT-302 in combination with another standard of care anti-VEGF-A therapy, aflibercept (Eylea), in patients with treatment-refractory diabetic macular edema, or DME. We retain worldwide rights to develop and commercialize OPT-302 for the treatment of wet AMD and DME and believe that the novel treatment mechanism of OPT-302 has the potential to provide therapeutic benefit for other progressive eye diseases.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were founded in 1984 and completed our initial public offering and listing of ordinary shares on the Australian Securities Exchange in 1985. In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2007, we acquired intellectual property relating to VEGF receptor 3 and subsequently developed the intellectual property for our lead product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candidate, OPT-302. Our development focus on the treatment of retinal diseases began in 2013. Since then, we have devoted substantially all of our efforts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 organizing and staffing our company, business planning, raising capital, developing and manufacturing our lead product candidate, OPT-302, conducting</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research and development activities, including preclinical studies and clinical trials, and providing general and administrative support for these operations.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operations relating to the development of OPT-302 have been financed primarily through the issuance and sale of new ordinary shares totaling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A$112.7 million through June 30, 2020. We have also received an aggregate of A$35.1 million in cash tax incentives for the five fiscal years ended June 30,</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 under the Research and Development, or R&amp;D, Tax Incentive Scheme for the funding of the development of and clinical trials for OPT-302.</w:t>
      </w:r>
    </w:p>
    <w:p>
      <w:pPr>
        <w:spacing w:after="0" w:line="145"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We have incurred operating losses since 2013. Our ability to generate product revenue sufficient to achieve profitability will be dependent on the successful development and eventual commercialization of OPT-302 and any future product candidates. Our total comprehensive loss was A$20.7 million and A$16.5 million for the years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ended June 30, 2019 and 2020, respectively. As of June 30, 2020, we had an accumulated loss of A$102.6 million. We expect to continue to incur significant expenses for at least the next several years as we advance OPT-302 through late-stage clinical development, including our planned pivotal Phase 3 trials of OPT-302 in combination with anti-VEGF-A therapy for the treatment of wet AMD, and, if these results are favorable, seek regulatory approval for OPT-302. In addition, we may also pursue development of OPT-302 for the treatment of additional indications, including DME, retinal vein occlusion and other indications in which OPT-302 has the potential to provide therapeutic benefit. In addition, if we obtain marketing approval for OPT-302, we expect to incur significant commercialization expenses related to product manufacturing, marketing, sales and distribution. Upon the completion of this offering, we expect to incur additional costs associated with operating as a public company in the United States, including significant additional legal, accounting, investor relations, compliance and other expenses.</w:t>
      </w:r>
    </w:p>
    <w:p>
      <w:pPr>
        <w:spacing w:after="0" w:line="13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as well as Australian research and development tax incentives.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OPT-302.</w:t>
      </w:r>
    </w:p>
    <w:p>
      <w:pPr>
        <w:spacing w:after="0" w:line="1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biopharmaceutical product candidates, we are unable to predict the timing or amount of increased expenses or when or if we will be able to achieve or maintain profitability. Even if we are able to generate product sales, we may never become profitable. If we fail to become profitable or are unable to sustain profitability on a continuing basis, then we may be unable to continue our operations at planned levels and be forced to scale back or discontinue our operations.</w:t>
      </w:r>
    </w:p>
    <w:p>
      <w:pPr>
        <w:spacing w:after="0" w:line="122"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As of June 30, 2020, we had cash and cash equivalents of A$62.0 million. We believe that the anticipated net proceeds from this offering, together with our existing cash and cash equivalents as of June 30, 2020, will enable us to fund our operating and research and development expenses through the third calendar quarter of 2023. We have based this estimate on assumptions that may prove to be wrong, and we could exhaust our available capital resources sooner than we expect. See “—Liquidity and Capital Resources.”</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7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closely monitoring how the COVID-19 pandemic is affecting our employees, business, preclinical studies and clinical trials. In response to the COVID-19 pandemic, all of our employees have transitioned to working remotely and travel has been restricted. Although operations to date have not been materially affected by the COVID-19 pandemic, at this time, there is significant uncertainty relating to the trajectory of the pandemic. The impact of related responses and disruptions caused by the COVID-19 pandemic may result in difficulties or delays in initiating, enrolling, conducting or completing our planned clinical trials and the incurrence of unforeseen costs as a result of disruptions in clinical supply or clinical trial delays. The impact of COVID-19 on our future results will largely depend on future developments, which are highly uncertain and cannot be predicted with confidence, such as the ultimate geographic spread of the disease, the duration of the pandemic, travel restrictions and social distancing in Australia, the United States and other countries, business closures or business disruptions, the ultimate impact on financial markets and the global economy and the effectiveness of actions taken in Australia, the United States and other countries to contain and treat the disease.</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8"/>
          <w:szCs w:val="18"/>
          <w:color w:val="auto"/>
        </w:rPr>
        <w:t>Revenue consists of sales-based royalties in connection with the out-licensing of certain intellectual property assets that are unrelated to our core business and the development of OPT-302 and are not currently</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color w:val="auto"/>
        </w:rPr>
        <w:t>under development. These licenses are primarily used by third-party licensees for research purposes, and we expect revenue from these out-licensing arrangements to be nominal in future periods. These are variable consideration amounts and are recognized when the sales by our license partners to third parties occur, as the performance obligation to transfer the intellectual property to the license partner is already satisfied.</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from sales of approved products. Because of the numerous risks and uncertainties associated with product development and regulatory approval, we are unable to predict the amount, timing or whether we will be able to obtain revenue from sales of approved products, and we may never succeed in obtaining regulatory approval for OPT-302 or any other product candidate. If our development efforts for OPT-302 are successful and result in an approved and marketed product, or if we enter into additional collaboration or license agreements with third parties, we may generate revenue in the future from a combination of product sales or payments from such collaboration or license agreements.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81"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Other income primarily comprises finance income from interest on bank deposits and funding under a one-time Australian government grant from the Commonwealth Scientific and Industrial Research Organization, or the CSIRO, and the Australian Tax Office.</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7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comprise the research project costs related to the development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clinical trials, for OPT-302 for the treatment of wet AMD and DME. R&amp;D expenses also include:</w:t>
      </w:r>
    </w:p>
    <w:p>
      <w:pPr>
        <w:spacing w:after="0" w:line="24" w:lineRule="exact"/>
        <w:rPr>
          <w:sz w:val="20"/>
          <w:szCs w:val="20"/>
          <w:color w:val="auto"/>
        </w:rPr>
      </w:pPr>
    </w:p>
    <w:p>
      <w:pPr>
        <w:ind w:left="760" w:right="260" w:hanging="212"/>
        <w:spacing w:after="0" w:line="275"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clinical development of our product candidates, including under agreements with third parties, such as consultants and contract research organizations, or CROs;</w:t>
      </w:r>
    </w:p>
    <w:p>
      <w:pPr>
        <w:spacing w:after="0" w:line="25" w:lineRule="exact"/>
        <w:rPr>
          <w:rFonts w:ascii="Times New Roman" w:cs="Times New Roman" w:eastAsia="Times New Roman" w:hAnsi="Times New Roman"/>
          <w:sz w:val="18"/>
          <w:szCs w:val="18"/>
          <w:color w:val="auto"/>
        </w:rPr>
      </w:pPr>
    </w:p>
    <w:p>
      <w:pPr>
        <w:ind w:left="760" w:right="620" w:hanging="212"/>
        <w:spacing w:after="0" w:line="275"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and purchasing drug products for use in our clinical trials, including under agreements with third parties, such as consultants and contract manufacturing organizations, or CMOs;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or allocated expenses for rent, maintenance of facilities and insurance;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insurance.</w:t>
      </w:r>
    </w:p>
    <w:p>
      <w:pPr>
        <w:spacing w:after="0" w:line="185" w:lineRule="exact"/>
        <w:rPr>
          <w:sz w:val="20"/>
          <w:szCs w:val="20"/>
          <w:color w:val="auto"/>
        </w:rPr>
      </w:pPr>
    </w:p>
    <w:p>
      <w:pPr>
        <w:ind w:left="120" w:right="200" w:firstLine="440"/>
        <w:spacing w:after="0" w:line="275" w:lineRule="auto"/>
        <w:rPr>
          <w:sz w:val="20"/>
          <w:szCs w:val="20"/>
          <w:color w:val="auto"/>
        </w:rPr>
      </w:pPr>
      <w:r>
        <w:rPr>
          <w:rFonts w:ascii="Times New Roman" w:cs="Times New Roman" w:eastAsia="Times New Roman" w:hAnsi="Times New Roman"/>
          <w:sz w:val="18"/>
          <w:szCs w:val="18"/>
          <w:color w:val="auto"/>
        </w:rPr>
        <w:t>We expense R&amp;D costs as incurred and have not capitalized any amounts of R&amp;D costs as of June 30, 2020. For the years ended June 30, 2019 and 2020, we did not make any advance payments for goods or services to be received in future periods for use in R&amp;D activities.</w:t>
      </w:r>
    </w:p>
    <w:p>
      <w:pPr>
        <w:spacing w:after="0" w:line="106" w:lineRule="exact"/>
        <w:rPr>
          <w:sz w:val="20"/>
          <w:szCs w:val="20"/>
          <w:color w:val="auto"/>
        </w:rPr>
      </w:pPr>
    </w:p>
    <w:p>
      <w:pPr>
        <w:ind w:left="120" w:right="20" w:firstLine="440"/>
        <w:spacing w:after="0" w:line="293" w:lineRule="auto"/>
        <w:rPr>
          <w:sz w:val="20"/>
          <w:szCs w:val="20"/>
          <w:color w:val="auto"/>
        </w:rPr>
      </w:pPr>
      <w:r>
        <w:rPr>
          <w:rFonts w:ascii="Times New Roman" w:cs="Times New Roman" w:eastAsia="Times New Roman" w:hAnsi="Times New Roman"/>
          <w:sz w:val="16"/>
          <w:szCs w:val="16"/>
          <w:color w:val="auto"/>
        </w:rPr>
        <w:t>Our direct R&amp;D expenses are tracked on a program-by-program basis for our product candidate and consist primarily of external costs, such as fees paid to CROs, CMOs, research laboratories and outside consultants in connection with our process development, manufacturing and clinical development activities. We do not allocate employee costs associated with our research efforts, laboratory supplies and facilities, including depreciation and other indirect costs, to specific programs because these costs are deployed across multiple development activities and indications for OPT-302 and, as such, are not separately classified. We use internal resources primarily to conduct our research activities as well as for managing our process development, manufacturing and clinical development activities. These employees work across multiple development programs and, therefore, we do not track these costs by program.</w:t>
      </w:r>
    </w:p>
    <w:p>
      <w:pPr>
        <w:spacing w:after="0" w:line="97" w:lineRule="exact"/>
        <w:rPr>
          <w:sz w:val="20"/>
          <w:szCs w:val="20"/>
          <w:color w:val="auto"/>
        </w:rPr>
      </w:pPr>
    </w:p>
    <w:p>
      <w:pPr>
        <w:ind w:left="120" w:right="320" w:firstLine="440"/>
        <w:spacing w:after="0" w:line="275" w:lineRule="auto"/>
        <w:rPr>
          <w:sz w:val="20"/>
          <w:szCs w:val="20"/>
          <w:color w:val="auto"/>
        </w:rPr>
      </w:pPr>
      <w:r>
        <w:rPr>
          <w:rFonts w:ascii="Times New Roman" w:cs="Times New Roman" w:eastAsia="Times New Roman" w:hAnsi="Times New Roman"/>
          <w:sz w:val="18"/>
          <w:szCs w:val="18"/>
          <w:color w:val="auto"/>
        </w:rPr>
        <w:t>R&amp;D expenses in fiscal years after June 30, 2020 are expected to comprise costs of a similar nature to that recorded to date. Product candidates in later stages of clinical development, such as OPT-302, generally have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higher development costs than those in earlier stages of clinical development, primarily due to the increased size and duration of later-stage clinical trials. We expect that our R&amp;D expenses will increase in connection with our planned clinical development, manufacturing and regulatory approval activities in the near term and in the future, including as we initiate our planned pivotal Phase 3 clinical trials of OPT-302 in combination with anti-VEGF-A therapy for the treatment of wet AMD.</w:t>
      </w:r>
    </w:p>
    <w:p>
      <w:pPr>
        <w:spacing w:after="0" w:line="122"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At this time, we cannot accurately estimate or know the nature, timing and costs of the efforts that will be necessary to complete the clinical development of OPT-302 and any future product candidates. We may never succeed in achieving regulatory approval for any of our product candidates. The duration, costs and timing of clinical trials and development of our product candidates will depend on a variety of factors, including:</w:t>
      </w:r>
    </w:p>
    <w:p>
      <w:pPr>
        <w:spacing w:after="0" w:line="38" w:lineRule="exact"/>
        <w:rPr>
          <w:sz w:val="20"/>
          <w:szCs w:val="20"/>
          <w:color w:val="auto"/>
        </w:rPr>
      </w:pPr>
    </w:p>
    <w:p>
      <w:pPr>
        <w:ind w:left="760" w:hanging="212"/>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planned clinical trials as well as other R&amp;D activities;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regulatory approvals;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maintaining, prosecuting, defending and enforcing patent claims and other intellectual property rights;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third-party insurance coverage and adequate reimbursement;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commercialize and achieve market acceptance for any products that receive regulatory approval;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OPT-302 combination therapy following approval in any indication; and</w:t>
      </w:r>
    </w:p>
    <w:p>
      <w:pPr>
        <w:spacing w:after="0" w:line="103" w:lineRule="exact"/>
        <w:rPr>
          <w:rFonts w:ascii="Times New Roman" w:cs="Times New Roman" w:eastAsia="Times New Roman" w:hAnsi="Times New Roman"/>
          <w:sz w:val="18"/>
          <w:szCs w:val="18"/>
          <w:color w:val="auto"/>
        </w:rPr>
      </w:pPr>
    </w:p>
    <w:p>
      <w:pPr>
        <w:ind w:left="760" w:right="560" w:hanging="212"/>
        <w:spacing w:after="0" w:line="275"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third-party suppliers and manufacturers for clinical supply and commercial manufacturing of OPT-302, or any other product candidate, if approved.</w:t>
      </w:r>
    </w:p>
    <w:p>
      <w:pPr>
        <w:spacing w:after="0" w:line="106"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A change in the outcome of any of these factors with respect to the development of OPT-302 could significantly change the duration, costs and timing associated with clinical trials and development of OPT-302.</w:t>
      </w:r>
    </w:p>
    <w:p>
      <w:pPr>
        <w:spacing w:after="0" w:line="104" w:lineRule="exact"/>
        <w:rPr>
          <w:sz w:val="20"/>
          <w:szCs w:val="20"/>
          <w:color w:val="auto"/>
        </w:rPr>
      </w:pPr>
    </w:p>
    <w:p>
      <w:pPr>
        <w:ind w:left="560"/>
        <w:spacing w:after="0"/>
        <w:tabs>
          <w:tab w:leader="none" w:pos="1920" w:val="left"/>
        </w:tabs>
        <w:rPr>
          <w:sz w:val="20"/>
          <w:szCs w:val="20"/>
          <w:color w:val="auto"/>
        </w:rPr>
      </w:pPr>
      <w:r>
        <w:rPr>
          <w:rFonts w:ascii="Times New Roman" w:cs="Times New Roman" w:eastAsia="Times New Roman" w:hAnsi="Times New Roman"/>
          <w:sz w:val="18"/>
          <w:szCs w:val="18"/>
          <w:i w:val="1"/>
          <w:iCs w:val="1"/>
          <w:color w:val="auto"/>
        </w:rPr>
        <w:t>Patent Expenses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Patent expenses comprise the cost of outside patent attorneys to manage and prosecute our patent portfolio.</w:t>
      </w:r>
    </w:p>
    <w:p>
      <w:pPr>
        <w:spacing w:after="0" w:line="158" w:lineRule="exact"/>
        <w:rPr>
          <w:sz w:val="20"/>
          <w:szCs w:val="20"/>
          <w:color w:val="auto"/>
        </w:rPr>
      </w:pPr>
    </w:p>
    <w:p>
      <w:pPr>
        <w:ind w:left="120" w:right="200" w:firstLine="440"/>
        <w:spacing w:after="0" w:line="342" w:lineRule="auto"/>
        <w:rPr>
          <w:sz w:val="20"/>
          <w:szCs w:val="20"/>
          <w:color w:val="auto"/>
        </w:rPr>
      </w:pPr>
      <w:r>
        <w:rPr>
          <w:rFonts w:ascii="Times New Roman" w:cs="Times New Roman" w:eastAsia="Times New Roman" w:hAnsi="Times New Roman"/>
          <w:sz w:val="16"/>
          <w:szCs w:val="16"/>
          <w:i w:val="1"/>
          <w:iCs w:val="1"/>
          <w:color w:val="auto"/>
        </w:rPr>
        <w:t>Intellectual Property Costs</w:t>
      </w:r>
      <w:r>
        <w:rPr>
          <w:rFonts w:ascii="Times New Roman" w:cs="Times New Roman" w:eastAsia="Times New Roman" w:hAnsi="Times New Roman"/>
          <w:sz w:val="16"/>
          <w:szCs w:val="16"/>
          <w:color w:val="auto"/>
        </w:rPr>
        <w:t>. Intellectual property costs relate to the license and patent assignment costs in respect of our in-license agreements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technologies not currently under development and unrelated to our out-licensing arrangements under which we receive sales-based royalties.</w:t>
      </w:r>
    </w:p>
    <w:p>
      <w:pPr>
        <w:spacing w:after="0" w:line="5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Administrative Expenses</w:t>
      </w:r>
      <w:r>
        <w:rPr>
          <w:rFonts w:ascii="Times New Roman" w:cs="Times New Roman" w:eastAsia="Times New Roman" w:hAnsi="Times New Roman"/>
          <w:sz w:val="18"/>
          <w:szCs w:val="18"/>
          <w:color w:val="auto"/>
        </w:rPr>
        <w:t>. Administrative expenses comprise employee benefit expenses, including share-based payment expenses; investor relations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insurance costs; audit, accountancy and legal fees; other personnel-related expenses; and depreciation expense. We anticipate that our administrative expenses will increase in the future as we increase our headcount to support development of OPT-302 and our continued research activities. We also anticipate that we will incur increased accounting, audit, legal, regulatory, compliance and director and officer insurance costs as well as investor and public relations expenses associated with being a public company in the United States.</w:t>
      </w:r>
    </w:p>
    <w:p>
      <w:pPr>
        <w:spacing w:after="0" w:line="120"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8"/>
          <w:szCs w:val="18"/>
          <w:i w:val="1"/>
          <w:iCs w:val="1"/>
          <w:color w:val="auto"/>
        </w:rPr>
        <w:t>Occupancy Expenses</w:t>
      </w:r>
      <w:r>
        <w:rPr>
          <w:rFonts w:ascii="Times New Roman" w:cs="Times New Roman" w:eastAsia="Times New Roman" w:hAnsi="Times New Roman"/>
          <w:sz w:val="18"/>
          <w:szCs w:val="18"/>
          <w:color w:val="auto"/>
        </w:rPr>
        <w:t>. Occupancy expenses represent the costs relating to our headquarters in Melbourne, Australia, including lease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incidental costs.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Gain (Loss)</w:t>
      </w:r>
    </w:p>
    <w:p>
      <w:pPr>
        <w:spacing w:after="0" w:line="81" w:lineRule="exact"/>
        <w:rPr>
          <w:sz w:val="20"/>
          <w:szCs w:val="20"/>
          <w:color w:val="auto"/>
        </w:rPr>
      </w:pPr>
    </w:p>
    <w:p>
      <w:pPr>
        <w:ind w:left="120" w:right="280" w:firstLine="440"/>
        <w:spacing w:after="0" w:line="339" w:lineRule="auto"/>
        <w:rPr>
          <w:sz w:val="20"/>
          <w:szCs w:val="20"/>
          <w:color w:val="auto"/>
        </w:rPr>
      </w:pPr>
      <w:r>
        <w:rPr>
          <w:rFonts w:ascii="Times New Roman" w:cs="Times New Roman" w:eastAsia="Times New Roman" w:hAnsi="Times New Roman"/>
          <w:sz w:val="16"/>
          <w:szCs w:val="16"/>
          <w:color w:val="auto"/>
        </w:rPr>
        <w:t>Net foreign exchange gain (loss) represents the impact of the variance in exchange rates between the Australian dollar and the U.S. dollar, Euro, British Pound and Canadian dollar on our cash and cash equivalents, financial assets, financial liabilities and foreign currency denominated transactions.</w:t>
      </w:r>
    </w:p>
    <w:p>
      <w:pPr>
        <w:spacing w:after="0" w:line="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55" w:right="4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81" w:lineRule="exact"/>
        <w:rPr>
          <w:sz w:val="20"/>
          <w:szCs w:val="20"/>
          <w:color w:val="auto"/>
        </w:rPr>
      </w:pPr>
    </w:p>
    <w:p>
      <w:pPr>
        <w:ind w:left="120" w:right="220" w:firstLine="440"/>
        <w:spacing w:after="0" w:line="253" w:lineRule="auto"/>
        <w:rPr>
          <w:sz w:val="20"/>
          <w:szCs w:val="20"/>
          <w:color w:val="auto"/>
        </w:rPr>
      </w:pPr>
      <w:r>
        <w:rPr>
          <w:rFonts w:ascii="Times New Roman" w:cs="Times New Roman" w:eastAsia="Times New Roman" w:hAnsi="Times New Roman"/>
          <w:sz w:val="18"/>
          <w:szCs w:val="18"/>
          <w:color w:val="auto"/>
        </w:rPr>
        <w:t>Income tax benefit represents the cash incentive amount receivable under the R&amp;D Tax Incentive Scheme, an Australian Federal Government program under which eligible companies with annual aggregated revenue of less than A$20.0 million can receive cash amounts equal to 43.5% of eligible R&amp;D expenditures from the Australian Taxation Office, or the ATO. The ATO may reduce this rate to 41% for the year ended June 30, 2020 if the Australian Federal Government enacts changes to the legislation that governs the scheme in October 2020. The ATO may also make other changes to the eligibility of R&amp;D expenditures, including placing a cap on the amount of non-clinical trial R&amp;D expenses claimed under the scheme. If the rate were to reduce to 41%, the current tax receivable recorded in our consolidated statement of financial position as at June 30, 2020 would be reduced by A$490 thousand, with no change as at June 30, 2019. In addition, if a cap on non-clinical trial R&amp;D expenses were introduced, any effect on our amount claimed under the scheme in respect of the fiscal years ended June 30, 2019 and 2020 would be de minimis.</w:t>
      </w:r>
    </w:p>
    <w:p>
      <w:pPr>
        <w:spacing w:after="0" w:line="131"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6"/>
          <w:szCs w:val="16"/>
          <w:color w:val="auto"/>
        </w:rPr>
        <w:t>The R&amp;D Tax Incentive Scheme incentive relates to eligible expenditures incurred in Australia and, under certain circumstances, in other countries in connection with the development of OPT-302. The R&amp;D tax incentive is applied annually to eligible expenditures incurred during the fiscal year following an annual application and subsequent filing of our income tax return subsequent to fiscal year end. We estimate the amount of R&amp;D tax incentive after the completion of a fiscal year based on eligible Australia and overseas expenditures incurred during that year. We expect to continue applying for the R&amp;D tax incentive as we further develop OPT-302. In particular, we intend to apply for the costs expected to be incurred in Australia related to our planned pivotal Phase 3 clinical trials of OPT-302 in combination with anti-VEGF-A therapy for the treatment of wet AMD to be eligible for the R&amp;D tax incentive for future fiscal years once incurred. However, there can be no assurance that the ATO will allow these costs to be eligible for the tax incentive.</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for the Fiscal Years Ended June 30, 2019 and 2020</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sets forth a summary of our consolidated statement of profit or loss and other comprehensive income for the periods presented.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2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7"/>
          </w:tcPr>
          <w:p>
            <w:pPr>
              <w:jc w:val="center"/>
              <w:ind w:right="258"/>
              <w:spacing w:after="0"/>
              <w:rPr>
                <w:sz w:val="20"/>
                <w:szCs w:val="20"/>
                <w:color w:val="auto"/>
              </w:rPr>
            </w:pPr>
            <w:r>
              <w:rPr>
                <w:rFonts w:ascii="Times New Roman" w:cs="Times New Roman" w:eastAsia="Times New Roman" w:hAnsi="Times New Roman"/>
                <w:sz w:val="13"/>
                <w:szCs w:val="13"/>
                <w:b w:val="1"/>
                <w:bCs w:val="1"/>
                <w:color w:val="auto"/>
              </w:rPr>
              <w:t>Year Ended June 30,</w:t>
            </w:r>
          </w:p>
        </w:tc>
      </w:tr>
      <w:tr>
        <w:trPr>
          <w:trHeight w:val="142"/>
        </w:trPr>
        <w:tc>
          <w:tcPr>
            <w:tcW w:w="12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15"/>
              <w:spacing w:after="0" w:line="142" w:lineRule="exact"/>
              <w:rPr>
                <w:sz w:val="20"/>
                <w:szCs w:val="20"/>
                <w:color w:val="auto"/>
              </w:rPr>
            </w:pPr>
            <w:r>
              <w:rPr>
                <w:rFonts w:ascii="Times New Roman" w:cs="Times New Roman" w:eastAsia="Times New Roman" w:hAnsi="Times New Roman"/>
                <w:sz w:val="10"/>
                <w:szCs w:val="10"/>
                <w:b w:val="1"/>
                <w:bCs w:val="1"/>
                <w:color w:val="auto"/>
              </w:rPr>
              <w:t>2019</w:t>
            </w:r>
            <w:r>
              <w:rPr>
                <w:rFonts w:ascii="Times New Roman" w:cs="Times New Roman" w:eastAsia="Times New Roman" w:hAnsi="Times New Roman"/>
                <w:sz w:val="16"/>
                <w:szCs w:val="16"/>
                <w:b w:val="1"/>
                <w:bCs w:val="1"/>
                <w:color w:val="auto"/>
                <w:vertAlign w:val="superscript"/>
              </w:rPr>
              <w:t>(1)</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92"/>
              <w:spacing w:after="0" w:line="142" w:lineRule="exact"/>
              <w:rPr>
                <w:sz w:val="20"/>
                <w:szCs w:val="20"/>
                <w:color w:val="auto"/>
              </w:rPr>
            </w:pPr>
            <w:r>
              <w:rPr>
                <w:rFonts w:ascii="Times New Roman" w:cs="Times New Roman" w:eastAsia="Times New Roman" w:hAnsi="Times New Roman"/>
                <w:sz w:val="10"/>
                <w:szCs w:val="10"/>
                <w:b w:val="1"/>
                <w:bCs w:val="1"/>
                <w:color w:val="auto"/>
              </w:rPr>
              <w:t>2020</w:t>
            </w:r>
            <w:r>
              <w:rPr>
                <w:rFonts w:ascii="Times New Roman" w:cs="Times New Roman" w:eastAsia="Times New Roman" w:hAnsi="Times New Roman"/>
                <w:sz w:val="16"/>
                <w:szCs w:val="16"/>
                <w:b w:val="1"/>
                <w:bCs w:val="1"/>
                <w:color w:val="auto"/>
                <w:vertAlign w:val="superscript"/>
              </w:rPr>
              <w:t>(2)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5"/>
          </w:tcPr>
          <w:p>
            <w:pPr>
              <w:jc w:val="center"/>
              <w:ind w:left="255"/>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0"/>
              </w:rPr>
              <w:t>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0"/>
              </w:rPr>
              <w:t>A$</w:t>
            </w: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(31,348)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(17,954)</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22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(5,175)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(7,001)</w:t>
            </w: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7"/>
        </w:trPr>
        <w:tc>
          <w:tcPr>
            <w:tcW w:w="12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(35,547)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(25,062)</w:t>
            </w:r>
          </w:p>
        </w:tc>
      </w:tr>
      <w:tr>
        <w:trPr>
          <w:trHeight w:val="22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20" w:type="dxa"/>
            <w:vAlign w:val="bottom"/>
          </w:tcPr>
          <w:p>
            <w:pPr>
              <w:spacing w:after="0"/>
              <w:rPr>
                <w:sz w:val="19"/>
                <w:szCs w:val="19"/>
                <w:color w:val="auto"/>
              </w:rPr>
            </w:pPr>
          </w:p>
        </w:tc>
      </w:tr>
      <w:tr>
        <w:trPr>
          <w:trHeight w:val="217"/>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(20,910)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(16,529)</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will not be reclassified subsequently to profit or loss: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Fair value gains on investments in financial assets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12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59</w:t>
            </w:r>
          </w:p>
        </w:tc>
      </w:tr>
      <w:tr>
        <w:trPr>
          <w:trHeight w:val="22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loss for the year</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(20,650</w:t>
            </w: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(16,470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1220" w:type="dxa"/>
            <w:vAlign w:val="bottom"/>
            <w:tcBorders>
              <w:bottom w:val="single" w:sz="8" w:color="auto"/>
            </w:tcBorders>
          </w:tcPr>
          <w:p>
            <w:pPr>
              <w:spacing w:after="0"/>
              <w:rPr>
                <w:sz w:val="8"/>
                <w:szCs w:val="8"/>
                <w:color w:val="auto"/>
              </w:rPr>
            </w:pPr>
          </w:p>
        </w:tc>
        <w:tc>
          <w:tcPr>
            <w:tcW w:w="7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3" w:lineRule="exact"/>
        <w:rPr>
          <w:sz w:val="20"/>
          <w:szCs w:val="20"/>
          <w:color w:val="auto"/>
        </w:rPr>
      </w:pPr>
    </w:p>
    <w:p>
      <w:pPr>
        <w:ind w:left="540" w:right="200" w:hanging="424"/>
        <w:spacing w:after="0" w:line="275"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 of profit or loss and other comprehensive income for the year ended June 30, 2019 reflects the impact of the adoption of IFRS 15 “Revenue from Contracts with Customers” and IFRS 9</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40" w:right="380"/>
        <w:spacing w:after="0" w:line="257" w:lineRule="auto"/>
        <w:rPr>
          <w:sz w:val="20"/>
          <w:szCs w:val="20"/>
          <w:color w:val="auto"/>
        </w:rPr>
      </w:pPr>
      <w:r>
        <w:rPr>
          <w:rFonts w:ascii="Times New Roman" w:cs="Times New Roman" w:eastAsia="Times New Roman" w:hAnsi="Times New Roman"/>
          <w:sz w:val="18"/>
          <w:szCs w:val="18"/>
          <w:color w:val="auto"/>
        </w:rPr>
        <w:t>“Financial Instruments,” which became applicable on January 1, 2018. The impact of the adoption of IFRS 15 and IFRS 9 was not material to the consolidated statement of profit or loss and other comprehensive income.</w:t>
      </w:r>
    </w:p>
    <w:p>
      <w:pPr>
        <w:spacing w:after="0" w:line="1" w:lineRule="exact"/>
        <w:rPr>
          <w:sz w:val="20"/>
          <w:szCs w:val="20"/>
          <w:color w:val="auto"/>
        </w:rPr>
      </w:pPr>
    </w:p>
    <w:p>
      <w:pPr>
        <w:ind w:left="540" w:right="80" w:hanging="424"/>
        <w:spacing w:after="0" w:line="255"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 of profit or loss and other comprehensive income for the year ended June 30, 2020 reflects the impact of the adoption of IFRS 16 “Leases” which became applicable on January 1, 2019. The details on the impact of the transition are presented in note 5 to our consolidated financial statements appearing elsewhere in this prospectus.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Revenue was A$159 thousand for the year ended June 30, 2019, compared to A$87 thousand for the year ended June 30, 2020. This decrease was due to lower sales-based royalties received under our out-licensing arrangements. Revenue for the years ended June 30, 2019 and 2020 consisted of sales-based royalties in connection with the out-licensing of certain intellectual property assets that are unrelated to our core business and the development of OPT-302 and are not currently under development.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81" w:lineRule="exact"/>
        <w:rPr>
          <w:sz w:val="20"/>
          <w:szCs w:val="20"/>
          <w:color w:val="auto"/>
        </w:rPr>
      </w:pPr>
    </w:p>
    <w:p>
      <w:pPr>
        <w:jc w:val="both"/>
        <w:ind w:left="120" w:right="220" w:firstLine="440"/>
        <w:spacing w:after="0" w:line="310" w:lineRule="auto"/>
        <w:rPr>
          <w:sz w:val="20"/>
          <w:szCs w:val="20"/>
          <w:color w:val="auto"/>
        </w:rPr>
      </w:pPr>
      <w:r>
        <w:rPr>
          <w:rFonts w:ascii="Times New Roman" w:cs="Times New Roman" w:eastAsia="Times New Roman" w:hAnsi="Times New Roman"/>
          <w:sz w:val="16"/>
          <w:szCs w:val="16"/>
          <w:color w:val="auto"/>
        </w:rPr>
        <w:t>Other income was A$837 thousand for the year ended June 30, 2019, compared to A$784 thousand for the year ended June 30, 2020. This decrease was primarily due to lower finance income from interest on bank deposits and receipt of a A$78 thousand one-time Australian government grant from the CSIRO during the year ended June 30, 2019, partially offset by receipt of a A$63 thousand one-time ATO grant during the year ended June 20, 2020.</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8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A$31.3 million for the year ended June 30, 2019, compared to A$18.0 million for the year ended June 30, 2020. This decrease was primarily due to costs related to our Phase 2b clinical trial of OPT-302 in wet AMD completed during the year ended June 30, 2019, partially offset by increased chemistry manufacturing and controls costs incurred during the year ended June 30, 2020 related to manufacturing activities in preparation for our planned Phase 3 clinical trials of OPT-302 in combination with anti-VEGF-A therapy for the treatment of wet AMD. Our research and development expenses are broken down as set forth in the table below:</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6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2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Year Ended June 30,</w:t>
            </w:r>
          </w:p>
        </w:tc>
      </w:tr>
      <w:tr>
        <w:trPr>
          <w:trHeight w:val="142"/>
        </w:trPr>
        <w:tc>
          <w:tcPr>
            <w:tcW w:w="6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6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3"/>
                <w:szCs w:val="13"/>
                <w:b w:val="1"/>
                <w:bCs w:val="1"/>
                <w:color w:val="auto"/>
                <w:w w:val="92"/>
              </w:rPr>
              <w:t>2020</w:t>
            </w:r>
          </w:p>
        </w:tc>
        <w:tc>
          <w:tcPr>
            <w:tcW w:w="6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gridSpan w:val="3"/>
          </w:tcPr>
          <w:p>
            <w:pPr>
              <w:jc w:val="center"/>
              <w:ind w:left="407"/>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Phase 2b clinical trial of OPT-302 in wet AMD</w:t>
            </w:r>
          </w:p>
        </w:tc>
        <w:tc>
          <w:tcPr>
            <w:tcW w:w="2800" w:type="dxa"/>
            <w:vAlign w:val="bottom"/>
            <w:gridSpan w:val="2"/>
            <w:shd w:val="clear" w:color="auto" w:fill="CCEEFF"/>
          </w:tcPr>
          <w:p>
            <w:pPr>
              <w:jc w:val="center"/>
              <w:ind w:left="2012"/>
              <w:spacing w:after="0"/>
              <w:rPr>
                <w:sz w:val="20"/>
                <w:szCs w:val="20"/>
                <w:color w:val="auto"/>
              </w:rPr>
            </w:pPr>
            <w:r>
              <w:rPr>
                <w:rFonts w:ascii="Times New Roman" w:cs="Times New Roman" w:eastAsia="Times New Roman" w:hAnsi="Times New Roman"/>
                <w:sz w:val="18"/>
                <w:szCs w:val="18"/>
                <w:color w:val="auto"/>
                <w:w w:val="97"/>
              </w:rPr>
              <w:t>A$20,718</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0"/>
              </w:rPr>
              <w:t>A$</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3,197</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Costs related to the Phase 1b/2a clinical trial of OPT-302 in DME</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8,022</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5,890</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direct non-clinical expenses</w:t>
            </w:r>
          </w:p>
        </w:tc>
        <w:tc>
          <w:tcPr>
            <w:tcW w:w="2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0" w:type="dxa"/>
            <w:vAlign w:val="bottom"/>
            <w:gridSpan w:val="2"/>
            <w:shd w:val="clear" w:color="auto" w:fill="CCEEFF"/>
          </w:tcPr>
          <w:p>
            <w:pPr>
              <w:jc w:val="center"/>
              <w:ind w:left="2012"/>
              <w:spacing w:after="0"/>
              <w:rPr>
                <w:sz w:val="20"/>
                <w:szCs w:val="20"/>
                <w:color w:val="auto"/>
              </w:rPr>
            </w:pPr>
            <w:r>
              <w:rPr>
                <w:rFonts w:ascii="Times New Roman" w:cs="Times New Roman" w:eastAsia="Times New Roman" w:hAnsi="Times New Roman"/>
                <w:sz w:val="18"/>
                <w:szCs w:val="18"/>
                <w:u w:val="single" w:color="auto"/>
                <w:color w:val="auto"/>
                <w:w w:val="97"/>
              </w:rPr>
              <w:t>A$</w:t>
            </w:r>
            <w:r>
              <w:rPr>
                <w:rFonts w:ascii="Times New Roman" w:cs="Times New Roman" w:eastAsia="Times New Roman" w:hAnsi="Times New Roman"/>
                <w:sz w:val="18"/>
                <w:szCs w:val="18"/>
                <w:color w:val="auto"/>
                <w:w w:val="97"/>
              </w:rPr>
              <w:t>31,348</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17,954</w:t>
            </w:r>
          </w:p>
        </w:tc>
      </w:tr>
      <w:tr>
        <w:trPr>
          <w:trHeight w:val="20"/>
        </w:trPr>
        <w:tc>
          <w:tcPr>
            <w:tcW w:w="6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Expenses</w:t>
      </w:r>
    </w:p>
    <w:p>
      <w:pPr>
        <w:spacing w:after="0" w:line="81" w:lineRule="exact"/>
        <w:rPr>
          <w:sz w:val="20"/>
          <w:szCs w:val="20"/>
          <w:color w:val="auto"/>
        </w:rPr>
      </w:pPr>
    </w:p>
    <w:p>
      <w:pPr>
        <w:jc w:val="both"/>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Patent expenses were A$161 thousand for the year ended June 30, 2019, compared to A$429 thousand for the year ended June 30, 2020. This increase was primarily due to validation work carried out on our European patent application across multiple jurisdictions.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Costs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Intellectual property costs were A$113 thousand for the year ended June 30, 2019, compared to A$114 thousand for the year ended June 30, 2020.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increase was due to fluctuations in exchange rates.</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color w:val="auto"/>
        </w:rPr>
        <w:t>Intellectual property costs for the years ended June 30, 2019 and 2020 consisted of the license and patent assignment costs in respect of our in-license agreements for certain technologies not currently under development and unrelated to our out-licensing arrangements under which we receive sales-based royalties.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Administrative expenses were A$5.2 million for the year ended June 30, 2019, compared to A$7.0 million for the year ended June 30, 2020. This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was primarily due to a A$0.1 million increase in share-based payments, a A$1.3 million increase in professional fees and expenses and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A$0.2 million increase in personnel-related expenses, each resulting from expansion of supporting administrative functions to aid continued research and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development and capital raising activities in the year ended June 30, 2020, as well as a A$0.1 million increase in depreciation expense and a A$0.1 million</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in insurance costs.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Occupancy expenses were A$109 thousand for the year ended June 30, 2019, compared to A$34 thousand for the year ended June 30, 2020. This decrease was primarily due to a reduction in lease rental costs under the lease for our headquarters in Melbourne, Australia of A$77 thousand resulting from the reclassification of lease rental expenses into depreciation of right-of-use assets. This reclassification followed our adoption of accounting treatments required by IFRS 16 “Leases” during the fiscal year ended June 30, 2020.</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Gain (Loss)</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Net foreign exchange differences were a gain of A$363 thousand for the year ended June 30, 2019, compared to a loss of A$401 thousand for the year ended June 30, 2020, primarily as a result of net variances of the exchange rate between the Australian dollar and U.S. dollar on U.S. dollar-denominated cash and cash equivalents, financial assets, financial liabilities and foreign currency denominated transactions.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81"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Income tax benefit was A$14.6 million for the year ended June 30, 2019, compared to A$8.5 million for the years ended June 30, 2020. This decrease was due to lower R&amp;D tax incentive receivable recognized during the year ended June 30, 2020.</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ind w:left="120" w:firstLine="440"/>
        <w:spacing w:after="0" w:line="301" w:lineRule="auto"/>
        <w:rPr>
          <w:sz w:val="20"/>
          <w:szCs w:val="20"/>
          <w:color w:val="auto"/>
        </w:rPr>
      </w:pPr>
      <w:r>
        <w:rPr>
          <w:rFonts w:ascii="Times New Roman" w:cs="Times New Roman" w:eastAsia="Times New Roman" w:hAnsi="Times New Roman"/>
          <w:sz w:val="16"/>
          <w:szCs w:val="16"/>
          <w:color w:val="auto"/>
        </w:rPr>
        <w:t>The liquidity and capital resources discussion that follows contains certain estimates as of the date of this prospectus of our estimated future sources and uses of liquidity (including estimated future capital resources and capital expenditures) and future financial and operating results. These estimates reflect numerous assumptions made by us with respect to industry performance, general business, economic, regulatory, market and financial conditions and other future events, and matters specific to our businesses, all of which are difficult or impossible to predict and many of which are beyond our control.</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81"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Our operations relating to the development of OPT-302 have been financed primarily through the issuance and sale of new ordinary shares totaling A$112.7 million through June 30, 2020. We have also received an aggregate of A$35.1 million in the five fiscal years ended June 30, 2020 under the R&amp;D Tax Incentive Scheme for the funding of the development and clinical trials of OPT-302.</w:t>
      </w:r>
    </w:p>
    <w:p>
      <w:pPr>
        <w:spacing w:after="0" w:line="11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As of June 30, 2020, we had cash and cash equivalents of A$62.0 million to fund the manufacturing of sufficient clinical grade OPT-302 drug product and complete the regulatory and clinical preparation activities to initiate our planned pivotal Phase 3 clinical trials of OPT-302 in combination with anti-VEGF-A therapy for the treatment of wet AMD. As of June 30, 2020, we had an accumulated loss of A$102.6 million.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We believe that the net proceeds from this offering, together with our existing cash and cash equivalents, will enable us to fund our operating and research and development expenses through the third calendar quarter of 2023. We have based this estimate on assumptions that may prove to be wrong, and we could use our capital resources sooner than we currently expect.</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OPT-302 and any future product candidates. In addition, if we obtain marketing approval for OPT-302 or any future product candidates, we expect to incur significant commercialization expenses related to sales, marketing, manufacturing and distribution to the extent that such sales, marketing and distribution are not the responsibility of any future collaborators. Further, following the completion of this offering, we expect to incur additional costs associated with operating as a public company in the United States. Accordingly, we will need to obtain substantial additional funding in connection with our continuing operations.</w:t>
      </w:r>
    </w:p>
    <w:p>
      <w:pPr>
        <w:spacing w:after="0" w:line="1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Until we can generate a sufficient amount of revenue from the sale of approved products, if ever, we expect to finance our operating activities through our existing liquidity, the net proceeds from this offering and future financing activities, including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holder of ADSs. Debt financing, if available, may involve agreements that include covenants limiting or restricting our ability to take specific actions, such as incurring additional debt, making capital expenditures or declaring dividends. If we raise funds through collaborations, strategic alliances or licensing arrangements with third parties, we may have to relinquish valuable rights to our technologies, intellectual property, future revenue streams or product candidates.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 among other things:</w:t>
      </w:r>
    </w:p>
    <w:p>
      <w:pPr>
        <w:spacing w:after="0" w:line="77" w:lineRule="exact"/>
        <w:rPr>
          <w:sz w:val="20"/>
          <w:szCs w:val="20"/>
          <w:color w:val="auto"/>
        </w:rPr>
      </w:pPr>
    </w:p>
    <w:p>
      <w:pPr>
        <w:ind w:left="760" w:right="80" w:hanging="212"/>
        <w:spacing w:after="0" w:line="275"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clinical trials for OPT-302, including our planned pivotal Phase 3 clinical trials of OPT-302 in combination with anti-VEGF-A therapies for the treatment of wet AMD, and any future product candidates we may develop;</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expanding our organization, including our management infrastructure;</w:t>
      </w:r>
    </w:p>
    <w:p>
      <w:pPr>
        <w:spacing w:after="0" w:line="103" w:lineRule="exact"/>
        <w:rPr>
          <w:rFonts w:ascii="Times New Roman" w:cs="Times New Roman" w:eastAsia="Times New Roman" w:hAnsi="Times New Roman"/>
          <w:sz w:val="18"/>
          <w:szCs w:val="18"/>
          <w:color w:val="auto"/>
        </w:rPr>
      </w:pPr>
    </w:p>
    <w:p>
      <w:pPr>
        <w:ind w:left="760" w:right="200" w:hanging="212"/>
        <w:spacing w:after="0" w:line="275"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and maintaining and enforcing patents or defending against claims of infringement raised by third parties;</w:t>
      </w:r>
    </w:p>
    <w:p>
      <w:pPr>
        <w:spacing w:after="0" w:line="25" w:lineRule="exact"/>
        <w:rPr>
          <w:rFonts w:ascii="Times New Roman" w:cs="Times New Roman" w:eastAsia="Times New Roman" w:hAnsi="Times New Roman"/>
          <w:sz w:val="18"/>
          <w:szCs w:val="18"/>
          <w:color w:val="auto"/>
        </w:rPr>
      </w:pPr>
    </w:p>
    <w:p>
      <w:pPr>
        <w:ind w:left="760" w:right="220" w:hanging="212"/>
        <w:spacing w:after="0" w:line="275"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these product candidates;</w:t>
      </w:r>
    </w:p>
    <w:p>
      <w:pPr>
        <w:spacing w:after="0" w:line="25" w:lineRule="exact"/>
        <w:rPr>
          <w:rFonts w:ascii="Times New Roman" w:cs="Times New Roman" w:eastAsia="Times New Roman" w:hAnsi="Times New Roman"/>
          <w:sz w:val="18"/>
          <w:szCs w:val="18"/>
          <w:color w:val="auto"/>
        </w:rPr>
      </w:pPr>
    </w:p>
    <w:p>
      <w:pPr>
        <w:ind w:left="760" w:right="120" w:hanging="212"/>
        <w:spacing w:after="0" w:line="275"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commercialization of OPT-302, together with the costs involved in the creation of a sales and marketing organization;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listed company in both Australia and the United States.</w:t>
      </w:r>
    </w:p>
    <w:p>
      <w:pPr>
        <w:spacing w:after="0" w:line="18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Conducting clinical trials is a time-consuming, expensive and uncertain process that takes many years to complete, and we may never generate the necessary data or results required to obtain marketing approval and achieve product sales. In addition, OPT-302 or any future product candidate, if approved, may not achieve commercial success. Our commercial revenues, if any, will be derived from sales of OPT-302 and any future product candidate that we do not expect to be commercially available for many years, if at all. Accordingly, we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will need to continue to rely on additional financing to achieve our business objectives. Adequate additional financing may not be available to us on acceptable terms, or at all. For more information as to the risks associated with our future funding needs, see “Risk Factors—Risks Related to Our Financial Position and Need for Capital.”</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Year Ended June 30,</w:t>
            </w: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2"/>
                <w:szCs w:val="12"/>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A$(24,185)</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(8,782)</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48,980</w:t>
            </w:r>
          </w:p>
        </w:tc>
      </w:tr>
      <w:tr>
        <w:trPr>
          <w:trHeight w:val="222"/>
        </w:trPr>
        <w:tc>
          <w:tcPr>
            <w:tcW w:w="8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7"/>
              </w:rPr>
              <w:t>A$</w:t>
            </w:r>
            <w:r>
              <w:rPr>
                <w:rFonts w:ascii="Times New Roman" w:cs="Times New Roman" w:eastAsia="Times New Roman" w:hAnsi="Times New Roman"/>
                <w:sz w:val="18"/>
                <w:szCs w:val="18"/>
                <w:color w:val="auto"/>
                <w:w w:val="87"/>
              </w:rPr>
              <w:t xml:space="preserve"> (11,234</w:t>
            </w:r>
          </w:p>
        </w:tc>
        <w:tc>
          <w:tcPr>
            <w:tcW w:w="6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5"/>
              </w:rPr>
              <w:t>A$</w:t>
            </w:r>
            <w:r>
              <w:rPr>
                <w:rFonts w:ascii="Times New Roman" w:cs="Times New Roman" w:eastAsia="Times New Roman" w:hAnsi="Times New Roman"/>
                <w:sz w:val="18"/>
                <w:szCs w:val="18"/>
                <w:color w:val="auto"/>
                <w:w w:val="95"/>
              </w:rPr>
              <w:t>40,674</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81" w:lineRule="exact"/>
        <w:rPr>
          <w:sz w:val="20"/>
          <w:szCs w:val="20"/>
          <w:color w:val="auto"/>
        </w:rPr>
      </w:pPr>
    </w:p>
    <w:p>
      <w:pPr>
        <w:jc w:val="both"/>
        <w:ind w:left="120" w:right="100" w:firstLine="440"/>
        <w:spacing w:after="0" w:line="301" w:lineRule="auto"/>
        <w:rPr>
          <w:sz w:val="20"/>
          <w:szCs w:val="20"/>
          <w:color w:val="auto"/>
        </w:rPr>
      </w:pPr>
      <w:r>
        <w:rPr>
          <w:rFonts w:ascii="Times New Roman" w:cs="Times New Roman" w:eastAsia="Times New Roman" w:hAnsi="Times New Roman"/>
          <w:sz w:val="16"/>
          <w:szCs w:val="16"/>
          <w:color w:val="auto"/>
        </w:rPr>
        <w:t>For the year ended June 30, 2019, net cash used in operating activities was A$24.2 million, attributable to a net loss of A$20.9 million adjusted for A$13.9 million in non-cash items as well as a net cash outflow from changes in operating assets and liabilities of A$1.4 million, partially offset by a R&amp;D tax incentive of A$12.0 million. Non-cash adjustments of A$13.9 million consisted of A$14.6 million in income tax benefit recognized in profit or loss and A$259 thousand in net exchange differences, partially offset by A$967 thousand in share-based payments and A$33 thousand in depreciation expense.</w:t>
      </w:r>
    </w:p>
    <w:p>
      <w:pPr>
        <w:spacing w:after="0" w:line="90" w:lineRule="exact"/>
        <w:rPr>
          <w:sz w:val="20"/>
          <w:szCs w:val="20"/>
          <w:color w:val="auto"/>
        </w:rPr>
      </w:pPr>
    </w:p>
    <w:p>
      <w:pPr>
        <w:ind w:left="120" w:right="160" w:firstLine="440"/>
        <w:spacing w:after="0" w:line="301" w:lineRule="auto"/>
        <w:rPr>
          <w:sz w:val="20"/>
          <w:szCs w:val="20"/>
          <w:color w:val="auto"/>
        </w:rPr>
      </w:pPr>
      <w:r>
        <w:rPr>
          <w:rFonts w:ascii="Times New Roman" w:cs="Times New Roman" w:eastAsia="Times New Roman" w:hAnsi="Times New Roman"/>
          <w:sz w:val="16"/>
          <w:szCs w:val="16"/>
          <w:color w:val="auto"/>
        </w:rPr>
        <w:t>For the year ended June 30, 2020, net cash used in operating activities was A$8.8 million, attributable to a net loss of A$16.5 million adjusted for A$6.9 million in non-cash items as well as a net cash flow from changes in operating assets and liabilities of A$18 thousand, partially offset by a R&amp;D tax incentive of A$14.6 million. Non-cash adjustments of A$6.9 million consisted of A$8.5 million in income tax benefit recognized in profit or loss and A$401 thousand in net exchange differences, partially offset by A$1.1 million in share-based payments and A$144 thousand in depreciation expense.</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81" w:lineRule="exact"/>
        <w:rPr>
          <w:sz w:val="20"/>
          <w:szCs w:val="20"/>
          <w:color w:val="auto"/>
        </w:rPr>
      </w:pPr>
    </w:p>
    <w:p>
      <w:pPr>
        <w:ind w:left="120" w:right="420" w:firstLine="440"/>
        <w:spacing w:after="0" w:line="258" w:lineRule="auto"/>
        <w:rPr>
          <w:sz w:val="20"/>
          <w:szCs w:val="20"/>
          <w:color w:val="auto"/>
        </w:rPr>
      </w:pPr>
      <w:r>
        <w:rPr>
          <w:rFonts w:ascii="Times New Roman" w:cs="Times New Roman" w:eastAsia="Times New Roman" w:hAnsi="Times New Roman"/>
          <w:sz w:val="18"/>
          <w:szCs w:val="18"/>
          <w:color w:val="auto"/>
        </w:rPr>
        <w:t>For the years ended June 30, 2019 and 2020, net cash provided by investing activities was A$321 thousand and A$476 thousand, respectively, attributable to A$339 thousand and A$482 thousand, respectively, in cash received on disposal of our financial asset of shares and options in Antisense Therapeutics Ltd., an ASX-listed company, offset by cash payments of A$18 thousand and A$7 thousand, respectively, for the purchase of computer equipment.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81" w:lineRule="exact"/>
        <w:rPr>
          <w:sz w:val="20"/>
          <w:szCs w:val="20"/>
          <w:color w:val="auto"/>
        </w:rPr>
      </w:pPr>
    </w:p>
    <w:p>
      <w:pPr>
        <w:ind w:left="120" w:right="480" w:firstLine="440"/>
        <w:spacing w:after="0" w:line="275" w:lineRule="auto"/>
        <w:rPr>
          <w:sz w:val="20"/>
          <w:szCs w:val="20"/>
          <w:color w:val="auto"/>
        </w:rPr>
      </w:pPr>
      <w:r>
        <w:rPr>
          <w:rFonts w:ascii="Times New Roman" w:cs="Times New Roman" w:eastAsia="Times New Roman" w:hAnsi="Times New Roman"/>
          <w:sz w:val="18"/>
          <w:szCs w:val="18"/>
          <w:color w:val="auto"/>
        </w:rPr>
        <w:t>For the year ended June 30, 2019, net cash provided by financing activities was A$12.6 million from the issuance of new ordinary shares on the exercise of options previously issued in connection with a capital raise.</w:t>
      </w:r>
    </w:p>
    <w:p>
      <w:pPr>
        <w:spacing w:after="0" w:line="106" w:lineRule="exact"/>
        <w:rPr>
          <w:sz w:val="20"/>
          <w:szCs w:val="20"/>
          <w:color w:val="auto"/>
        </w:rPr>
      </w:pPr>
    </w:p>
    <w:p>
      <w:pPr>
        <w:ind w:left="120" w:right="300" w:firstLine="440"/>
        <w:spacing w:after="0" w:line="310" w:lineRule="auto"/>
        <w:rPr>
          <w:sz w:val="20"/>
          <w:szCs w:val="20"/>
          <w:color w:val="auto"/>
        </w:rPr>
      </w:pPr>
      <w:r>
        <w:rPr>
          <w:rFonts w:ascii="Times New Roman" w:cs="Times New Roman" w:eastAsia="Times New Roman" w:hAnsi="Times New Roman"/>
          <w:sz w:val="16"/>
          <w:szCs w:val="16"/>
          <w:color w:val="auto"/>
        </w:rPr>
        <w:t>For the year ended June 30, 2020, net cash provided by financing activities was A$49.0 million, attributable to A$420 thousand received on the exercise of options granted to employees and A$48.7 million from the issuance of new ordinary shares in a private placement to institutional investors in Australia and the United Kingdom. Net cash provided by financing activities also included A$100 thousand in respect of the payment of lease liabilities.</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2020:</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12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10"/>
                <w:szCs w:val="10"/>
                <w:color w:val="auto"/>
              </w:rPr>
            </w:pPr>
          </w:p>
        </w:tc>
      </w:tr>
      <w:tr>
        <w:trPr>
          <w:trHeight w:val="165"/>
        </w:trPr>
        <w:tc>
          <w:tcPr>
            <w:tcW w:w="1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8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54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w w:val="97"/>
              </w:rPr>
              <w:t>1-3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3-5 Years</w:t>
            </w:r>
          </w:p>
        </w:tc>
        <w:tc>
          <w:tcPr>
            <w:tcW w:w="58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5 Years</w:t>
            </w:r>
          </w:p>
        </w:tc>
      </w:tr>
      <w:tr>
        <w:trPr>
          <w:trHeight w:val="142"/>
        </w:trPr>
        <w:tc>
          <w:tcPr>
            <w:tcW w:w="1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right"/>
              <w:ind w:right="48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2020</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11"/>
                <w:szCs w:val="11"/>
                <w:color w:val="auto"/>
              </w:rPr>
              <w:t>(1)</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6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11"/>
                <w:szCs w:val="11"/>
                <w:color w:val="auto"/>
              </w:rPr>
              <w:t>(2)</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8,285</w:t>
            </w:r>
          </w:p>
        </w:tc>
        <w:tc>
          <w:tcPr>
            <w:tcW w:w="16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340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 agreements</w:t>
            </w:r>
            <w:r>
              <w:rPr>
                <w:rFonts w:ascii="Times New Roman" w:cs="Times New Roman" w:eastAsia="Times New Roman" w:hAnsi="Times New Roman"/>
                <w:sz w:val="11"/>
                <w:szCs w:val="11"/>
                <w:color w:val="auto"/>
              </w:rPr>
              <w:t>(3)</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1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A$</w:t>
            </w:r>
            <w:r>
              <w:rPr>
                <w:rFonts w:ascii="Times New Roman" w:cs="Times New Roman" w:eastAsia="Times New Roman" w:hAnsi="Times New Roman"/>
                <w:sz w:val="18"/>
                <w:szCs w:val="18"/>
                <w:color w:val="auto"/>
                <w:w w:val="95"/>
              </w:rPr>
              <w:t>8,867</w:t>
            </w:r>
          </w:p>
        </w:tc>
        <w:tc>
          <w:tcPr>
            <w:tcW w:w="1260" w:type="dxa"/>
            <w:vAlign w:val="bottom"/>
            <w:gridSpan w:val="3"/>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u w:val="single" w:color="auto"/>
                <w:color w:val="auto"/>
                <w:w w:val="98"/>
              </w:rPr>
              <w:t>A</w:t>
            </w:r>
            <w:r>
              <w:rPr>
                <w:rFonts w:ascii="Times New Roman" w:cs="Times New Roman" w:eastAsia="Times New Roman" w:hAnsi="Times New Roman"/>
                <w:sz w:val="18"/>
                <w:szCs w:val="18"/>
                <w:color w:val="auto"/>
                <w:w w:val="98"/>
              </w:rPr>
              <w:t>$ 8,314</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u w:val="single" w:color="auto"/>
                <w:color w:val="auto"/>
                <w:w w:val="97"/>
              </w:rPr>
              <w:t>A</w:t>
            </w:r>
            <w:r>
              <w:rPr>
                <w:rFonts w:ascii="Times New Roman" w:cs="Times New Roman" w:eastAsia="Times New Roman" w:hAnsi="Times New Roman"/>
                <w:sz w:val="18"/>
                <w:szCs w:val="18"/>
                <w:color w:val="auto"/>
                <w:w w:val="97"/>
              </w:rPr>
              <w:t>$ 444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A</w:t>
            </w:r>
            <w:r>
              <w:rPr>
                <w:rFonts w:ascii="Times New Roman" w:cs="Times New Roman" w:eastAsia="Times New Roman" w:hAnsi="Times New Roman"/>
                <w:sz w:val="18"/>
                <w:szCs w:val="18"/>
                <w:color w:val="auto"/>
                <w:w w:val="98"/>
              </w:rPr>
              <w:t>$ —</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109</w:t>
            </w:r>
          </w:p>
        </w:tc>
      </w:tr>
      <w:tr>
        <w:trPr>
          <w:trHeight w:val="20"/>
        </w:trPr>
        <w:tc>
          <w:tcPr>
            <w:tcW w:w="1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22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3" w:lineRule="exact"/>
        <w:rPr>
          <w:sz w:val="20"/>
          <w:szCs w:val="20"/>
          <w:color w:val="auto"/>
        </w:rPr>
      </w:pPr>
    </w:p>
    <w:p>
      <w:pPr>
        <w:ind w:left="540" w:right="160" w:hanging="424"/>
        <w:spacing w:after="0" w:line="257"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payments due for low value leases of office equipment not included in our consolidated financial statements appearing elsewhere in this prospectus.</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consist of purchase obligations of OPT-302 drug product under our manufacturing services agreement with Patheon Biologics Company Australia Pty Ltd. and Patheon Biologics Company B.V.</w:t>
      </w:r>
    </w:p>
    <w:p>
      <w:pPr>
        <w:ind w:left="540" w:right="140" w:hanging="424"/>
        <w:spacing w:after="0" w:line="26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payments due under in-license agreements with the Schepens Eye Research Institute and the University of Siena for technologies not currently under development and unrelated to our out-licensing arrangements under which we receive sales-based royalties.</w:t>
      </w:r>
    </w:p>
    <w:p>
      <w:pPr>
        <w:spacing w:after="0" w:line="120"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19" w:lineRule="exact"/>
        <w:rPr>
          <w:sz w:val="20"/>
          <w:szCs w:val="20"/>
          <w:color w:val="auto"/>
        </w:rPr>
      </w:pPr>
    </w:p>
    <w:p>
      <w:pPr>
        <w:ind w:left="120" w:right="200" w:firstLine="440"/>
        <w:spacing w:after="0" w:line="339" w:lineRule="auto"/>
        <w:rPr>
          <w:sz w:val="20"/>
          <w:szCs w:val="20"/>
          <w:color w:val="auto"/>
        </w:rPr>
      </w:pPr>
      <w:r>
        <w:rPr>
          <w:rFonts w:ascii="Times New Roman" w:cs="Times New Roman" w:eastAsia="Times New Roman" w:hAnsi="Times New Roman"/>
          <w:sz w:val="16"/>
          <w:szCs w:val="16"/>
          <w:color w:val="auto"/>
        </w:rPr>
        <w:t>We enter into agreements in the normal course of business with contract research organizations for clinical trials and with vendors for other services and products for operating purposes which are cancelable at any time by us. These payments are not included in this table of contractual obligations.</w:t>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License Agreement with Selexis SA</w:t>
      </w:r>
    </w:p>
    <w:p>
      <w:pPr>
        <w:spacing w:after="0" w:line="81" w:lineRule="exact"/>
        <w:rPr>
          <w:sz w:val="20"/>
          <w:szCs w:val="20"/>
          <w:color w:val="auto"/>
        </w:rPr>
      </w:pPr>
    </w:p>
    <w:p>
      <w:pPr>
        <w:ind w:left="120" w:right="20" w:firstLine="440"/>
        <w:spacing w:after="0" w:line="310" w:lineRule="auto"/>
        <w:rPr>
          <w:sz w:val="20"/>
          <w:szCs w:val="20"/>
          <w:color w:val="auto"/>
        </w:rPr>
      </w:pPr>
      <w:r>
        <w:rPr>
          <w:rFonts w:ascii="Times New Roman" w:cs="Times New Roman" w:eastAsia="Times New Roman" w:hAnsi="Times New Roman"/>
          <w:sz w:val="16"/>
          <w:szCs w:val="16"/>
          <w:color w:val="auto"/>
        </w:rPr>
        <w:t>In October 2013, we entered into a commercial license agreement, or the Selexis Agreement, with Selexis SA, or Selexis, under which Selexis granted us a non-exclusive, worldwide, sublicensable license under certain patents, know-how and other intellectual property controlled by Selexis to use certain cell lines, deliverables and materials provided by Selexis to manufacture OPT-302 and related products and to use, sell and otherwise exploit such products.</w:t>
      </w:r>
    </w:p>
    <w:p>
      <w:pPr>
        <w:spacing w:after="0" w:line="8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paid Selexis a nominal upfront payment upon entering into the Selexis Agreement. We are also required to make certain payments under the Selexis Agreement totaling approximately US$1.3 million upon the achievement of certain development and commercial milestones. We are also obligated to pay a low single-digit running royalty on worldwide net sales of the licensed products. Our royalty obligations will continue, on a product-by-product and country-by-country basis, until the expiration of the relevant patents, but will not extend beyond October 2024 in any event. After the expiration of the royalty term, our license will continue and become full paid, perpetual and irrevocable.</w:t>
      </w:r>
    </w:p>
    <w:p>
      <w:pPr>
        <w:spacing w:after="0" w:line="125" w:lineRule="exact"/>
        <w:rPr>
          <w:sz w:val="20"/>
          <w:szCs w:val="20"/>
          <w:color w:val="auto"/>
        </w:rPr>
      </w:pPr>
    </w:p>
    <w:p>
      <w:pPr>
        <w:ind w:left="120" w:right="480" w:firstLine="440"/>
        <w:spacing w:after="0" w:line="262" w:lineRule="auto"/>
        <w:rPr>
          <w:sz w:val="20"/>
          <w:szCs w:val="20"/>
          <w:color w:val="auto"/>
        </w:rPr>
      </w:pPr>
      <w:r>
        <w:rPr>
          <w:rFonts w:ascii="Times New Roman" w:cs="Times New Roman" w:eastAsia="Times New Roman" w:hAnsi="Times New Roman"/>
          <w:sz w:val="18"/>
          <w:szCs w:val="18"/>
          <w:color w:val="auto"/>
        </w:rPr>
        <w:t>The Selexis Agreement will expire on the date of expiration of the last-to-expire of the license patents. Either party may terminate the Selexis Agreement for the other party’s uncured material breach or bankruptcy. We may also terminate the Selexis Agreement at any time upon prior notice to Selexis.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79" w:lineRule="exact"/>
        <w:rPr>
          <w:sz w:val="20"/>
          <w:szCs w:val="20"/>
          <w:color w:val="auto"/>
        </w:rPr>
      </w:pPr>
    </w:p>
    <w:p>
      <w:pPr>
        <w:ind w:left="120" w:right="280" w:firstLine="440"/>
        <w:spacing w:after="0" w:line="275" w:lineRule="auto"/>
        <w:rPr>
          <w:sz w:val="20"/>
          <w:szCs w:val="20"/>
          <w:color w:val="auto"/>
        </w:rPr>
      </w:pPr>
      <w:r>
        <w:rPr>
          <w:rFonts w:ascii="Times New Roman" w:cs="Times New Roman" w:eastAsia="Times New Roman" w:hAnsi="Times New Roman"/>
          <w:sz w:val="18"/>
          <w:szCs w:val="18"/>
          <w:color w:val="auto"/>
        </w:rPr>
        <w:t>During the periods presented, we did not, and we do not currently, engage in off-balance sheet financing arrangements as defined under SEC rules, such as relationships with other entities or financial partnerships,</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380"/>
        <w:spacing w:after="0" w:line="262" w:lineRule="auto"/>
        <w:rPr>
          <w:sz w:val="20"/>
          <w:szCs w:val="20"/>
          <w:color w:val="auto"/>
        </w:rPr>
      </w:pPr>
      <w:r>
        <w:rPr>
          <w:rFonts w:ascii="Times New Roman" w:cs="Times New Roman" w:eastAsia="Times New Roman" w:hAnsi="Times New Roman"/>
          <w:sz w:val="18"/>
          <w:szCs w:val="18"/>
          <w:color w:val="auto"/>
        </w:rPr>
        <w:t>which are often referred to as structured finance or special purpose entities, established for the purpose of facilitating financing transactions that are not required to be reflected on our consolidated statement of financial position. In addition, we do not engage in trading activities involving non-exchange traded contracts.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3 to our consolidated financial statements appearing elsewhere in this prospectus for a description of our other significant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81"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The majority of our expenditures is incurred as a result of our clinical trials for OPT-302. During the years ended June 30, 2019 and 2020, we completed a Phase 2b clinical trial of OPT-302 combination therapy for the treatment of wet AMD. During the years ended June 30, 2019 and 2020, we progressed a Phase 1b/2a clinical trial of OPT-302 combination therapy for the treatment of DME. A key measure of our performance is the level of expenditures incurred on the research and development of OPT-302.</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Judgement is required in relation to:</w:t>
      </w:r>
    </w:p>
    <w:p>
      <w:pPr>
        <w:spacing w:after="0" w:line="77" w:lineRule="exact"/>
        <w:rPr>
          <w:sz w:val="20"/>
          <w:szCs w:val="20"/>
          <w:color w:val="auto"/>
        </w:rPr>
      </w:pPr>
    </w:p>
    <w:p>
      <w:pPr>
        <w:ind w:left="760" w:hanging="212"/>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expenses in the income statement between research and development costs and operating expenses; and</w:t>
      </w:r>
    </w:p>
    <w:p>
      <w:pPr>
        <w:spacing w:after="0" w:line="103"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costs relate to research or development, and consequently if they meet the capitalization criteria under International Accounting Standards, or IAS, 38 “Intangible Assets.”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have determined that we are still in a research phase, and accordingly, no development costs have been capitalized as of June 30, 2019 or June 30,</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Transactions</w:t>
      </w:r>
    </w:p>
    <w:p>
      <w:pPr>
        <w:spacing w:after="0" w:line="8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provide benefits to our directors and employees (including key management personnel) in the form of share-based payments, whereby employees render services in exchange for ordinary shares or rights over ordinary shares (equity-settled transactions). The cost of these equity-settled transactions with employees is measured by reference to the fair value at the date at which they are granted. Binomial models are used to value the options issued, with key assumptions being the listed price per ordinary share on the grant date, the option exercise price, expected volatility of the underlying ordinary shares based on the historical share price volatility and the risk-free interest rate.</w:t>
      </w:r>
    </w:p>
    <w:p>
      <w:pPr>
        <w:spacing w:after="0" w:line="1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cost of the equity-settled transactions is recognized, together with a corresponding increase in equity, over the period in which the performance conditions are fulfilled (the vesting period), ending on the date on which the relevant employees become fully entitled to the award (the vesting date). The charge to profit or loss for the period is the cumulative amount less the amounts already charged in previous periods. There is a corresponding credit to equity.</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Until an award has vested, any amounts recorded are contingent and will be adjusted if more or fewer awards vest than were originally anticipated to</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 so.</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Tax—Research and Development Tax Incentive</w:t>
      </w:r>
    </w:p>
    <w:p>
      <w:pPr>
        <w:spacing w:after="0" w:line="8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R&amp;D Tax Incentive Scheme is an Australian Federal Government program under which eligible companies with annual aggregated revenue of less than A$20 million can receive cash amounts equal to 43.5% of eligible research and development expenditures from the ATO. The R&amp;D Tax Incentive Scheme incentive relates to eligible expenditures incurred in Australia and, under certain circumstances, overseas on the development of our lead candidate OPT-302. The R&amp;D tax incentive is applied annually to eligible expenditures incurred during our financial year following an annual application and subsequent filing of our income tax return after the financial year end.</w:t>
      </w:r>
    </w:p>
    <w:p>
      <w:pPr>
        <w:spacing w:after="0" w:line="125" w:lineRule="exact"/>
        <w:rPr>
          <w:sz w:val="20"/>
          <w:szCs w:val="20"/>
          <w:color w:val="auto"/>
        </w:rPr>
      </w:pPr>
    </w:p>
    <w:p>
      <w:pPr>
        <w:ind w:left="120" w:right="600" w:firstLine="440"/>
        <w:spacing w:after="0" w:line="275" w:lineRule="auto"/>
        <w:rPr>
          <w:sz w:val="20"/>
          <w:szCs w:val="20"/>
          <w:color w:val="auto"/>
        </w:rPr>
      </w:pPr>
      <w:r>
        <w:rPr>
          <w:rFonts w:ascii="Times New Roman" w:cs="Times New Roman" w:eastAsia="Times New Roman" w:hAnsi="Times New Roman"/>
          <w:sz w:val="18"/>
          <w:szCs w:val="18"/>
          <w:color w:val="auto"/>
        </w:rPr>
        <w:t>We estimate the amount of R&amp;D tax incentive after the completion of the financial year based on eligible Australia and overseas expenditures incurred during that year.</w:t>
      </w:r>
    </w:p>
    <w:p>
      <w:pPr>
        <w:spacing w:after="0" w:line="106" w:lineRule="exact"/>
        <w:rPr>
          <w:sz w:val="20"/>
          <w:szCs w:val="20"/>
          <w:color w:val="auto"/>
        </w:rPr>
      </w:pPr>
    </w:p>
    <w:p>
      <w:pPr>
        <w:ind w:left="120" w:right="320" w:firstLine="440"/>
        <w:spacing w:after="0" w:line="275" w:lineRule="auto"/>
        <w:rPr>
          <w:sz w:val="20"/>
          <w:szCs w:val="20"/>
          <w:color w:val="auto"/>
        </w:rPr>
      </w:pPr>
      <w:r>
        <w:rPr>
          <w:rFonts w:ascii="Times New Roman" w:cs="Times New Roman" w:eastAsia="Times New Roman" w:hAnsi="Times New Roman"/>
          <w:sz w:val="18"/>
          <w:szCs w:val="18"/>
          <w:color w:val="auto"/>
        </w:rPr>
        <w:t>We have presented incentives in respect of the R&amp;D Tax Incentive Scheme within income tax benefit in the Statement of Profit or Loss and Other Comprehensive Income by analogizing with IAS 12 “Income Taxes.”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Judgment is required as to the eligibility for the R&amp;D tax incentive in respect of:</w:t>
      </w:r>
    </w:p>
    <w:p>
      <w:pPr>
        <w:spacing w:after="0" w:line="77" w:lineRule="exact"/>
        <w:rPr>
          <w:sz w:val="20"/>
          <w:szCs w:val="20"/>
          <w:color w:val="auto"/>
        </w:rPr>
      </w:pPr>
    </w:p>
    <w:p>
      <w:pPr>
        <w:ind w:left="760" w:hanging="212"/>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claims and its continued compliance under the scheme;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and other supporting costs previously approved by Australian tax authorities;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amounts, timing and geographical location of future costs related to the projects for which applications have been approved to date; and</w:t>
      </w:r>
    </w:p>
    <w:p>
      <w:pPr>
        <w:spacing w:after="0" w:line="126" w:lineRule="exact"/>
        <w:rPr>
          <w:rFonts w:ascii="Times New Roman" w:cs="Times New Roman" w:eastAsia="Times New Roman" w:hAnsi="Times New Roman"/>
          <w:sz w:val="16"/>
          <w:szCs w:val="16"/>
          <w:color w:val="auto"/>
        </w:rPr>
      </w:pPr>
    </w:p>
    <w:p>
      <w:pPr>
        <w:ind w:left="760" w:right="360" w:hanging="212"/>
        <w:spacing w:after="0" w:line="275"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whether expenditure on projects for which approval has been given by Australian tax authorities relate to Australian or overseas expenditure.</w:t>
      </w:r>
    </w:p>
    <w:p>
      <w:pPr>
        <w:spacing w:after="0" w:line="10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the years ended June 30, 2019 and 2020, we have recognized an R&amp;D tax incentive receivable of A$14.6 million and $8.5 million, respectively within our consolidated statement of financial position with a corresponding amount recognized within income tax benefit within the consolidated statement of profit or loss and other comprehensive income. The R&amp;D tax incentive receivable as at June 30, 2020 is based on the legislation as currently enacted as at June 30, 2020. Any proposed changes to the legislation, such as rate changes to the eligibility requirements, may have a retrospective impact if the legislation is passed in its currently proposed form.</w:t>
      </w:r>
    </w:p>
    <w:p>
      <w:pPr>
        <w:spacing w:after="0" w:line="1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Investment tax credits such as the R&amp;D tax incentive are outside of the scope of IAS 12 “Income Taxes” and IAS 20 “Accounting for Government Grants and Disclosure of Government Assistance.” Based on the guidance in IAS 8 “Accounting Policies, Changes in Accounting Estimates and Errors,” companies need to make an accounting policy choice on how to present these incentives, which in practice is done by either analogizing with IAS 12 or with IAS 20. We have determined that the R&amp;D tax incentive should be presented by analogizing to IAS 12 because the nature of the incentive is considered to be more closely aligned to income taxes, based on the following considerations:</w:t>
      </w:r>
    </w:p>
    <w:p>
      <w:pPr>
        <w:spacing w:after="0" w:line="44" w:lineRule="exact"/>
        <w:rPr>
          <w:sz w:val="20"/>
          <w:szCs w:val="20"/>
          <w:color w:val="auto"/>
        </w:rPr>
      </w:pPr>
    </w:p>
    <w:p>
      <w:pPr>
        <w:ind w:left="760" w:right="20" w:hanging="212"/>
        <w:spacing w:after="0" w:line="258"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R&amp;D tax incentive is considered an income tax offset which will be offset against our tax obligation if and when we return to a net tax payable position. In addition, while we are currently eligible to receive cash payments under the Scheme since our consolidated revenue is currently below A$20 million, if and when we generate revenue in excess of A$20 million, the R&amp;D tax incentive will become non-refundable and can only be offset against any future income tax payable by us.</w:t>
      </w:r>
    </w:p>
    <w:p>
      <w:pPr>
        <w:spacing w:after="0" w:line="41"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which is the tax authority in Australia, manages the annual claims process as the R&amp;D tax incentive is included in our annual income tax return.</w:t>
      </w:r>
    </w:p>
    <w:p>
      <w:pPr>
        <w:spacing w:after="0" w:line="25" w:lineRule="exact"/>
        <w:rPr>
          <w:rFonts w:ascii="Times New Roman" w:cs="Times New Roman" w:eastAsia="Times New Roman" w:hAnsi="Times New Roman"/>
          <w:sz w:val="18"/>
          <w:szCs w:val="18"/>
          <w:color w:val="auto"/>
        </w:rPr>
      </w:pPr>
    </w:p>
    <w:p>
      <w:pPr>
        <w:ind w:left="760" w:right="620" w:hanging="212"/>
        <w:spacing w:after="0" w:line="275"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is also responsible for making the R&amp;D tax incentive cash payment if a company is eligible for a cash refund under the program, oversees compliance with the requirements of the R&amp;D tax incentive scheme and performs pre-issuance reviews.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Amendments to Accounting Standards that are Mandatorily Effective for the Current Year</w:t>
      </w:r>
    </w:p>
    <w:p>
      <w:pPr>
        <w:spacing w:after="0" w:line="81"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We have adopted all of the new and revised Standards and Interpretations issued by the IASB that are relevant to our operations and effective for the current year.</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and revised Standards and amendments thereof and Interpretations effective for the current year that are relevant to us include:</w:t>
      </w:r>
    </w:p>
    <w:p>
      <w:pPr>
        <w:spacing w:after="0" w:line="77" w:lineRule="exact"/>
        <w:rPr>
          <w:sz w:val="20"/>
          <w:szCs w:val="20"/>
          <w:color w:val="auto"/>
        </w:rPr>
      </w:pPr>
    </w:p>
    <w:p>
      <w:pPr>
        <w:ind w:left="760" w:hanging="212"/>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16 “Leases”;</w:t>
      </w:r>
    </w:p>
    <w:p>
      <w:pPr>
        <w:spacing w:after="0" w:line="103" w:lineRule="exact"/>
        <w:rPr>
          <w:rFonts w:ascii="Times New Roman" w:cs="Times New Roman" w:eastAsia="Times New Roman" w:hAnsi="Times New Roman"/>
          <w:sz w:val="18"/>
          <w:szCs w:val="18"/>
          <w:color w:val="auto"/>
        </w:rPr>
      </w:pPr>
    </w:p>
    <w:p>
      <w:pPr>
        <w:ind w:left="760" w:right="20" w:hanging="212"/>
        <w:spacing w:after="0" w:line="275"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Improvements to IFRS Standards 2015–2017 Cycle Amendments to IFRS 3 “Business Combinations”, IFRS 11 “Joint Arrangements”, IAS 12 “Income Taxes” and IAS 23 “Borrowing Costs”;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IFRIC 23 “Uncertainty over Income Tax Treatments”.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IFRS 16 Leases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current year, we applied IFRS 16 Leases, which is effective for annual periods that begin on or after January 1, 2019.</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IFRS 16 introduces new or amended requirements with respect to lease accounting. It introduces significant changes to lessee accounting by removing the distinction between operating and finance leases and requiring the recognition of a right-of-use asset and a lease liability at commencement for all leases, except for short-term leases and leases of low value assets. Details of these new requirements are described in note 3 to our consolidated financial statements appearing elsewhere in this prospectus.</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date of initial application of IFRS 16 for us is July 1, 2019. We have applied IFRS 16 using the cumulative catch-up approach which:</w:t>
      </w:r>
    </w:p>
    <w:p>
      <w:pPr>
        <w:spacing w:after="0" w:line="77" w:lineRule="exact"/>
        <w:rPr>
          <w:sz w:val="20"/>
          <w:szCs w:val="20"/>
          <w:color w:val="auto"/>
        </w:rPr>
      </w:pPr>
    </w:p>
    <w:p>
      <w:pPr>
        <w:ind w:left="760" w:right="60" w:hanging="212"/>
        <w:spacing w:after="0" w:line="275"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recognize the cumulative effect of initially applying IFRS 16 as an adjustment to the opening balance of retained earnings at the date of initial application; and</w:t>
      </w:r>
    </w:p>
    <w:p>
      <w:pPr>
        <w:spacing w:after="0" w:line="25" w:lineRule="exact"/>
        <w:rPr>
          <w:rFonts w:ascii="Times New Roman" w:cs="Times New Roman" w:eastAsia="Times New Roman" w:hAnsi="Times New Roman"/>
          <w:sz w:val="18"/>
          <w:szCs w:val="18"/>
          <w:color w:val="auto"/>
        </w:rPr>
      </w:pPr>
    </w:p>
    <w:p>
      <w:pPr>
        <w:ind w:left="760" w:right="580" w:hanging="212"/>
        <w:spacing w:after="0" w:line="275"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permit restatement of comparatives, which continue to be presented under IAS 17 “Leases” and IFRIC 4 “Determining whether an Arrangement Contains a Lease.”</w:t>
      </w:r>
    </w:p>
    <w:p>
      <w:pPr>
        <w:spacing w:after="0" w:line="106" w:lineRule="exact"/>
        <w:rPr>
          <w:sz w:val="20"/>
          <w:szCs w:val="20"/>
          <w:color w:val="auto"/>
        </w:rPr>
      </w:pPr>
    </w:p>
    <w:p>
      <w:pPr>
        <w:ind w:left="120" w:right="140" w:firstLine="440"/>
        <w:spacing w:after="0" w:line="339" w:lineRule="auto"/>
        <w:rPr>
          <w:sz w:val="20"/>
          <w:szCs w:val="20"/>
          <w:color w:val="auto"/>
        </w:rPr>
      </w:pPr>
      <w:r>
        <w:rPr>
          <w:rFonts w:ascii="Times New Roman" w:cs="Times New Roman" w:eastAsia="Times New Roman" w:hAnsi="Times New Roman"/>
          <w:sz w:val="16"/>
          <w:szCs w:val="16"/>
          <w:color w:val="auto"/>
        </w:rPr>
        <w:t>We have made use of the practical expedient available on transition to IFRS 16 to not reassess whether a contract is or contains a lease. Accordingly, the definition of a lease in accordance with IAS 17 and IFRIC 4 will continue to be applied to those leases entered or changed before July 1, 2019.</w:t>
      </w:r>
    </w:p>
    <w:p>
      <w:pPr>
        <w:spacing w:after="0" w:line="6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The change in definition of a lease mainly relates to the concept of control. IFRS 16 determines whether a contract contains a lease on the basis of whether the customer has the right to control the use of an identified asset for a period of time in exchange for consideration. This is in contrast to the focus on “risks and rewards” in IAS 17 and IFRIC 4.</w:t>
      </w:r>
    </w:p>
    <w:p>
      <w:pPr>
        <w:spacing w:after="0" w:line="115" w:lineRule="exact"/>
        <w:rPr>
          <w:sz w:val="20"/>
          <w:szCs w:val="20"/>
          <w:color w:val="auto"/>
        </w:rPr>
      </w:pPr>
    </w:p>
    <w:p>
      <w:pPr>
        <w:jc w:val="right"/>
        <w:ind w:right="8720"/>
        <w:spacing w:after="0"/>
        <w:rPr>
          <w:sz w:val="20"/>
          <w:szCs w:val="20"/>
          <w:color w:val="auto"/>
        </w:rPr>
      </w:pPr>
      <w:r>
        <w:rPr>
          <w:rFonts w:ascii="Times New Roman" w:cs="Times New Roman" w:eastAsia="Times New Roman" w:hAnsi="Times New Roman"/>
          <w:sz w:val="18"/>
          <w:szCs w:val="18"/>
          <w:b w:val="1"/>
          <w:bCs w:val="1"/>
          <w:i w:val="1"/>
          <w:iCs w:val="1"/>
          <w:color w:val="auto"/>
        </w:rPr>
        <w:t>Impact on Lease Accounting</w:t>
      </w:r>
    </w:p>
    <w:p>
      <w:pPr>
        <w:spacing w:after="0" w:line="79" w:lineRule="exact"/>
        <w:rPr>
          <w:sz w:val="20"/>
          <w:szCs w:val="20"/>
          <w:color w:val="auto"/>
        </w:rPr>
      </w:pPr>
    </w:p>
    <w:p>
      <w:pPr>
        <w:jc w:val="right"/>
        <w:ind w:right="8760"/>
        <w:spacing w:after="0"/>
        <w:rPr>
          <w:sz w:val="20"/>
          <w:szCs w:val="20"/>
          <w:color w:val="auto"/>
        </w:rPr>
      </w:pPr>
      <w:r>
        <w:rPr>
          <w:rFonts w:ascii="Times New Roman" w:cs="Times New Roman" w:eastAsia="Times New Roman" w:hAnsi="Times New Roman"/>
          <w:sz w:val="18"/>
          <w:szCs w:val="18"/>
          <w:i w:val="1"/>
          <w:iCs w:val="1"/>
          <w:color w:val="auto"/>
        </w:rPr>
        <w:t>Former Operating Leases</w:t>
      </w:r>
    </w:p>
    <w:p>
      <w:pPr>
        <w:spacing w:after="0" w:line="79"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8"/>
          <w:szCs w:val="18"/>
          <w:color w:val="auto"/>
        </w:rPr>
        <w:t>IFRS 16 changes how we account for leases previously classified as operating leases under IAS 17, which operating lease payments were recognized as an expense in profit or loss on a straight-line basis over the lease term.</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Applying IFRS 16, for all leases (except as noted below), we have:</w:t>
      </w:r>
    </w:p>
    <w:p>
      <w:pPr>
        <w:spacing w:after="0" w:line="77" w:lineRule="exact"/>
        <w:rPr>
          <w:sz w:val="20"/>
          <w:szCs w:val="20"/>
          <w:color w:val="auto"/>
        </w:rPr>
      </w:pPr>
    </w:p>
    <w:p>
      <w:pPr>
        <w:ind w:left="760" w:right="180" w:hanging="212"/>
        <w:spacing w:after="0" w:line="275"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right-of-use assets and lease liabilities in the consolidated statement of financial position, initially measured at the present value of the future lease payments;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depreciation of right-of-use assets and interest on lease liabilities in profit or loss; and</w:t>
      </w:r>
    </w:p>
    <w:p>
      <w:pPr>
        <w:spacing w:after="0" w:line="103" w:lineRule="exact"/>
        <w:rPr>
          <w:rFonts w:ascii="Times New Roman" w:cs="Times New Roman" w:eastAsia="Times New Roman" w:hAnsi="Times New Roman"/>
          <w:sz w:val="18"/>
          <w:szCs w:val="18"/>
          <w:color w:val="auto"/>
        </w:rPr>
      </w:pPr>
    </w:p>
    <w:p>
      <w:pPr>
        <w:ind w:left="760" w:right="500" w:hanging="212"/>
        <w:spacing w:after="0" w:line="275"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the total amount of cash paid into a principal portion (presented within financing activities) and interest (presented within operating activities) in the consolidated statement of cash flows.</w:t>
      </w:r>
    </w:p>
    <w:p>
      <w:pPr>
        <w:spacing w:after="0" w:line="106"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Lease incentives (e.g. rent-free period) are recognized as part of the measurement of the right-of-use assets and lease liabilities whereas under IAS 17 they resulted in the recognition of a lease incentive, amortized as a reduction of rental expenses generally on a straight-line basis. Under IFRS 16, right-of-use assets are tested for impairment in accordance with IAS 36 “Impairment of Assets”.</w:t>
      </w:r>
    </w:p>
    <w:p>
      <w:pPr>
        <w:spacing w:after="0" w:line="119" w:lineRule="exact"/>
        <w:rPr>
          <w:sz w:val="20"/>
          <w:szCs w:val="20"/>
          <w:color w:val="auto"/>
        </w:rPr>
      </w:pPr>
    </w:p>
    <w:p>
      <w:pPr>
        <w:ind w:left="120" w:right="400" w:firstLine="440"/>
        <w:spacing w:after="0" w:line="339" w:lineRule="auto"/>
        <w:rPr>
          <w:sz w:val="20"/>
          <w:szCs w:val="20"/>
          <w:color w:val="auto"/>
        </w:rPr>
      </w:pPr>
      <w:r>
        <w:rPr>
          <w:rFonts w:ascii="Times New Roman" w:cs="Times New Roman" w:eastAsia="Times New Roman" w:hAnsi="Times New Roman"/>
          <w:sz w:val="16"/>
          <w:szCs w:val="16"/>
          <w:color w:val="auto"/>
        </w:rPr>
        <w:t>For short-term leases (lease term of 12 months or less) and leases of low-value assets (such as photo copiers and telephones), we have opted to recognize a lease expense on a straight-line basis as permitted by IFRS 16. This expense is presented within “administrative expenses” in profit or loss.</w:t>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Financial Impact of the Initial Application of IFRS 16</w:t>
      </w:r>
    </w:p>
    <w:p>
      <w:pPr>
        <w:spacing w:after="0" w:line="7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previous lease for our headquarters expired on July 14, 2019. The adoption of IFRS 16 did not have a material impact on our results on the date of transition. Following the renewal of the leased office premises on July 15, 2019, we recognized a right-of-use asset of A$365,264 and a corresponding lease liability of $365,264 in respect of this lease. The impact on profit or loss during the fiscal year ended June 30, 2020 was to decrease occupancy expenses by A$110,800; increase depreciation by A$121,754; and increase finance interest expense by A$7,680.</w:t>
      </w:r>
    </w:p>
    <w:p>
      <w:pPr>
        <w:spacing w:after="0" w:line="122"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Under IAS 17, all lease payments on operating leases are presented as part of cash flows from operating activities. During the year ended June 30, 2020, the impact of the changes under IFRS 16 reduced the cash used in operating activities by A$100,189 and decreased net cash generated from financing activities by the same amount.</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Pronouncements Adopted for the First Time in the Year Ended June 30, 2020</w:t>
      </w:r>
    </w:p>
    <w:p>
      <w:pPr>
        <w:spacing w:after="0" w:line="81"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color w:val="auto"/>
        </w:rPr>
        <w:t>During the fiscal year ended June 30, 2020, we applied a number of amendments to IFRS and Interpretations issued by the IASB that are effective for an annual period that begins on or after January 1, 2019. Their adoption has not had any material impact on the disclosures or on the amounts reported in our consolidated financial statements.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and Revised International Financial Reporting Standards and Interpretations on Issue But not Yet Effective</w:t>
      </w:r>
    </w:p>
    <w:p>
      <w:pPr>
        <w:spacing w:after="0" w:line="81"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8"/>
          <w:szCs w:val="18"/>
          <w:color w:val="auto"/>
        </w:rPr>
        <w:t>The new and revised International Financial Reporting Standards, Interpretations and amendments that have been issued but are not yet effective, are not expected to have a material impact on the amounts recognized or disclosures included in our consolidated financial statements.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79"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 risk.</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81"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8"/>
          <w:szCs w:val="18"/>
          <w:color w:val="auto"/>
        </w:rPr>
        <w:t>As of June 30, 2020, we had cash and cash equivalents of A$62.0 million. We have limited exposure to interest rate risk. Our exposure to market interest rates relates primarily to the short-term deposits. The deposits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8"/>
          <w:szCs w:val="18"/>
          <w:color w:val="auto"/>
        </w:rPr>
        <w:t>are held with two of Australia’s largest banks. Our cash and cash equivalents are not locked into long-term deposits at fixed rates so as to mitigate the risk of earning interest below the current floating rate. We do not have any credit facilities bearing variable interest rates.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81"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6"/>
          <w:szCs w:val="16"/>
          <w:color w:val="auto"/>
        </w:rPr>
        <w:t>As a result of services provided by non-related entities in the United States, Canada, United Kingdom and Europe, part of our financial assets and liabilities and foreign currency denominated transactions are affected by movements in the applicable exchange rate. We do not enter into any hedging transactions. We enter into forward rate foreign exchange rate contracts in respect of the settlement of supplier invoices denominated in U.S. dollars to mitigate the risk of movements in the U.S. dollar and Australian dollar exchange rates. We are primarily exposed to foreign exchange risk inherent in U.S. dollar-denominated contracts related to our clinical development activities. As of June 30, 2019 and June 30, 2020, we had A$4.5 million and</w:t>
      </w:r>
    </w:p>
    <w:p>
      <w:pPr>
        <w:spacing w:after="0" w:line="4" w:lineRule="exact"/>
        <w:rPr>
          <w:sz w:val="20"/>
          <w:szCs w:val="20"/>
          <w:color w:val="auto"/>
        </w:rPr>
      </w:pPr>
    </w:p>
    <w:p>
      <w:pPr>
        <w:ind w:left="120" w:right="20"/>
        <w:spacing w:after="0" w:line="295" w:lineRule="auto"/>
        <w:rPr>
          <w:sz w:val="20"/>
          <w:szCs w:val="20"/>
          <w:color w:val="auto"/>
        </w:rPr>
      </w:pPr>
      <w:r>
        <w:rPr>
          <w:rFonts w:ascii="Times New Roman" w:cs="Times New Roman" w:eastAsia="Times New Roman" w:hAnsi="Times New Roman"/>
          <w:sz w:val="16"/>
          <w:szCs w:val="16"/>
          <w:color w:val="auto"/>
        </w:rPr>
        <w:t>A$5.0 million, respectively, in net exposure to the U.S. dollar, primarily in payables. An increase or decrease of the Australian dollar to U.S. dollar exchange rate by 10% would increase our after tax loss by A$319 thousand (2019: A$285 thousand) or decrease our after tax loss by A$390 thousand (2019: A$349 thousand), respectively. As we continue our clinical development activities, we expect to face continued exposure to exchange rate risk from the U.S. dollar. There was minimal or insignificant exposure to the British Pound, Euro and Canadian dollar during the years ended June 30, 2019 and 2020.</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79"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38" w:lineRule="exact"/>
        <w:rPr>
          <w:sz w:val="20"/>
          <w:szCs w:val="20"/>
          <w:color w:val="auto"/>
        </w:rPr>
      </w:pPr>
    </w:p>
    <w:p>
      <w:pPr>
        <w:ind w:left="760" w:right="780" w:hanging="212"/>
        <w:spacing w:after="0" w:line="275"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of Section 404 of the Sarbanes-Oxley Act of 2002, or the Sarbanes-Oxley Act, in the assessment of our internal controls over financial reporting; and</w:t>
      </w:r>
    </w:p>
    <w:p>
      <w:pPr>
        <w:spacing w:after="0" w:line="25" w:lineRule="exact"/>
        <w:rPr>
          <w:rFonts w:ascii="Times New Roman" w:cs="Times New Roman" w:eastAsia="Times New Roman" w:hAnsi="Times New Roman"/>
          <w:sz w:val="18"/>
          <w:szCs w:val="18"/>
          <w:color w:val="auto"/>
        </w:rPr>
      </w:pPr>
    </w:p>
    <w:p>
      <w:pPr>
        <w:ind w:left="760" w:right="500" w:hanging="212"/>
        <w:spacing w:after="0" w:line="262"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19"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6"/>
          <w:szCs w:val="16"/>
          <w:color w:val="auto"/>
        </w:rPr>
        <w:t>We may take advantage of these exemptions until such time that we are no longer an emerging growth company. Accordingly, the information that we provide shareholders and holders of the ADSs may be different than you might obtain from other public companies. We will cease to be an emerging growth company upon the earliest to occur of (i) the last day of the fiscal year in which we have more than $1.07 billion in annual revenue; (ii) the last day of the fiscal year in which we qualify as a “large accelerated filer”; (iii) the date on which we have, during the previous three-year period, issued more than $1.0 billion in non-convertible debt securities; and (iv) the last day of the fiscal year in which the fifth anniversary of this offering occurs.</w:t>
      </w:r>
    </w:p>
    <w:p>
      <w:pPr>
        <w:spacing w:after="0" w:line="94"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 (2)(B)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79"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We are also considered a “foreign private issuer” under U.S. securities laws. In our capacity as a foreign private issuer, we are exempt from certain rules under the Securities Exchange Act of 1934, as amended, that</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96" w:lineRule="auto"/>
        <w:rPr>
          <w:sz w:val="20"/>
          <w:szCs w:val="20"/>
          <w:color w:val="auto"/>
        </w:rPr>
      </w:pPr>
      <w:r>
        <w:rPr>
          <w:rFonts w:ascii="Times New Roman" w:cs="Times New Roman" w:eastAsia="Times New Roman" w:hAnsi="Times New Roman"/>
          <w:sz w:val="16"/>
          <w:szCs w:val="16"/>
          <w:color w:val="auto"/>
        </w:rPr>
        <w:t>impose certain disclosure obligations and procedural requirements for proxy solicitations under Section 14 of the Exchange Act. In addition, our senior management, the members of our board of directors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9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 (i) the majority of the members of board of directors or our senior management are U.S. citizens or residents; (ii) more than 50% of our assets are located in the United States; or (iii) our business is administered principally in the United States.</w:t>
      </w:r>
    </w:p>
    <w:p>
      <w:pPr>
        <w:spacing w:after="0" w:line="122"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We have taken advantage of certain reduced reporting and other requirements in this prospectus. Accordingly, the information contained herein may be different from the information you receive from other public companies.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a clinical stage biopharmaceutical company developing a novel therapy for the treatment of highly prevalent and progressive retinal diseases. We are developing our Phase 3-ready product candidate, OPT-302, a biologic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do not adequately respond to these treatments. As the only biologic inhibitor of VEGF-C and VEGF-D in clinical development, OPT-302 differs from standard of care therapies and when administered in combination with a VEGF-A inhibitor, is designed to achieve broader inhibition of the vascular endothelial growth factor, or VEGF, family and target a mechanism of clinical resistance to improve visual acuity. Our lead indication for OPT-302 combination therapy is wet AMD, a chronic, progressive disease and the leading cause of vision loss for individuals over the age of 50. In a 366-patient Phase 2b clinical trial for the treatment of wet AMD, 2.0 mg OPT-302, in combination with a standard of care anti-VEGF-A therapy, ranibizumab (Lucentis), met the primary endpoint of a statistically significant superior mean gain in visual acuity over ranibizumab monotherapy at week 24. We intend to initiate two pivotal Phase 3 clinical trials in treatment-naive patients with wet AMD to evaluate the efficacy and safety of OPT-302 in combination with anti-VEGF-A therapies compared to anti-VEGF-A monotherapy in the first half of 2021. We expect to report topline data from these Phase 3 clinical trials in 2023. In addition to our clinical trials in wet AMD, we have observed evidence of improved clinical outcomes in a Phase 1b/2a clinical trial of OPT-302 in combination with another standard of care anti-VEGF-A therapy, aflibercept (Eylea), in patients with treatment-refractory diabetic macular edema, or DME. We retain worldwide rights to develop and commercialize OPT-302 for the treatment of wet AMD and DME and believe that the novel treatment mechanism of OPT-302 has the potential to provide therapeutic benefit for other progressive eye diseases.</w:t>
      </w:r>
    </w:p>
    <w:p>
      <w:pPr>
        <w:spacing w:after="0" w:line="12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Wet AMD is a rapidly progressing disease with loss of central vision developing over a period of weeks to months in which abnormal new blood vessels form in the back of the eye in a process called choroidal neovascularization, or CNV. These newly formed vessels are highly permeable, leaking exudate leading to fluid accumulation and retinal lesion formation. This, in turn, adversely affects sensory cells in the retina and if left untreated, results in rapid loss of visual acuity.</w:t>
      </w:r>
    </w:p>
    <w:p>
      <w:pPr>
        <w:spacing w:after="0" w:line="12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6"/>
          <w:szCs w:val="16"/>
          <w:color w:val="auto"/>
        </w:rPr>
        <w:t>Wet AMD affects approximately one million people in the United States and 2.5 million people in Europe. The standard of care for wet AMD and other ocular neovascular diseases is the administration of monotherapies that primarily inhibit VEGF-A. These therapeutic agents, which include ranibizumab and aflibercept, prevent VEGF-A molecules from binding to, and activating, VEGF receptors and thereby inhibit the formation and permeability of blood vessels. As the risk of developing wet AMD increases with age, it is predicted that the overall aging of the population will result in a significant increase in the number of wet AMD cases, both in the United States and worldwide. Many wet AMD patients also experience suboptimal clinical responses despite receiving one or both of the leading standard of care treatments ranibizumab and aflibercept, which had combined annual worldwide sales of over US$11.9 billion in 2019. In addition, nearly half of wet AMD patients are treated with off-label bevacizumab as a lower cost alternative anti-VEGF-A therapy. As a result, we believe there is a significant and expanding market opportunity for novel therapies that can improve vision in patients with wet AMD, which has the potential to lead to sales greater than the combined annual sales of ranibizumab and aflibercept.</w:t>
      </w:r>
    </w:p>
    <w:p>
      <w:pPr>
        <w:spacing w:after="0" w:line="32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Despite the widespread use and commercial success of VEGF-A inhibitors, at least 45% of wet AMD patients treated with a VEGF-A inhibitor experience some degree of suboptimal clinical response, with a majority of patients failing to achieve 20/40 vision after 12 months of treatment, providing further opportunity for visual acuity improvement. Furthermore, many patients have persistent retinal fluid and insufficient gains in visual acuity to resume routine daily activities such as driving and reading following regular treatment with 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75" w:lineRule="auto"/>
        <w:rPr>
          <w:sz w:val="20"/>
          <w:szCs w:val="20"/>
          <w:color w:val="auto"/>
        </w:rPr>
      </w:pPr>
      <w:r>
        <w:rPr>
          <w:rFonts w:ascii="Times New Roman" w:cs="Times New Roman" w:eastAsia="Times New Roman" w:hAnsi="Times New Roman"/>
          <w:sz w:val="18"/>
          <w:szCs w:val="18"/>
          <w:color w:val="auto"/>
        </w:rPr>
        <w:t>VEGF-A inhibitor. In addition, improvements in visual acuity following regular administration of VEGF-A monotherapy are often not sustained with long-term use.</w:t>
      </w:r>
    </w:p>
    <w:p>
      <w:pPr>
        <w:spacing w:after="0" w:line="10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OPT-302 is designed to address a deficiency in the treatment paradigm for wet AMD and other retinal diseases, such as DME, by targeting alternate members of the VEGF family, namely VEGF-C and VEGF-D, which are not targeted by current standard of care therapies. VEGF-C and VEGF-D function in parallel with VEGF-A to drive neovascularization and vascular leakage, which are key hallmarks of both wet AMD and DME. In addition, treatment with VEGF-A inhibitors leads to upregulation of VEGF-C and VEGF-D to compensate for VEGF-A inhibition, which may represent an important mechanism of clinical resistance to anti-VEGF-A monotherapy. We are developing OPT-302 to be used in combination with standard of care anti-VEGF-A monotherapies to achieve broader inhibition of the VEGF family, with the goal of improving overall efficacy and demonstrating superior vision gains over that which can be achieved by inhibiting VEGF-A alone.</w:t>
      </w:r>
    </w:p>
    <w:p>
      <w:pPr>
        <w:spacing w:after="0" w:line="12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our completed Phase 2b wet AMD clinical trial, 2.0 mg OPT-302 in combination with ranibizumab demonstrated a statistically significant superior mean gain in visual acuity at week 24 compared to patients treated with ranibizumab with a sham injection, which we refer to as ranibizumab monotherapy. The trial was an international, multi-center, double-masked trial in 366 treatment-naive patients with wet AMD. Patients were randomized into three groups and received intravitreal injections every four weeks of either 0.5 mg or 2.0 mg OPT-302 in combination with 0.5 mg ranibizumab or 0.5 mg ranibizumab monotherapy. Treatments were administered by intravitreal injections once every four weeks for 20 weeks (six treatments in total). The primary endpoint was the mean change at week 24 in best corrected visual acuity, or BCVA, from baseline on the Early Treatment of Diabetic Retinopathy Study, or ETDRS, standardized eye chart, which we refer to as visual acuity. Patients treated with 2.0 mg OPT-302 combination therapy demonstrated a statistically significant improvement in visual acuity compared to patients treated with ranibizumab monotherapy. In the patients that received 2.0 mg OPT-302 combination therapy, visual acuity improved at week 24 from baseline by a mean of +14.2 letters compared to +10.8 letters for those treated with ranibizumab monotherapy, a statistically significant benefit of +3.4 letters. Patients that received 2.0 mg OPT-302 combination therapy also demonstrated improvements in retinal anatomy which were consistent with the visual acuity gains observed in the trial, including reductions in retinal fluid and lesion size by week 24. In a pre-specified subgroup analysis, greater activity of OPT-302 was observed in lesion types that are considered more difficult to treat with anti-VEGF-A therapy. Our clinical experience to date, which includes administration of over 1,800 doses of OPT-302 to 399 patients with retinal disease, indicates that OPT-302 intravitreal injections are well tolerated, with the incidence of treatment-emergent adverse events, or TEAEs, comparable to anti-VEGF-A monotherapy in our clinical trials.</w:t>
      </w:r>
    </w:p>
    <w:p>
      <w:pPr>
        <w:spacing w:after="0" w:line="12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planning to initiate two concurrent pivotal Phase 3 clinical trials for the treatment of wet AMD. These double-masked, sham-controlled Phase 3 clinical trials will enroll treatment-naive patients and assess the efficacy and safety of 2.0 mg of OPT-302 in combination with ranibizumab (Lucentis) (referred to as the ShORe trial) or aflibercept (Eylea) (referred to as the COAST trial), compared to ranibizumab or aflibercept monotherapy in each respective trial. In addition, to understand the durability of OPT-302 treatment effect with less frequent dosing, each trial will compare the clinical efficacy of OPT-302 administered in combination with the applicable VEGF-A inhibitor on an every four-week and every eight-week dosing regimen. For consistency, the ShORe and COAST Phase 3 trials build upon and maintain key features of our Phase 2b clinical trial of OPT-302 combination therapy for the treatment of wet AMD, while evaluating the administration of OPT-302 combination therapy over a longer treatment period and in a greater number of patients. The primary endpoint of both trials will be the mean change in visual acuity from baseline at week 52. Patients will continue to be dosed until week 96 to further assess long-term safety at week 100. We expect to initiate the trials in the first half of 2021 and to report topline data in 2023. If the results at the completion of the primary efficacy phase at week 52 of the Phase 3 clinical trials are favorable, we intend to file for marketing approval for OPT-302 for the treatment of wet AMD in the United States, European Union and other territories.</w:t>
      </w:r>
    </w:p>
    <w:p>
      <w:pPr>
        <w:spacing w:after="0" w:line="134" w:lineRule="exact"/>
        <w:rPr>
          <w:sz w:val="20"/>
          <w:szCs w:val="20"/>
          <w:color w:val="auto"/>
        </w:rPr>
      </w:pPr>
    </w:p>
    <w:p>
      <w:pPr>
        <w:jc w:val="both"/>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In addition to our planned pivotal Phase 3 clinical trials, we plan to develop a co-formulation of OPT-302 with an approved and/or biosimilar anti-VEGF-A therapy designed to achieve VEGF-A, VEGF-C and VEGF-D inhibition following the administration of a single intravitreal injection of the co-formulated product. OPT-302 is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currently administered as a combination therapy consisting of a sequential injection of OPT-302 following intravitreal administration of a VEGF-A inhibitor. We believe that a co-formulated OPT-302 and VEGF-A inhibitor product could provide flexibility of treatment options for physicians and reduce the frequency and number of injections for patients. We expect to file an investigative new drug application, or IND, for the co-formulated product in the second half of 2021 and subsequently investigate the co-formulated product in a Phase 1 clinical trial for the treatment of wet AMD.</w:t>
      </w:r>
    </w:p>
    <w:p>
      <w:pPr>
        <w:spacing w:after="0" w:line="12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also investigating the therapeutic potential of OPT-302 for DME. DME is a progressive eye disease and a complication of diabetic retinopathy, or DR, a condition caused by chronically elevated glucose levels in diabetics that damages the retina. DME can cause blurred vision, severe vision loss and blindness. Wet AMD and DME share a similar underlying pathophysiology, including retinal neovascularization and increased vascular permeability, and as a result, VEGF-A inhibitors are also considered the standard of care treatment for DME. Based on its mechanism of action and clinical results to date, we believe that OPT-302 also has the potential to deliver therapeutic benefit in DME patients. In our Phase 1b/2a clinical trial of OPT-302 in combination with aflibercept in patients with treatment-refractory DME, we observed evidence of improved clinical outcomes following OPT-302 combination therapy in this indication.</w:t>
      </w:r>
    </w:p>
    <w:p>
      <w:pPr>
        <w:spacing w:after="0" w:line="12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also believe that our novel treatment mechanism has the potential to provide therapeutic benefit for other progressive retinal diseases beyond wet AMD and DME. We may further investigate the efficacy of OPT-302 to improve clinical outcomes in patients with polypoidal choroidal vasculopathy, or PCV, a form of wet AMD that is highly prevalent in Asian populations and less responsive to anti-VEGF-A therapy than other wet AMD subtypes. Beyond wet AMD and DME, we may explore applications of OPT-302 in other retinal diseases in which a VEGF-C or VEGF-D inhibitor could have therapeutic potential, such as retinal vein occlusion, or RVO.</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 public company listed on the Australian Securities Exchange. We have assembled a team of experts with deep scientific, clinical and business expertise in biotechnology and specifically in neovascular disease. Megan Baldwin, Ph.D., our Chief Executive Officer and Managing Director, has over 20 years of research and development and biopharmaceutical industry experience on neovascularization and therapeutic strategies in ophthalmic indications and cancer. Prior to joining our company, she was a postdoctoral research fellow and an associate market planning manager at Genentech, where she conducted angiogenesis research before joining the anti-angiogenic therapy commercial group. Mike Tonroe, our Chief Financial Officer and Company Secretary, was previously Chief Financial Officer of the Australian Synchrotron in Melbourne and has over 20 years of experience in financial management, including as Chief Financial Officer to other companies as well as board-level positions for private and listed companies in Australia, United Kingdom, the United States and Canada. We believe that the breadth of experience and successful track record of our senior management, combined with our established relationships with leaders in the industry and medical community, provide us with unique insights into biologic drug development for the treatment of neovascular disease.</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79"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8"/>
          <w:szCs w:val="18"/>
          <w:color w:val="auto"/>
        </w:rPr>
        <w:t>Our goal is to become a leader in developing and commercializing therapeutics for the treatment of retinal diseases. The key elements of our strategy are to:</w:t>
      </w:r>
    </w:p>
    <w:p>
      <w:pPr>
        <w:spacing w:after="0" w:line="23" w:lineRule="exact"/>
        <w:rPr>
          <w:sz w:val="20"/>
          <w:szCs w:val="20"/>
          <w:color w:val="auto"/>
        </w:rPr>
      </w:pPr>
    </w:p>
    <w:p>
      <w:pPr>
        <w:ind w:left="760" w:right="120" w:hanging="212"/>
        <w:spacing w:after="0" w:line="257"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OPT-302 through two concurrent Phase 3 trials for the treatment of wet AMD. </w:t>
      </w:r>
      <w:r>
        <w:rPr>
          <w:rFonts w:ascii="Times New Roman" w:cs="Times New Roman" w:eastAsia="Times New Roman" w:hAnsi="Times New Roman"/>
          <w:sz w:val="18"/>
          <w:szCs w:val="18"/>
          <w:color w:val="auto"/>
        </w:rPr>
        <w:t>Based on the positive results of our Phase 2b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wet AMD, we plan to initiate two concurrent pivotal Phase 3 clinical trials in treatment-naive patients with wet AMD to evaluate the efficacy and safety of OPT-302 in combination with anti-VEGF-A therapy. We expect to initiate these trials in the first half of 2021 with top-line results in 2023. If these results are favorable, we plan to file for marketing approval for OPT-302 for the treatment of wet AMD in the United States, European Union and other territories.</w:t>
      </w:r>
    </w:p>
    <w:p>
      <w:pPr>
        <w:spacing w:after="0" w:line="39" w:lineRule="exact"/>
        <w:rPr>
          <w:rFonts w:ascii="Times New Roman" w:cs="Times New Roman" w:eastAsia="Times New Roman" w:hAnsi="Times New Roman"/>
          <w:sz w:val="18"/>
          <w:szCs w:val="18"/>
          <w:color w:val="auto"/>
        </w:rPr>
      </w:pPr>
    </w:p>
    <w:p>
      <w:pPr>
        <w:ind w:left="760" w:right="900" w:hanging="212"/>
        <w:spacing w:after="0" w:line="277"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Optimize OPT-302 administration and develop a co-formulation to reduce injection burden for patients and provide treatment flexibility. </w:t>
      </w:r>
      <w:r>
        <w:rPr>
          <w:rFonts w:ascii="Times New Roman" w:cs="Times New Roman" w:eastAsia="Times New Roman" w:hAnsi="Times New Roman"/>
          <w:sz w:val="18"/>
          <w:szCs w:val="18"/>
          <w:color w:val="auto"/>
        </w:rPr>
        <w:t>Currently, OPT-302 is administered as an injection</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160"/>
        <w:spacing w:after="0" w:line="258" w:lineRule="auto"/>
        <w:rPr>
          <w:sz w:val="20"/>
          <w:szCs w:val="20"/>
          <w:color w:val="auto"/>
        </w:rPr>
      </w:pPr>
      <w:r>
        <w:rPr>
          <w:rFonts w:ascii="Times New Roman" w:cs="Times New Roman" w:eastAsia="Times New Roman" w:hAnsi="Times New Roman"/>
          <w:sz w:val="18"/>
          <w:szCs w:val="18"/>
          <w:color w:val="auto"/>
        </w:rPr>
        <w:t>following intravitreal administration of a VEGF-A inhibitor. We plan to investigate the efficacy and durability of less frequent administration of OPT-302 in clinical trials based on OPT-302’s pharmacokinetic profile, structural similarity to aflibercept and potential for improved and prolonged clinical efficacy over time. In addition, we plan to develop a co-formulation of OPT-302 with an approved and/or biosimilar anti-VEGF-A therapy to provide flexibility of treatment options for physicians and to reduce the frequency and number of injections for patients.</w:t>
      </w:r>
    </w:p>
    <w:p>
      <w:pPr>
        <w:spacing w:after="0" w:line="39" w:lineRule="exact"/>
        <w:rPr>
          <w:sz w:val="20"/>
          <w:szCs w:val="20"/>
          <w:color w:val="auto"/>
        </w:rPr>
      </w:pPr>
    </w:p>
    <w:p>
      <w:pPr>
        <w:ind w:left="760" w:hanging="212"/>
        <w:spacing w:after="0" w:line="257"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clinical development of OPT-302 in wet AMD, DME and other retinal diseases</w:t>
      </w:r>
      <w:r>
        <w:rPr>
          <w:rFonts w:ascii="Times New Roman" w:cs="Times New Roman" w:eastAsia="Times New Roman" w:hAnsi="Times New Roman"/>
          <w:sz w:val="18"/>
          <w:szCs w:val="18"/>
          <w:color w:val="auto"/>
        </w:rPr>
        <w:t>. Due to similarities in the underlying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pathophysiology, we anticipate that OPT-302 in combination with VEGF-A inhibitors may provide therapeutic benefit to patients with other neovascular ophthalmic diseases, such as DME. We reported positive data from a Phase 1b/2a trial of OPT-302 in combination with aflibercept for the treatment of DME, and we plan to continue further development in this indication. We also continue to explore the potential benefit of OPT-302 in PCV and other ocular diseases, such as RVO and DR, in which there is a strong scientific and clinical rationale.</w:t>
      </w:r>
    </w:p>
    <w:p>
      <w:pPr>
        <w:spacing w:after="0" w:line="39" w:lineRule="exact"/>
        <w:rPr>
          <w:rFonts w:ascii="Times New Roman" w:cs="Times New Roman" w:eastAsia="Times New Roman" w:hAnsi="Times New Roman"/>
          <w:sz w:val="18"/>
          <w:szCs w:val="18"/>
          <w:color w:val="auto"/>
        </w:rPr>
      </w:pPr>
    </w:p>
    <w:p>
      <w:pPr>
        <w:ind w:left="760" w:right="120" w:hanging="212"/>
        <w:spacing w:after="0" w:line="259"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Maximize the commercial potential of OPT-302. </w:t>
      </w:r>
      <w:r>
        <w:rPr>
          <w:rFonts w:ascii="Times New Roman" w:cs="Times New Roman" w:eastAsia="Times New Roman" w:hAnsi="Times New Roman"/>
          <w:sz w:val="18"/>
          <w:szCs w:val="18"/>
          <w:color w:val="auto"/>
        </w:rPr>
        <w:t>We retain worldwide rights for the development and commercialization of OPT-302.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OPT-302 receives marketing approval in the United States and European Union for wet AMD or any other retinal indications we are pursuing, we intend to establish our own commercial organization in these key territories. We may also enter into collaborations where we believe there is an opportunity to accelerate the development and commercialization of OPT-302 in select territories.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stage of clinical development and status of our product candidate, OPT-302.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109220</wp:posOffset>
            </wp:positionV>
            <wp:extent cx="5186045" cy="2974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86045" cy="297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VEGFs in Ocular Diseases</w:t>
      </w:r>
    </w:p>
    <w:p>
      <w:pPr>
        <w:spacing w:after="0" w:line="79"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Multiple ophthalmic diseases and conditions, including wet AMD and DME, involve aberrant blood vessel formation and growth, as well as vascular permeability and resulting leakage that contributes to disease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301" w:lineRule="auto"/>
        <w:rPr>
          <w:sz w:val="20"/>
          <w:szCs w:val="20"/>
          <w:color w:val="auto"/>
        </w:rPr>
      </w:pPr>
      <w:r>
        <w:rPr>
          <w:rFonts w:ascii="Times New Roman" w:cs="Times New Roman" w:eastAsia="Times New Roman" w:hAnsi="Times New Roman"/>
          <w:sz w:val="16"/>
          <w:szCs w:val="16"/>
          <w:color w:val="auto"/>
        </w:rPr>
        <w:t>progression. In wet AMD, lesions consist of newly formed blood vessels that are typically fragile and leak, leading to the accumulation of fluid in the retinal tissue at the back of the eye. As shown in the figure below, if left untreated, this fluid can cause retinal swelling that disrupts the local architecture and function of sensory cells and neurons in the eye, resulting in vision loss. In patients with DME, high blood glucose levels drive physiological changes resulting in vascular permeability that also result in fluid accumulation, or edema, in the macula, the central region of the retina, and loss of visual acuity.</w:t>
      </w:r>
    </w:p>
    <w:p>
      <w:pPr>
        <w:spacing w:after="0" w:line="88" w:lineRule="exact"/>
        <w:rPr>
          <w:sz w:val="20"/>
          <w:szCs w:val="20"/>
          <w:color w:val="auto"/>
        </w:rPr>
      </w:pPr>
    </w:p>
    <w:p>
      <w:pPr>
        <w:jc w:val="center"/>
        <w:ind w:left="440" w:right="200"/>
        <w:spacing w:after="0" w:line="277" w:lineRule="auto"/>
        <w:rPr>
          <w:sz w:val="20"/>
          <w:szCs w:val="20"/>
          <w:color w:val="auto"/>
        </w:rPr>
      </w:pPr>
      <w:r>
        <w:rPr>
          <w:rFonts w:ascii="Times New Roman" w:cs="Times New Roman" w:eastAsia="Times New Roman" w:hAnsi="Times New Roman"/>
          <w:sz w:val="18"/>
          <w:szCs w:val="18"/>
          <w:b w:val="1"/>
          <w:bCs w:val="1"/>
          <w:color w:val="auto"/>
        </w:rPr>
        <w:t>Neovascularization and Vascular Permeability are Key Hallmarks of a Number of Retinal Diseases, Leading to Lesion Formation, Edema and Distortion of the Retina Photoreceptor Layer Causing Loss of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135890</wp:posOffset>
            </wp:positionV>
            <wp:extent cx="5109210" cy="3600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0921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Neovascularization and vascular permeability associated with retinal disease progression are driven by a family of related growth factors known as VEGFs. Members of the VEGF family, including VEGF-A, VEGF-C and VEGF-D, exert their activity by binding and activating VEGF receptors referred to as VEGFR-1, VEGFR-2, and VEGFR-3. Receptor activation triggers signaling pathways that lead to the development of new blood vessels, a process known as angiogenesis, as well as vascular permeability.</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Members of the VEGF Family of Growth Factors Have Overlapping but Distinct Specificities for VEGFRs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094730" cy="32232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9473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Lymphangiogenesis refers to the proliferation of lymphatic vessels from pre-existing lymphatic vessels.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VEGF-A</w:t>
      </w:r>
    </w:p>
    <w:p>
      <w:pPr>
        <w:spacing w:after="0" w:line="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VEGF-A is the most well-characterized member of the VEGF family of growth factors and was the first to be targeted for therapeutic intervention. VEGF-A is a potent growth factor and its relevance in ophthalmic neovascularization has been well-established. Overexpression of VEGF-A in animal models has shown VEGF-A to be a causal factor in the development of neovascularization and vascular permeability, which are key hallmarks in the progression of wet AMD. In wet AMD patients, VEGF-A levels are shown to be elevated in the aqueous humor fluid of the eye. VEGF-A binds to VEGFR-1, which acts to regulate VEGF-A activity, and VEGFR-2, which is a key driver of neovascularization and vascular permeability. Several inhibitors of VEGF-A have been approved to treat a number of neovascular ocular diseases. The two leading ocular VEGF-A inhibitors by revenue, ranibizumab and aflibercept, had combined annual worldwide sales of over US$11.9 billion in 2019.</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VEGF-C and VEGF-D</w:t>
      </w:r>
    </w:p>
    <w:p>
      <w:pPr>
        <w:spacing w:after="0" w:line="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VEGF-C and VEGF-D contribute to the development and persistence of neovascular diseases, as evidenced by their elevated levels in multiple pathological conditions. Both VEGF-C and VEGF-D can stimulate neovascularization and VEGF-C can induce permeability by binding to VEGFR-2, independent of VEGF-A activity. Additionally, VEGF-C and VEGF-D bind to VEGFR-3, a receptor that is not activated by VEGF-A, which confers biological activities to both VEGF-C and VEGF-D that are distinct from those of VEGF-A. Activation of VEGFR-3 can stimulate vascular proliferation and modulate vascular permeability, vascular leakage and edema formation. The receptor binding profiles and the distinct biological activities of VEGF-C and VEGF-D suggest that inhibiting VEGF-C and VEGF-D may have therapeutic potential in ocular diseases by acting independently of, and in tandem with, the activity of VEGF-A inhibitors. There are currently no other therapies either approved or in clinical development that are designed to specifically target VEGF-C or VEGF-D.</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Resistance to VEGF-A Therapies May be Driven by VEGF-C and VEGF-D</w:t>
      </w:r>
    </w:p>
    <w:p>
      <w:pPr>
        <w:spacing w:after="0" w:line="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Standard of care treatments for wet AMD and DME inhibit VEGF-A activation of its receptors that are typically expressed on vascular endothelium. This can lead to inhibition of blood vessel growth and leakage which can stabilize disease and improve clinical outcomes, including visual acuity, in patients with retinal eye conditions. However, not all patients fully respond to VEGF-A inhibition. A substantial proportion of patients with wet AMD and DME have further opportunity for visual acuity gain and/or a need for resolution of persistent retinal fluid following anti-VEGF-A treatment. Furthermore, gains in visual acuity are often not sustained over the long term, even when anti-VEGF-A therapies are administered regularly. This resistance may occur as anti-VEGF-A monotherapies do not fully address the multifactorial pathogenesis of wet AMD and DME, including having no activity to block VEGF-C and VEGF-D.</w:t>
      </w:r>
    </w:p>
    <w:p>
      <w:pPr>
        <w:spacing w:after="0" w:line="12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VEGF-C and VEGF-D are implicated in the development of resistance to clinical use of anti-VEGF-A therapies. Levels of VEGF-C and/or VEGF-D have been observed to be upregulated in response to anti-VEGF-A therapies, most notably in patients with wet AMD. In a study conducted by third-party researchers in wet AMD patients, a 66% increase in the level of VEGF-C in the aqueous humor fluid in eyes was observed following two monthly doses of the VEGF-A inhibitor, bevacizumab (Avastin). This is illustrated in the figure below.</w:t>
      </w:r>
    </w:p>
    <w:p>
      <w:pPr>
        <w:spacing w:after="0" w:line="1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VEGF-C Levels are Increased in Aqueous Fluid of the Eye in Wet AMD Patients Treated with Monthly Intravitreal Bevacizumab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170180</wp:posOffset>
            </wp:positionV>
            <wp:extent cx="1937385" cy="1911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3738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Study conducted by Cabral et al. (2018)</w:t>
      </w:r>
    </w:p>
    <w:p>
      <w:pPr>
        <w:spacing w:after="0" w:line="14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Upregulation of VEGF-C and VEGF-D can continue to drive signaling through VEGFR-2, even in the presence of a VEGF-A inhibitor, as well as signal through VEGFR-3, both of which may contribute to ongoing angiogenesis and vascular permeability associated with persistent wet AMD. VEGF-C and VEGF-D mediated activation of VEGFR-2 and VEGFR-3, as well as their compensatory elevation following VEGF-A inhibition, may contribute to sub-optimal clinical response to anti-VEGF-A monotherapy. We believe OPT-302 in combination with a VEGF-A inhibitor can address a key mechanism of clinical sub-responsiveness to standard of care treatments for serious retinal eye diseases by broad blockade of the VEGF family of growth factors which is not achieved by anti-VEGF-A monotherapies.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OPT-302</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developing our Phase 3-ready product candidate, OPT-302, a biologic designed to inhibit VEGF-C and VEGF-D, to complement existing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VEGF-A inhibitors, for the treatment of ophthalmic diseases, including wet AMD and DME. Anti-VEGF-A therapies represent the standard of care for wet</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AMD and other retinal</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diseases. However, there remains a significant unmet need as many patients do not adequately respond to these treatments. As the only biologic inhibitor of VEGF-C and VEGF-D in clinical development, OPT-302 differs from standard of care VEGF-A inhibitors, and in combination with a VEGF-A inhibitor, is designed to address the sub-optimal clinical responses of anti-VEGF-A monotherapies by achieving broader inhibition of the VEGF family to improve visual acuity over standard of care anti-VEGF-A monotherapies.</w:t>
      </w:r>
    </w:p>
    <w:p>
      <w:pPr>
        <w:spacing w:after="0" w:line="1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2019, we completed a 366-patient Phase 2b clinical trial of OPT-302 in combination with ranibizumab for the treatment of wet AMD, which met the primary endpoint of a statistically significant superior mean gain in visual acuity over ranibizumab monotherapy at week 24. We intend to initiate two pivotal Phase 3 clinical trials in treatment-naive patients with wet AMD to evaluate the efficacy and safety of OPT-302 in combination with anti-VEGF-A therapy compared to a standard of care monotherapy. We intend to initiate two pivotal Phase 3 clinical trials in treatment-naive patients with wet AMD to evaluate the efficacy and safety of OPT-302 in combination with anti-VEGF-A therapy compared to anti-VEGF-A monotherapy in the first half of 2021. We expect to report topline data from these Phase 3 clinical trials in 2023. In addition, in our Phase 1b/2a clinical trial of OPT-302 in combination with aflibercept for the treatment of persistent DME, we observed evidence of clinical activity and improvements in visual acuity outcomes compared to aflibercept monotherapy. OPT-302 was observed to be well tolerated across Phase 1 and Phase 2 clinical studies in two disease indications following intravitreal administration of over 1,800 doses of OPT-302 to 399 patients either as monotherapy or in combination with standard of care VEGF-A inhibitors.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OPT-302 Mechanism of Action</w:t>
      </w:r>
    </w:p>
    <w:p>
      <w:pPr>
        <w:spacing w:after="0" w:line="81" w:lineRule="exact"/>
        <w:rPr>
          <w:sz w:val="20"/>
          <w:szCs w:val="20"/>
          <w:color w:val="auto"/>
        </w:rPr>
      </w:pPr>
    </w:p>
    <w:p>
      <w:pPr>
        <w:ind w:left="120" w:right="40" w:firstLine="440"/>
        <w:spacing w:after="0" w:line="244" w:lineRule="auto"/>
        <w:rPr>
          <w:sz w:val="20"/>
          <w:szCs w:val="20"/>
          <w:color w:val="auto"/>
        </w:rPr>
      </w:pPr>
      <w:r>
        <w:rPr>
          <w:rFonts w:ascii="Times New Roman" w:cs="Times New Roman" w:eastAsia="Times New Roman" w:hAnsi="Times New Roman"/>
          <w:sz w:val="18"/>
          <w:szCs w:val="18"/>
          <w:color w:val="auto"/>
        </w:rPr>
        <w:t>We have designed OPT-302 to function as a ligand trap, capable of binding and sequestering VEGF-C and VEGF-D, thereby preventing these growth factors from activating VEGFR-2 and VEGFR-3. OPT-302 is comprised of the first three extracellular domains of human VEGFR-3, fused to the Fc domain, or the constant fragment of human immunoglobulin G</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8"/>
          <w:szCs w:val="18"/>
          <w:color w:val="auto"/>
        </w:rPr>
        <w:t>, or IgG</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8"/>
          <w:szCs w:val="18"/>
          <w:color w:val="auto"/>
        </w:rPr>
        <w:t>, as illustrated in the figure below. VEGF-C and VEGF-D function independent of, but in parallel with, VEGF-A to drive neovascularization and vascular leakage, key hallmarks of both wet AMD and DME. In addition, treatment with VEGF-A inhibitors leads to upregulation of VEGF-C and VEGF-D to compensate for VEGF-A inhibition, which may represent an important mechanism of clinical resistance to VEGF-A monotherapy.</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Structure of OPT-302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170180</wp:posOffset>
            </wp:positionV>
            <wp:extent cx="3429000" cy="18605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00"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Ligand trap therapeutics that include the receptor-binding domains for other ligands have been approved for a number of indications. One such agent is aflibercept, marketed as Eylea, a ligand trap consisting of extracellular domains of VEGFR-1 and VEGFR-2, which primarily mediates its activity by binding and inhibiting VEGF-A. Aflibercept has marketing approval for the treatment of wet AMD, DME, macular edema</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340"/>
        <w:spacing w:after="0" w:line="275" w:lineRule="auto"/>
        <w:rPr>
          <w:sz w:val="20"/>
          <w:szCs w:val="20"/>
          <w:color w:val="auto"/>
        </w:rPr>
      </w:pPr>
      <w:r>
        <w:rPr>
          <w:rFonts w:ascii="Times New Roman" w:cs="Times New Roman" w:eastAsia="Times New Roman" w:hAnsi="Times New Roman"/>
          <w:sz w:val="18"/>
          <w:szCs w:val="18"/>
          <w:color w:val="auto"/>
        </w:rPr>
        <w:t>secondary to RVO and DR. In rabbits, OPT-302 has been shown to have a comparable ocular biodistribution and intravitreal pharmacokinetic profile as aflibercept, with low systemic exposure.</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Wet AMD</w:t>
      </w:r>
    </w:p>
    <w:p>
      <w:pPr>
        <w:spacing w:after="0" w:line="8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6"/>
          <w:szCs w:val="16"/>
          <w:color w:val="auto"/>
        </w:rPr>
        <w:t>AMD is a chronic, progressive disease of the macula, a part of the retina containing the greatest concentration of light-sensing cells responsible for detailed, high visual acuity and central vision. The development of AMD is strongly associated with age, affecting up to 40% of individuals over the age of</w:t>
      </w:r>
    </w:p>
    <w:p>
      <w:pPr>
        <w:spacing w:after="0" w:line="1" w:lineRule="exact"/>
        <w:rPr>
          <w:sz w:val="20"/>
          <w:szCs w:val="20"/>
          <w:color w:val="auto"/>
        </w:rPr>
      </w:pPr>
    </w:p>
    <w:p>
      <w:pPr>
        <w:ind w:left="120" w:right="380" w:hanging="4"/>
        <w:spacing w:after="0" w:line="323" w:lineRule="auto"/>
        <w:tabs>
          <w:tab w:leader="none" w:pos="383"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two forms of AMD, dry AMD and wet AMD. Dry AMD is the most common form, representing approximately 85% to 90% of all AMD cases. However, dry AMD can develop into wet AMD, and wet AMD accounts for 90% of the severe vision loss associated with the disease.</w:t>
      </w:r>
    </w:p>
    <w:p>
      <w:pPr>
        <w:spacing w:after="0" w:line="7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Wet AMD is a rapidly progressing disease with loss of central vision developing over a period of weeks to months, and is the leading cause of vision loss for individuals over the age of 50. The most common symptoms of wet AMD are loss of central vision, distortion of objects or blurred vision. Peripheral vision usually remains intact. The disease typically affects patients initially in one eye, with a high likelihood of it occurring in the second eye over time. If left untreated, wet AMD can lead to rapid loss of visual acuity and blindness, adversely impacting the patient’s ability to conduct daily activities, such as driving and reading.</w:t>
      </w:r>
    </w:p>
    <w:p>
      <w:pPr>
        <w:spacing w:after="0" w:line="125"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Wet AMD occurs when new blood vessels in the choroid, or the vascular layer in the eye just under the retina, intrude into the retinal layers and leak fluid. The formation of these new blood vessels is referred to as CNV. These newly formed vessels are highly permeable, which can lead to fluid accumulation and adversely affect sensory cells in the retina.</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Wet AMD can be classified as occult or classic, based on the neovascular pattern within lesions. In occult lesions, all of the blood vessels are below the retinal pigment epithelium, or RPE, and the areas on angiograms have a stippled appearance. Classic lesions, by contrast, appear as well-demarcated areas on angiograms due to neovascular blood vessels being located above the RPE. Classic lesions are further subdivided into predominantly classic if 50% or more of the blood vessels are above the RPE, and minimally classic, if greater than 0% and less than 50% of the blood vessels are above the RPE. Classic-containing lesions tend to be the most responsive to anti-VEGF-A therapies.</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Classifications of Wet AMD Based on Neovascular Lesion Pattern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170180</wp:posOffset>
            </wp:positionV>
            <wp:extent cx="4852035" cy="1543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5203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There is a further sub-type of wet AMD lesion referred to as retinal angiomatous proliferation, or RAP. RAP lesions are a type of CNV in which neovascularization in the retina protrudes into the sub-retinal space and connects to the choroidal circulation. Between 10% and 21% of wet AMD patients have RAP lesions which are more commonly found in older Caucasian patients. Although there are no therapies specifically approved to treat RAP lesions, patients are typically treated with VEGF-A inhibitors.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PCV is a further sub-type of wet AMD. PCV is an abnormality of inner choroidal vessels that causes dilations in the blood vessels in the retina that resemble polyps, known as polypoidal protrusions. PCV typically does not respond well to VEGF-A inhibitor therapies and many patients are diagnosed with PCV only after they fail to respond to these therapies. There is a high prevalence of PCV in Asian countries, with between 23% and 54% of patients with presumed cases of wet AMD in Japan having PCV. Prevalence rates of between 4% and 10% have been reported in Caucasian patients with presumed cases of wet AMD.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Wet AMD and Their Limitations</w:t>
      </w:r>
    </w:p>
    <w:p>
      <w:pPr>
        <w:spacing w:after="0" w:line="8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There are four VEGF-A inhibitors approved by the Food and Drug Administration, or FDA, for the treatment of wet AMD, all of which are administered by regular intravitreal injections as monotherapy. These VEGF-A inhibitors include: the VEGF-A specific antibody ranibizumab, the antibody fragment brolucizumab (Beovu) and the VEGFR-based ligand trap aflibercept. The VEGF-A antibody, bevacizumab, an FDA approved therapy for colorectal and other cancers, is also used off-label by many physicians to treat wet AMD, comprising approximately 46% of anti-VEGF-A injections administered globally. In addition, pegaptanib sodium (Macugen) is an aptamer or antibody-like RNA construct that inhibits VEGF-A but is now infrequently administered following the approval of biologic VEGF-A inhibitors. Recent clinical development has focused on maintaining vision gains with a VEGF-A inhibitor whilst reducing the number of injections.</w:t>
      </w:r>
    </w:p>
    <w:p>
      <w:pPr>
        <w:spacing w:after="0" w:line="12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VEGF-A inhibitors stabilize loss vision in over 90% of wet AMD patients. However, the effectiveness of these therapies in many patients is limited. Improvements of ³15 letters of visual acuity typically occur in less than 40% of treated patients. In addition, despite regular treatment with a VEGF-A inhibitor, many patients have insufficient gains in visual acuity to resume routine daily activities such as driving and reading. Chronic vision loss can also occur despite ongoing treatment with an anti-VEGF-A inhibitor. Retrospective and prospective analyses of patients treated with VEGF-A inhibitor therapies for five years have found that, after initial gains in visual function following one year of treatment, many patients then had a gradual decline in visual acuity in subsequent years, resulting in the eventual reversal of the majority of gains. In addition, in clinical settings, up to two-thirds of patients treated with VEGF-A inhibitor therapies continue to have retinal fluid following treatment and approximately 25% experience further vision loss 12 months following treatment. Treatment options are limited for patients who do not respond adequately or experience visual decline despite ongoing therapy with standard of care VEGF-A inhibitors, and typically involve switching treatment from one anti-VEGF-A monotherapy to another with minimal additional visual benefit achieved.</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the Treatment of Wet AMD</w:t>
      </w:r>
    </w:p>
    <w:p>
      <w:pPr>
        <w:spacing w:after="0" w:line="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Wet AMD affects approximately 1 million people in the United States and 2.5 million in Europe. As the risk of developing wet AMD increases with age, it is predicted that the overall aging of the population will result in a significant increase in the number of wet AMD cases, both in the United States and worldwide. Many wet AMD patients also experience suboptimal clinical responses despite receiving one or both of the leading standard of care treatments ranibizumab and aflibercept, which had combined annual worldwide sales of over US$11.9 billion in 2019. In addition, nearly half of wet AMD patients are treated with off-label bevacizumab as a lower cost alternative anti-VEGF-A therapy. As a result, we believe there is a significant and expanding market opportunity for novel therapies that can improve vision in patients with wet AMD, which has the potential to lead to sales greater than the combined annual sales of ranibizumab and aflibercept.</w:t>
      </w:r>
    </w:p>
    <w:p>
      <w:pPr>
        <w:spacing w:after="0" w:line="127" w:lineRule="exact"/>
        <w:rPr>
          <w:sz w:val="20"/>
          <w:szCs w:val="20"/>
          <w:color w:val="auto"/>
        </w:rPr>
      </w:pPr>
    </w:p>
    <w:p>
      <w:pPr>
        <w:ind w:left="120" w:right="580" w:firstLine="440"/>
        <w:spacing w:after="0" w:line="275" w:lineRule="auto"/>
        <w:rPr>
          <w:sz w:val="20"/>
          <w:szCs w:val="20"/>
          <w:color w:val="auto"/>
        </w:rPr>
      </w:pPr>
      <w:r>
        <w:rPr>
          <w:rFonts w:ascii="Times New Roman" w:cs="Times New Roman" w:eastAsia="Times New Roman" w:hAnsi="Times New Roman"/>
          <w:sz w:val="18"/>
          <w:szCs w:val="18"/>
          <w:color w:val="auto"/>
        </w:rPr>
        <w:t>We believe that OPT-302, used in combination with standard of care VEGF-A inhibitors, can address the significant unmet need for wet AMD patients by providing improved outcomes over that which can be achieved by inhibiting VEGF-A alone.</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1/2a Clinical Trial Results in Wet AMD</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In 2017, we completed a Phase 1/2a clinical trial of OPT-302 in wet AMD patients under an investigational new drug, or IND, application accepted by the FDA in 2015. The trial was divided into two parts. Part 1 was a Phase 1 first-in-human 20-patient dose-escalation study in which OPT-302 was administered at three escalating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doses (0.3 mg, 1.0 mg or 2.0 mg), either in combination with 0.5 mg ranibizumab or alone as a 2.0 mg monotherapy, once every four weeks for a total of three doses, with a follow-up visit at week 12. Part 2 was a Phase 2a 31-patient dose-expansion trial in which 2.0 mg OPT-302 was administered in combination with ranibizumab or as a monotherapy once every four weeks for a total of three doses, with a follow-up visit at week 12. Of the 51 patients dosed, 49% were treatment naive and 51% were previously treated with anti-VEGF-A therapy. The previously-treated patients had received an average of 17 prior treatments, equating to prior treatment over an average of 1.3 years, of an intravitreal VEGF-A inhibitor prior to enrolling in the trial. The Phase 1/2a trial was conducted at 14 trial sites in the United States.</w:t>
      </w:r>
    </w:p>
    <w:p>
      <w:pPr>
        <w:spacing w:after="0" w:line="1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OPT-302 was well tolerated up to the highest dose tested both in combination with ranibizumab and as a monotherapy. No dose-limiting toxicities, or DLTs, were observed and the maximum tolerated dose, or MTD, was not reached. There were no treatment-related serious adverse events, or SAEs. The most common TEAEs were conjunctival hemorrhage, eye pain and corneal inflammation mainly related to the intravitreal injection procedure. TEAEs did not lead to permanent discontinuation of the study for any patient. The pharmacokinetic profile of OPT-302 was similar in the absence or presence of ranibizumab, and there was no evidence of OPT-302 immunogenicity in this clinical trial.</w:t>
      </w:r>
    </w:p>
    <w:p>
      <w:pPr>
        <w:spacing w:after="0" w:line="1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Although the focus of this trial was safety, we also observed preliminary signals of clinical benefit. Improvements in visual acuity were observed in treatment-naive patients as well as patients previously treated with anti-VEGF-A therapy, as measured by the number of letters that could be read on a standard eye chart following OPT-302 monotherapy and OPT-302 combination therapy. As illustrated in the figure below, after 12 weeks, in patients across all dose groups, the mean change in visual acuity from baseline increased by +10.8 letters in treatment-naive patients and +4.9 letters in previously treated patients who received OPT-302 combination therapy.</w:t>
      </w:r>
    </w:p>
    <w:p>
      <w:pPr>
        <w:spacing w:after="0" w:line="123" w:lineRule="exact"/>
        <w:rPr>
          <w:sz w:val="20"/>
          <w:szCs w:val="20"/>
          <w:color w:val="auto"/>
        </w:rPr>
      </w:pPr>
    </w:p>
    <w:p>
      <w:pPr>
        <w:jc w:val="center"/>
        <w:ind w:left="46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12 in Treatment-Naive and Previously-Treated Wet AMD Patients Administered OPT-302 in Combination with Ranibizumab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135890</wp:posOffset>
            </wp:positionV>
            <wp:extent cx="2931795" cy="2177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3179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In addition, improvements in visual acuity following treatment with OPT-302 combination therapy were consistent with anatomical outcomes, such as reductions in intraretinal and subretinal fluid. Retinal thickness, which is assessed by spectral domain optical coherence tomography, or SD-OCT, using a standard criterion called central subfield thickness, or CST, was also reduced following OPT-302 combination therapy.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2b Clinical Trial Results in Wet AMD</w:t>
      </w:r>
    </w:p>
    <w:p>
      <w:pPr>
        <w:spacing w:after="0" w:line="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the positive results of the Phase 1/2a trial, we completed an international, multi-center, double-masked Phase 2b clinical trial of OPT-302 in combination with ranibizumab in a total of 366 treatment-naive patients in August 2019. As illustrated in the figure below, patients were randomized into three groups to receive either 0.5 mg or 2.0 mg OPT-302 with 0.5 mg ranibizumab or ranibizumab monotherapy, which included a sham injection. A sham intravitreal injection involves pressing a syringe hub against the surface of the eye to mimic an intravitreal injection so that the patient remains masked to the treatment group to which they have been randomized. Administration was by intravitreal injection once every four weeks for 20 weeks (six treatments in total). The primary endpoint of the clinical trial was the mean change in BCVA from baseline on the ETDRS standardized eye chart at week 24. Secondary outcome measures included the proportion of patients gaining ³15 letters in BCVA, changes in retinal thickness, change in intraretinal and subretinal fluid and proportion of patients losing ³15 letters in BCVA.</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Design of the Phase 2b Clinical Trial of OPT-302 with Ranibizumab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170180</wp:posOffset>
            </wp:positionV>
            <wp:extent cx="4800600" cy="13887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0060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illustrated in the figure below, 366 treatment-naive patients were randomized 1:1:1 to each of the three treatment groups. We used data from the 362 patients who had a baseline assessment of their visual acuity and completed at least one post-dose visit as the modified intent to treat population, or mITT, in all analyses. Key inclusion criteria for patients in the trial included CNV classified as either occult, minimally classic or predominantly classic, and BCVA on the ETDRS standardized eye chart of ³25 and £60 letters. The Phase 2b trial was conducted at 109 trial sites in the United States, Europe, Israel and the United Kingdom.</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Patient Distribution in the Phase 2b Clinical Trial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170180</wp:posOffset>
            </wp:positionV>
            <wp:extent cx="5263515" cy="3077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6351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Q4W refers to administration every four weeks. IVT refers to administration by intravitreal injection.</w:t>
      </w:r>
    </w:p>
    <w:p>
      <w:pPr>
        <w:spacing w:after="0" w:line="14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presentations of statistical results in this prospectus, a p-value is a measure of statistical significance of the observed results, or the probability that the observed results were achieved purely by chance. By convention, a p-value of 0.05 or lower is commonly considered statistically significant. The FDA and comparable non-U.S. regulatory authorities utilize the reported statistical measures when evaluating the results of a clinical trial, including statistical significance as measured by p-value, to evaluate the reported evidence of a drug product’s safety and efficacy.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Improvements in Visual Acuity</w:t>
      </w:r>
    </w:p>
    <w:p>
      <w:pPr>
        <w:spacing w:after="0" w:line="7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Phase 2b clinical trial met the primary endpoint, demonstrating a statistically significant superior mean gain in visual acuity at week 24 compared to baseline in the 2.0 mg OPT-302 combination therapy group compared to the ranibizumab monotherapy group. The figure below illustrates patients in the 2.0 mg OPT-302 combination therapy group had a mean visual acuity improvement of +14.22 letters relative to baseline, compared to +10.84 letters for those treated with ranibizumab monotherapy at week 24 (p=0.0107). This represents a statistically significant benefit of +3.4 letters and a greater than 30% relative improvement in vision outcomes in the OPT-302 combination group compared to ranibizumab monotherapy. Evidence of improved visual acuity was observed beginning as early as week 8 and continued throughout the course of the trial to week 24. Mean visual acuity in the lower dose 0.5 mg OPT-302 combination therapy group was not significantly</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different from the ranibizumab monotherapy group. However, evidence of a dose response was observed between the 2.0 mg and 0.5 mg OPT-302 combination therapy groups on several anatomical outcomes, such as retinal thickness and the proportion of patients with intraretinal and subretinal fluid at week 24.</w:t>
      </w:r>
    </w:p>
    <w:p>
      <w:pPr>
        <w:spacing w:after="0" w:line="117" w:lineRule="exact"/>
        <w:rPr>
          <w:sz w:val="20"/>
          <w:szCs w:val="20"/>
          <w:color w:val="auto"/>
        </w:rPr>
      </w:pPr>
    </w:p>
    <w:p>
      <w:pPr>
        <w:jc w:val="center"/>
        <w:ind w:left="520" w:right="12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Treatment-Naive Wet AMD Patients Administered Ranibizumab Monotherapy or OPT-302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2562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Error bars shown in all figures represent the SEM, or the standard error of the mean.</w:t>
      </w:r>
    </w:p>
    <w:p>
      <w:pPr>
        <w:spacing w:after="0" w:line="1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40"/>
          </w:cols>
          <w:pgMar w:left="320" w:top="455" w:right="5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Secondary outcome measurements from the trial were also supportive of the primary endpoint. As illustrated in the figure below, we observed a greater proportion of patients gaining ³15, ³10 and ³5 letters in the 2.0 mg OPT-302 combination therapy group compared to the ranibizumab monotherapy group. In addition, the proportion of patients losing ³15, ³10 and ³5 letters was lower in the 2.0 mg OPT-302 combination therapy group compared to the ranibizumab monotherapy group. The Phase 2b trial was not designed for statistical significance on secondary and exploratory endpoints and was not powered to detect statistically significant differences in secondary outcome measurements.</w:t>
      </w:r>
    </w:p>
    <w:p>
      <w:pPr>
        <w:spacing w:after="0" w:line="123" w:lineRule="exact"/>
        <w:rPr>
          <w:sz w:val="20"/>
          <w:szCs w:val="20"/>
          <w:color w:val="auto"/>
        </w:rPr>
      </w:pPr>
    </w:p>
    <w:p>
      <w:pPr>
        <w:jc w:val="center"/>
        <w:ind w:left="640"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Greater Proportion of Patients Gaining, and Fewer Patients Losing, </w:t>
      </w:r>
      <w:r>
        <w:rPr>
          <w:rFonts w:ascii="Times New Roman" w:cs="Times New Roman" w:eastAsia="Times New Roman" w:hAnsi="Times New Roman"/>
          <w:sz w:val="18"/>
          <w:szCs w:val="18"/>
          <w:color w:val="auto"/>
        </w:rPr>
        <w:t>³</w:t>
      </w: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³</w:t>
      </w:r>
      <w:r>
        <w:rPr>
          <w:rFonts w:ascii="Times New Roman" w:cs="Times New Roman" w:eastAsia="Times New Roman" w:hAnsi="Times New Roman"/>
          <w:sz w:val="18"/>
          <w:szCs w:val="18"/>
          <w:b w:val="1"/>
          <w:bCs w:val="1"/>
          <w:color w:val="auto"/>
        </w:rPr>
        <w:t xml:space="preserve">10 and </w:t>
      </w:r>
      <w:r>
        <w:rPr>
          <w:rFonts w:ascii="Times New Roman" w:cs="Times New Roman" w:eastAsia="Times New Roman" w:hAnsi="Times New Roman"/>
          <w:sz w:val="18"/>
          <w:szCs w:val="18"/>
          <w:color w:val="auto"/>
        </w:rPr>
        <w:t>³</w:t>
      </w:r>
      <w:r>
        <w:rPr>
          <w:rFonts w:ascii="Times New Roman" w:cs="Times New Roman" w:eastAsia="Times New Roman" w:hAnsi="Times New Roman"/>
          <w:sz w:val="18"/>
          <w:szCs w:val="18"/>
          <w:b w:val="1"/>
          <w:bCs w:val="1"/>
          <w:color w:val="auto"/>
        </w:rPr>
        <w:t>5 Letters with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135890</wp:posOffset>
            </wp:positionV>
            <wp:extent cx="4063365" cy="3471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63365"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40"/>
          </w:cols>
          <w:pgMar w:left="320" w:top="455" w:right="6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Reductions in Retinal Thickness and Fluid</w:t>
      </w:r>
    </w:p>
    <w:p>
      <w:pPr>
        <w:spacing w:after="0" w:line="79" w:lineRule="exact"/>
        <w:rPr>
          <w:sz w:val="20"/>
          <w:szCs w:val="20"/>
          <w:color w:val="auto"/>
        </w:rPr>
      </w:pPr>
    </w:p>
    <w:p>
      <w:pPr>
        <w:ind w:left="120" w:right="40" w:firstLine="440"/>
        <w:spacing w:after="0" w:line="301" w:lineRule="auto"/>
        <w:rPr>
          <w:sz w:val="20"/>
          <w:szCs w:val="20"/>
          <w:color w:val="auto"/>
        </w:rPr>
      </w:pPr>
      <w:r>
        <w:rPr>
          <w:rFonts w:ascii="Times New Roman" w:cs="Times New Roman" w:eastAsia="Times New Roman" w:hAnsi="Times New Roman"/>
          <w:sz w:val="16"/>
          <w:szCs w:val="16"/>
          <w:color w:val="auto"/>
        </w:rPr>
        <w:t>In addition to the statistically significant improvement in visual acuity, treatment with OPT-302 combination therapy led to greater reductions in retinal thickness. The reductions in retinal thickness in patients is consistent with less fluid accumulation in the retina and reduced disease severity as increased fluid accumulation in the retina is associated with the loss of visual acuity in wet AMD patients. The figure below depicts the greater mean reduction in retinal thickness in the OPT-302 combination therapy group compared to the ranibizumab monotherapy group at week 24.</w:t>
      </w:r>
    </w:p>
    <w:p>
      <w:pPr>
        <w:spacing w:after="0" w:line="88" w:lineRule="exact"/>
        <w:rPr>
          <w:sz w:val="20"/>
          <w:szCs w:val="20"/>
          <w:color w:val="auto"/>
        </w:rPr>
      </w:pPr>
    </w:p>
    <w:p>
      <w:pPr>
        <w:jc w:val="center"/>
        <w:ind w:left="860"/>
        <w:spacing w:after="0" w:line="277" w:lineRule="auto"/>
        <w:rPr>
          <w:sz w:val="20"/>
          <w:szCs w:val="20"/>
          <w:color w:val="auto"/>
        </w:rPr>
      </w:pPr>
      <w:r>
        <w:rPr>
          <w:rFonts w:ascii="Times New Roman" w:cs="Times New Roman" w:eastAsia="Times New Roman" w:hAnsi="Times New Roman"/>
          <w:sz w:val="18"/>
          <w:szCs w:val="18"/>
          <w:b w:val="1"/>
          <w:bCs w:val="1"/>
          <w:color w:val="auto"/>
        </w:rPr>
        <w:t>Greater Reduction in Retinal Thickness from Baseline to Week 24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135890</wp:posOffset>
            </wp:positionV>
            <wp:extent cx="2905760" cy="2442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0576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720"/>
          </w:cols>
          <w:pgMar w:left="320" w:top="455" w:right="8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Fewer patients in the OPT-302 combination therapy group had subretinal fluid and intraretinal fluid present compared to the ranibizumab monotherapy group. The presence of subretinal fluid is a hallmark of wet AMD and its resolution is referred to as “drying” of the retina while intraretinal fluid is a prognostic biomarker for poor visual acuity and sub-optimal response to anti-VEGF-A therapies. As illustrated in the figure below, there were approximately 10% fewer patients with subretinal fluid and 5% fewer patients with intraretinal fluid following administration of OPT-302 combination therapy compared to ranibizumab monotherapy.</w:t>
      </w:r>
    </w:p>
    <w:p>
      <w:pPr>
        <w:spacing w:after="0" w:line="123" w:lineRule="exact"/>
        <w:rPr>
          <w:sz w:val="20"/>
          <w:szCs w:val="20"/>
          <w:color w:val="auto"/>
        </w:rPr>
      </w:pPr>
    </w:p>
    <w:p>
      <w:pPr>
        <w:jc w:val="center"/>
        <w:ind w:left="540"/>
        <w:spacing w:after="0" w:line="277" w:lineRule="auto"/>
        <w:rPr>
          <w:sz w:val="20"/>
          <w:szCs w:val="20"/>
          <w:color w:val="auto"/>
        </w:rPr>
      </w:pPr>
      <w:r>
        <w:rPr>
          <w:rFonts w:ascii="Times New Roman" w:cs="Times New Roman" w:eastAsia="Times New Roman" w:hAnsi="Times New Roman"/>
          <w:sz w:val="18"/>
          <w:szCs w:val="18"/>
          <w:b w:val="1"/>
          <w:bCs w:val="1"/>
          <w:color w:val="auto"/>
        </w:rPr>
        <w:t>Fewer Patients with Subretinal and Intraretinal Fluid Present at Week 24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135890</wp:posOffset>
            </wp:positionV>
            <wp:extent cx="3505835" cy="26060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0583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20"/>
          </w:cols>
          <w:pgMar w:left="320" w:top="455" w:right="5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Greater improvements in anatomical indicators of disease severity, including on exploratory endpoints of mean reduction in total lesion area and CNV area, were observed in the OPT-302 combination therapy group compared to ranibizumab monotherapy. As illustrated in the figure below, the patients treated with OPT-302 combination therapy had an approximately 39% further reduction in both total lesion area and CNV area compared to ranibizumab monotherapy.</w:t>
      </w:r>
    </w:p>
    <w:p>
      <w:pPr>
        <w:spacing w:after="0" w:line="120" w:lineRule="exact"/>
        <w:rPr>
          <w:sz w:val="20"/>
          <w:szCs w:val="20"/>
          <w:color w:val="auto"/>
        </w:rPr>
      </w:pPr>
    </w:p>
    <w:p>
      <w:pPr>
        <w:jc w:val="center"/>
        <w:ind w:left="460" w:right="340"/>
        <w:spacing w:after="0" w:line="277" w:lineRule="auto"/>
        <w:rPr>
          <w:sz w:val="20"/>
          <w:szCs w:val="20"/>
          <w:color w:val="auto"/>
        </w:rPr>
      </w:pPr>
      <w:r>
        <w:rPr>
          <w:rFonts w:ascii="Times New Roman" w:cs="Times New Roman" w:eastAsia="Times New Roman" w:hAnsi="Times New Roman"/>
          <w:sz w:val="18"/>
          <w:szCs w:val="18"/>
          <w:b w:val="1"/>
          <w:bCs w:val="1"/>
          <w:color w:val="auto"/>
        </w:rPr>
        <w:t>Greater Reduction in Total Lesion Area and CNV Area from Baseline to Week 24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135890</wp:posOffset>
            </wp:positionV>
            <wp:extent cx="3840480" cy="25203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4048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Improved Therapeutic Outcomes in Wet AMD Lesion Subtypes</w:t>
      </w:r>
    </w:p>
    <w:p>
      <w:pPr>
        <w:spacing w:after="0" w:line="7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number of pre-specified subgroup and exploratory analyses were incorporated into the Phase 2b trial design in order to identify those wet AMD patients who may respond best to OPT-302. The Phase 2b trial randomized patients with a broad range of lesion morphologies including occult, minimally classic and predominantly classic lesions. In addition, the Phase 2b trial investigated efficacy in post-hoc analyses in other wet AMD subtypes, including PCV and RAP. This trial was not designed for statistical significance on these subgroup and exploratory analyses and was not powered to detect statistically significant differences in related measurements.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Patients enrolled in our Phase 2b trial consisted of 44% occult, 43% minimally classic and 13% predominantly classic lesion types, which is similar to the distribution reported in treatment-naive wet AMD patients. Predominantly classic patients typically respond well to VEGF-A inhibitor therapy and an additive benefit of OPT-302 combination therapy could not be discerned in this small patient group of only 15 patients per treatment arm. The majority of patients randomized in the Phase 2b trial had occult or minimally classic lesions. These patients did not respond as well to ranibizumab monotherapy as those with predominantly classic lesions. Patients with occult and minimally classic lesions treated with OPT-302 combination therapy experienced improvement in visual acuity beginning at week 8 and persisting through week 24 compared to ranibizumab monotherapy. The figure below illustrates the mean change in visual acuity over 24 weeks in each of the lesion classifications treated with OPT-302 combination therapy compared to ranibizumab monotherapy.</w:t>
      </w:r>
    </w:p>
    <w:p>
      <w:pPr>
        <w:spacing w:after="0" w:line="129" w:lineRule="exact"/>
        <w:rPr>
          <w:sz w:val="20"/>
          <w:szCs w:val="20"/>
          <w:color w:val="auto"/>
        </w:rPr>
      </w:pPr>
    </w:p>
    <w:p>
      <w:pPr>
        <w:jc w:val="center"/>
        <w:ind w:left="460" w:right="24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Wet AMD Lesion Types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135890</wp:posOffset>
            </wp:positionV>
            <wp:extent cx="5194935" cy="1808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9493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 post-hoc analysis, in the occult lesion subgroup, the mean visual acuity gain from baseline to week 24 in the OPT-302 combination therapy group was +16.2 letters (n=53), compared to +10.2 letters in the ranibizumab monotherapy group (n=51), a benefit of +6.0 letters. In addition, in the minimally classic subgroup, the mean visual acuity gain from baseline to week 24 in the OPT-302 combination therapy group was +13.7 letters (n=53), compared to +11.1 letters in the ranibizumab monotherapy group (n=53), a benefit of +2.7 letters.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left="480"/>
        <w:spacing w:after="0" w:line="277" w:lineRule="auto"/>
        <w:rPr>
          <w:sz w:val="20"/>
          <w:szCs w:val="20"/>
          <w:color w:val="auto"/>
        </w:rPr>
      </w:pPr>
      <w:r>
        <w:rPr>
          <w:rFonts w:ascii="Times New Roman" w:cs="Times New Roman" w:eastAsia="Times New Roman" w:hAnsi="Times New Roman"/>
          <w:sz w:val="18"/>
          <w:szCs w:val="18"/>
          <w:b w:val="1"/>
          <w:bCs w:val="1"/>
          <w:color w:val="auto"/>
        </w:rPr>
        <w:t>Gains in Visual Acuity from Baseline to Week 24 in Patients with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135890</wp:posOffset>
            </wp:positionV>
            <wp:extent cx="4149090" cy="26231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14909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right="3140" w:firstLine="440"/>
        <w:spacing w:after="0" w:line="287" w:lineRule="auto"/>
        <w:rPr>
          <w:sz w:val="20"/>
          <w:szCs w:val="20"/>
          <w:color w:val="auto"/>
        </w:rPr>
      </w:pPr>
      <w:r>
        <w:rPr>
          <w:rFonts w:ascii="Times New Roman" w:cs="Times New Roman" w:eastAsia="Times New Roman" w:hAnsi="Times New Roman"/>
          <w:sz w:val="16"/>
          <w:szCs w:val="16"/>
          <w:color w:val="auto"/>
        </w:rPr>
        <w:t>In particular, in the occult lesion subgroup, we observed a greater proportion of patients gaining ³15 and ³10 letters in the OPT-302 combination therapy group compared to the ranibizumab monotherapy group (approximately 22% and 19% over ranibizumab monotherapy, respectively). In the minimally classic subgroup,</w:t>
      </w: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we observed a greater proportion of patients (approximately 10% over ranibizumab monotherapy) gaining ³10 letters in the OPT-302 combination therapy group compared to the ranibizumab monotherapy group.</w:t>
      </w:r>
    </w:p>
    <w:p>
      <w:pPr>
        <w:spacing w:after="0" w:line="120"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In patients with occult lesions, treatment with OPT-302 combination therapy also led to a greater mean reduction in retinal thickness of -134.6 µm from baseline compared to -103.5 µm for ranibizumab monotherapy. OPT-302 combination therapy did not have greater clinical benefit in the reduction of retinal thickness in minimally classic lesions, compared to the ranibizumab monotherapy group.</w:t>
      </w:r>
    </w:p>
    <w:p>
      <w:pPr>
        <w:spacing w:after="0" w:line="11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patients with occult lesions, approximately 13% and 12% fewer patients in the OPT-302 combination group had subretinal fluid and intraretinal fluid, respectively, as compared to ranibizumab monotherapy at week 24. In patients with minimally classic lesions, approximately 2% fewer patients treated with OPT-302 combination therapy had subretinal fluid and intraretinal fluid compared to patients treated with ranibizumab monotherapy at week 24.</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0" w:firstLine="440"/>
        <w:spacing w:after="0" w:line="275" w:lineRule="auto"/>
        <w:rPr>
          <w:sz w:val="20"/>
          <w:szCs w:val="20"/>
          <w:color w:val="auto"/>
        </w:rPr>
      </w:pPr>
      <w:r>
        <w:rPr>
          <w:rFonts w:ascii="Times New Roman" w:cs="Times New Roman" w:eastAsia="Times New Roman" w:hAnsi="Times New Roman"/>
          <w:sz w:val="18"/>
          <w:szCs w:val="18"/>
          <w:color w:val="auto"/>
        </w:rPr>
        <w:t>As shown in the figures below, by week 24, patients with occult and minimally classic lesions also had greater reductions in both wet AMD total lesion area and CNV area following OPT-302 combination therapy compared to patients receiving ranibizumab monotherapy.</w:t>
      </w:r>
    </w:p>
    <w:p>
      <w:pPr>
        <w:spacing w:after="0" w:line="104" w:lineRule="exact"/>
        <w:rPr>
          <w:sz w:val="20"/>
          <w:szCs w:val="20"/>
          <w:color w:val="auto"/>
        </w:rPr>
      </w:pPr>
    </w:p>
    <w:p>
      <w:pPr>
        <w:jc w:val="center"/>
        <w:ind w:left="460" w:right="240"/>
        <w:spacing w:after="0" w:line="277" w:lineRule="auto"/>
        <w:rPr>
          <w:sz w:val="20"/>
          <w:szCs w:val="20"/>
          <w:color w:val="auto"/>
        </w:rPr>
      </w:pPr>
      <w:r>
        <w:rPr>
          <w:rFonts w:ascii="Times New Roman" w:cs="Times New Roman" w:eastAsia="Times New Roman" w:hAnsi="Times New Roman"/>
          <w:sz w:val="18"/>
          <w:szCs w:val="18"/>
          <w:b w:val="1"/>
          <w:bCs w:val="1"/>
          <w:color w:val="auto"/>
        </w:rPr>
        <w:t>Greater Reduction in Total Lesion Area from Baseline to Week 24 in Patients with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135890</wp:posOffset>
            </wp:positionV>
            <wp:extent cx="3591560" cy="25203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9156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line="277" w:lineRule="auto"/>
        <w:rPr>
          <w:sz w:val="20"/>
          <w:szCs w:val="20"/>
          <w:color w:val="auto"/>
        </w:rPr>
      </w:pPr>
      <w:r>
        <w:rPr>
          <w:rFonts w:ascii="Times New Roman" w:cs="Times New Roman" w:eastAsia="Times New Roman" w:hAnsi="Times New Roman"/>
          <w:sz w:val="18"/>
          <w:szCs w:val="18"/>
          <w:b w:val="1"/>
          <w:bCs w:val="1"/>
          <w:color w:val="auto"/>
        </w:rPr>
        <w:t>Greater Reduction in CNV Area from Baseline to Week 24 in Patients with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135890</wp:posOffset>
            </wp:positionV>
            <wp:extent cx="3600450" cy="2434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0045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right="140" w:firstLine="440"/>
        <w:spacing w:after="0" w:line="310" w:lineRule="auto"/>
        <w:rPr>
          <w:sz w:val="20"/>
          <w:szCs w:val="20"/>
          <w:color w:val="auto"/>
        </w:rPr>
      </w:pPr>
      <w:r>
        <w:rPr>
          <w:rFonts w:ascii="Times New Roman" w:cs="Times New Roman" w:eastAsia="Times New Roman" w:hAnsi="Times New Roman"/>
          <w:sz w:val="16"/>
          <w:szCs w:val="16"/>
          <w:color w:val="auto"/>
        </w:rPr>
        <w:t>OPT-302 combination therapy improved visual acuity to the greatest extent in occult lesions compared to minimally classic or predominantly classic lesions, in each case compared to ranibizumab monotherapy. While these results were generated in treatment-naive wet AMD patients, classification of lesions following treatment with either OPT-302 combination therapy or ranibizumab monotherapy suggests that virtually all lesions shifted</w:t>
      </w:r>
    </w:p>
    <w:p>
      <w:pPr>
        <w:spacing w:after="0" w:line="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740"/>
        <w:spacing w:after="0" w:line="275" w:lineRule="auto"/>
        <w:rPr>
          <w:sz w:val="20"/>
          <w:szCs w:val="20"/>
          <w:color w:val="auto"/>
        </w:rPr>
      </w:pPr>
      <w:r>
        <w:rPr>
          <w:rFonts w:ascii="Times New Roman" w:cs="Times New Roman" w:eastAsia="Times New Roman" w:hAnsi="Times New Roman"/>
          <w:sz w:val="18"/>
          <w:szCs w:val="18"/>
          <w:color w:val="auto"/>
        </w:rPr>
        <w:t>toward an occult morphology. This suggests that OPT-302 combination therapy also has the potential to provide benefit to patients who have been previously treated with anti-VEGF-A monotherapy, given the predominantly occult morphology of their lesions following treatment.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RAP and PCV Lesion Subtypes</w:t>
      </w:r>
    </w:p>
    <w:p>
      <w:pPr>
        <w:spacing w:after="0" w:line="79" w:lineRule="exact"/>
        <w:rPr>
          <w:sz w:val="20"/>
          <w:szCs w:val="20"/>
          <w:color w:val="auto"/>
        </w:rPr>
      </w:pPr>
    </w:p>
    <w:p>
      <w:pPr>
        <w:ind w:left="120" w:right="40" w:firstLine="440"/>
        <w:spacing w:after="0" w:line="310" w:lineRule="auto"/>
        <w:rPr>
          <w:sz w:val="20"/>
          <w:szCs w:val="20"/>
          <w:color w:val="auto"/>
        </w:rPr>
      </w:pPr>
      <w:r>
        <w:rPr>
          <w:rFonts w:ascii="Times New Roman" w:cs="Times New Roman" w:eastAsia="Times New Roman" w:hAnsi="Times New Roman"/>
          <w:sz w:val="16"/>
          <w:szCs w:val="16"/>
          <w:color w:val="auto"/>
        </w:rPr>
        <w:t>In our Phase 2b clinical trial, over 85% of patients enrolled did not have RAP lesions detected at randomization and these patients responded better to OPT-302 than patients with RAP lesions. In patients without RAP lesions, the mean visual acuity gain from baseline to week 24 was +15.0 letters (n=103) with OPT-302 combination therapy, compared to +10.6 letters for those treated with ranibizumab monotherapy (n=102), a benefit of +4.4 letters.</w:t>
      </w:r>
    </w:p>
    <w:p>
      <w:pPr>
        <w:spacing w:after="0" w:line="82" w:lineRule="exact"/>
        <w:rPr>
          <w:sz w:val="20"/>
          <w:szCs w:val="20"/>
          <w:color w:val="auto"/>
        </w:rPr>
      </w:pPr>
    </w:p>
    <w:p>
      <w:pPr>
        <w:jc w:val="center"/>
        <w:ind w:left="44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Patients Without RAP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135890</wp:posOffset>
            </wp:positionV>
            <wp:extent cx="2983230" cy="2425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8323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patients without RAP lesions who had occult or minimally classic lesions, representing the majority of wet AMD patients, the mean visual acuity gain from baseline to week 24 was +16.1 letters with OPT-302 combination therapy (n=88) compared to +10.3 letters for those treated with ranibizumab monotherapy (n=87), a benefit of +5.7 letters. This represents the patient population for which the primary analysis of the primary endpoint of the planned Phase 3 trials of OPT-302 combination therapy for the treatment of wet AMD will be first conducted, followed by analysis of the total patient population and the every-eight week dosing groups.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left="460" w:right="8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the combined group of RAP Absent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27432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Patients with RAP absent occult lesions demonstrated a mean visual acuity gain at week 24 of +16.8 letters with OPT-302 combination therapy (n=49) compared to +10.2 letters for those treated with ranibizumab monotherapy (n=47), a gain of +6.5 letters. Patients with RAP absent minimally classic lesions demonstrated a mean visual acuity gain at week 24 of +14.9 letters with OPT-302 combination therapy (n=39) compared to +10.0 letters for those treated with ranibizumab monotherapy (n=40), a gain of +4.7 letters.</w:t>
      </w:r>
    </w:p>
    <w:p>
      <w:pPr>
        <w:spacing w:after="0" w:line="120" w:lineRule="exact"/>
        <w:rPr>
          <w:sz w:val="20"/>
          <w:szCs w:val="20"/>
          <w:color w:val="auto"/>
        </w:rPr>
      </w:pPr>
    </w:p>
    <w:p>
      <w:pPr>
        <w:jc w:val="center"/>
        <w:ind w:left="480" w:right="6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RAP Absent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23399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8604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80"/>
          </w:cols>
          <w:pgMar w:left="320" w:top="455" w:right="49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Improved Therapeutic Outcomes of OPT-302 in PCV Lesions</w:t>
      </w:r>
    </w:p>
    <w:p>
      <w:pPr>
        <w:spacing w:after="0" w:line="7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patients with PCV lesions, the mean visual acuity gain from baseline to week 24 in the OPT-302 combination therapy group was +13.5 letters (n=22), compared to +6.9 letters in the ranibizumab monotherapy group (n=20). This equates to a benefit of +6.7 letters and is almost a two-fold improvement in visual acuity gain observed from baseline following OPT-302 combination therapy. Ranibizumab monotherapy was not observed to be as effective in patients with PCV compared to other wet AMD subtypes.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7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OPT-302 was well tolerated in this Phase 2b trial with a very low incidence of ocular inflammation and no safety issues identified with addition of OPT-302 to ranibizumab intravitreal therapy. The incidence of ocular TEAEs was similar in OPT-302 combination groups compared to the ranibizumab monotherapy group. TEAEs were considered potentially treatment related in approximately 15% of patients. The most common treatment-related TEAEs were eye pain, vitreous floaters, eye irritation and raised intraocular pressure. One patient discontinued from the trial due to a TEAE, which was not considered treatment related. Three patients treated with OPT-302 combination therapy had potentially treatment-related SAEs: one case each of vitritis, endophthalmitis and myocardial infarction.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Planned Pivotal Phase 3 Clinical Trials in Wet AMD</w:t>
      </w:r>
    </w:p>
    <w:p>
      <w:pPr>
        <w:spacing w:after="0" w:line="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planning to initiate two concurrent pivotal Phase 3 clinical trials for the treatment of wet AMD. These double-masked, sham-controlled Phase 3 clinical trials will enroll treatment-naive patients and assess the efficacy and safety of 2.0 mg of OPT-302 in combination with anti-VEGF-A therapy for treatment-naive patients with wet AMD compared to a standard of care anti-VEGF-A monotherapy. In addition, to understand the durability of OPT-302 treatment effect with less frequent dosing, each trial will compare the clinical efficacy of OPT-302 administered in combination with the applicable VEGF-A inhibitor on an every 4-week and every 8-week dosing regimen. The primary endpoint of both trials will be the mean change in visual acuity from baseline at week 52. Patients will continue to be dosed until week 96 to further assess long-term safety at week 100. We expect to initiate the trials in the first half of 2021 and to report topline data in 2023. If the results at the completion of the primary efficacy phase at week 52 of the Phase 3 clinical trials are favorable, we intend to file for marketing approval for OPT-302 for the treatment of wet AMD in the United States, European Union and certain other territories.</w:t>
      </w:r>
    </w:p>
    <w:p>
      <w:pPr>
        <w:spacing w:after="0" w:line="1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60"/>
          </w:cols>
          <w:pgMar w:left="320" w:top="455" w:right="51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Study of OPT-302 in Combination with Ranibizumab (ShORe) Phase 3 Trial</w:t>
      </w:r>
    </w:p>
    <w:p>
      <w:pPr>
        <w:spacing w:after="0" w:line="7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Study of OPT-302 in combination with Ranibizumab, or ShORe, Phase 3 trial, treatment-naive patients with wet AMD will be randomized to one of three treatment groups. Patients randomized to the standard dosing arm will receive standard of care 0.5 mg ranibizumab every four weeks in combination with 2.0 mg OPT-302 on a standard every four weeks dosing regimen. In the extended dosing arm, 0.5 mg ranibizumab will be administered every four weeks to week 52, in combination with 2.0 mg OPT-302 administered every four weeks for three total doses over 12 weeks, followed by OPT-302 dosing every eight weeks to week 52, with a sham injection administered at visits where OPT-302 is not administered. Patients randomized to the control arm will receive 0.5 mg ranibizumab administered in combination with sham intravitreal injections administered every four weeks to week 52. The primary and secondary efficacy outcomes will be determined at the end of the efficacy phase at week 52. Each patient will then continue to be treated for an additional year in the safety phase to reach week 100 to evaluate safety and tolerability over a total two-year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152400</wp:posOffset>
            </wp:positionV>
            <wp:extent cx="5229225" cy="1440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2922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Combination of OPT-302 with Aflibercept STudy (COAST) Phase 3 Trial</w:t>
      </w:r>
    </w:p>
    <w:p>
      <w:pPr>
        <w:spacing w:after="0" w:line="79" w:lineRule="exact"/>
        <w:rPr>
          <w:sz w:val="20"/>
          <w:szCs w:val="20"/>
          <w:color w:val="auto"/>
        </w:rPr>
      </w:pPr>
    </w:p>
    <w:p>
      <w:pPr>
        <w:ind w:left="120" w:firstLine="440"/>
        <w:spacing w:after="0" w:line="288" w:lineRule="auto"/>
        <w:rPr>
          <w:sz w:val="20"/>
          <w:szCs w:val="20"/>
          <w:color w:val="auto"/>
        </w:rPr>
      </w:pPr>
      <w:r>
        <w:rPr>
          <w:rFonts w:ascii="Times New Roman" w:cs="Times New Roman" w:eastAsia="Times New Roman" w:hAnsi="Times New Roman"/>
          <w:sz w:val="16"/>
          <w:szCs w:val="16"/>
          <w:color w:val="auto"/>
        </w:rPr>
        <w:t>In the Combination OPT-302 with Aflibercept STudy, or COAST, Phase 3 trial, treatment-naive wet AMD patients will be randomized to one of three treatment groups. Patients randomized to the standard dosing arm will receive 2.0 mg aflibercept administered every four weeks for three total doses over 12 weeks, followed by aflibercept dosing every eight weeks to week 52, in combination with 2.0 mg OPT-302 administered every four weeks to week 52. In the extended dosing arm, 2.0 mg aflibercept in combination with 2.0 mg OPT-302 will be administered every four weeks for three total doses over 12 weeks, followed by dosing every eight weeks to week 52, with a sham injection administered at visits where OPT-302 and aflibercept are not administered. Patients randomized to the control arm, will receive 2.0 mg aflibercept administered every four weeks for three total doses over 12 weeks, followed by dosing every eight weeks to week 52, in combination with sham intravitreal injections administered every four weeks to week 52. Similar to the ShORe trial, the primary and secondary efficacy outcomes of the COAST trial will be assessed at the end of the efficacy phase at week 52. Each patient will then continue to be treated for an additional year in the safety phase to reach week 100 to evaluate the safety and tolerability over a total two-year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440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8604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For consistency, the ShORe and COAST Phase 3 trials build upon and maintain key features of our Phase 2b clinical trial of OPT-302 combination therapy for the treatment of wet AMD, while evaluating the administration of OPT-302 combination therapy over a longer treatment period and in a greater number of patients. In addition, the results of our Phase 2b clinical trial has informed the design of the Phase 3 trials. Analysis of the Phase 2b trial demonstrated that OPT-302 combination therapy increased visual acuity by a further +5.7 letters over ranibizumab monotherapy in wet AMD patients with minimally classic and occult lesions, representing the majority of wet AMD patients. Based on these positive data, primary analysis of the primary endpoint of the Phase 3 trials will be first conducted in patients with minimally classic and occult lesions administered OPT-302 every four weeks, followed by analysis on the total patient population and the every-eight week dosing groups.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Co-Formulation</w:t>
      </w:r>
    </w:p>
    <w:p>
      <w:pPr>
        <w:spacing w:after="0" w:line="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OPT-302 is currently administered as a combination therapy consisting of a sequential injection of OPT-302 following intravitreal administration of a VEGF-A inhibitor. We plan to develop a co-formulation of OPT-302 with an approved and/or biosimilar anti-VEGF-A therapy to achieve VEGF-A, VEGF-C and VEGF-D inhibition following the administration of a single intravitreal injection of the co-formulated product. We believe that a co-formulated OPT-302 and VEGF-A inhibitor product could provide flexibility of treatment options for physicians and reduce the frequency and number of injections for patients.</w:t>
      </w:r>
    </w:p>
    <w:p>
      <w:pPr>
        <w:spacing w:after="0" w:line="1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currently assessing opportunities with multiple third parties to in-license and/or generate a biosimilar anti-VEGF-A therapy, which we intend to co-formulate with OPT-302 and advance through non-clinical studies, including IND-enabling safety and tolerability studies. We expect to file an IND for the co-formulated product in the second half of 2021 and subsequently investigate the co-formulated product in a Phase 1 clinical trial for the treatment of wet AMD.</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Diabetic Macular Edema</w:t>
      </w:r>
    </w:p>
    <w:p>
      <w:pPr>
        <w:spacing w:after="0" w:line="7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Diabetic macular edema is a complication of DR, a disease affecting the blood vessels of the retina in diabetics. Chronically elevated blood glucose levels, or hyperglycemia, causes damage to the small blood vessels or capillaries in the retina in patients with diabetes. The consequent chronic decrease in oxygen supply to retinal cells results in tissue damage that is referred to as DR. Approximately one-third of patients with DR or up to 10% of diabetics develop DME, which is characterized by accumulation of fluid and retinal thickening within the macula and is responsible for most of the central visual loss experienced in the diabetic population. Central-involved DME is diagnosed when swelling or edema occurs from fluid leaking into the central fovea region of the macula.</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DME and Their Limitations</w:t>
      </w:r>
    </w:p>
    <w:p>
      <w:pPr>
        <w:spacing w:after="0" w:line="81" w:lineRule="exact"/>
        <w:rPr>
          <w:sz w:val="20"/>
          <w:szCs w:val="20"/>
          <w:color w:val="auto"/>
        </w:rPr>
      </w:pPr>
    </w:p>
    <w:p>
      <w:pPr>
        <w:ind w:left="120" w:right="60" w:firstLine="440"/>
        <w:spacing w:after="0" w:line="301" w:lineRule="auto"/>
        <w:rPr>
          <w:sz w:val="20"/>
          <w:szCs w:val="20"/>
          <w:color w:val="auto"/>
        </w:rPr>
      </w:pPr>
      <w:r>
        <w:rPr>
          <w:rFonts w:ascii="Times New Roman" w:cs="Times New Roman" w:eastAsia="Times New Roman" w:hAnsi="Times New Roman"/>
          <w:sz w:val="16"/>
          <w:szCs w:val="16"/>
          <w:color w:val="auto"/>
        </w:rPr>
        <w:t>VEGF-A inhibitor therapy is the first-line standard of care therapy for DME. Both ranibizumab and aflibercept are approved for the treatment of DME, and similarly to wet AMD, many patients receive bevacizumab as an off-label, lower cost alternative VEGF-A inhibitor therapy. Many patients with central-involved DME require near-monthly administration of intravitreal VEGF-A inhibitors during the first 12 months of treatment, with fewer injections needed in subsequent years to maintain clinical benefit. VEGF-A inhibitors have largely replaced the use of laser photocoagulation as a treatment for DME.</w:t>
      </w:r>
    </w:p>
    <w:p>
      <w:pPr>
        <w:spacing w:after="0" w:line="90"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6"/>
          <w:szCs w:val="16"/>
          <w:color w:val="auto"/>
        </w:rPr>
        <w:t>The anti-inflammatory corticosteroid therapies dexamethasone (Ozurdex) and fluocinolone acetonide (Illuvian) are also approved for use in central-involved DME. These agents however, are rarely used as first-line therapy due to inferior visual acuity outcomes compared to anti-VEGF-A therapy. Patients with persistent DME and who are insufficiently responsive to anti-VEGF-A therapy have shown some treatment benefit with intravitreal corticosteroids. However, as intravitreal corticosteroids are associated with high rates of ocular adverse events including cataract progression and intraocular pressure elevation, switching to corticosteroids from an anti-VEGF-A therapy with a sub-optimal response needs to be carefully considered.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firstLine="440"/>
        <w:spacing w:after="0" w:line="293" w:lineRule="auto"/>
        <w:rPr>
          <w:sz w:val="20"/>
          <w:szCs w:val="20"/>
          <w:color w:val="auto"/>
        </w:rPr>
      </w:pPr>
      <w:r>
        <w:rPr>
          <w:rFonts w:ascii="Times New Roman" w:cs="Times New Roman" w:eastAsia="Times New Roman" w:hAnsi="Times New Roman"/>
          <w:sz w:val="16"/>
          <w:szCs w:val="16"/>
          <w:color w:val="auto"/>
        </w:rPr>
        <w:t>Despite the widespread use of treatments targeting VEGF-A in the management of DME, there is still a significant unmet need as many patients demonstrate a sub-optimal response, remain treatment refractory or require frequent injections for persistent leakage in the macula. Up to two-thirds of patients with central-involved DME treated with VEGF-A inhibitors do not show reductions in the fluid or clinically meaningful improvement in visual acuity. In addition, approximately 25% of DME patients treated with VEGF-A inhibitors continue to have macula thickening and swelling following treatment. This resistance may occur as treatment selective anti-VEGF-A monotherapies do not fully address all of the factors involved in the pathogenesis of DME. As such, combination therapies targeting alternative factors and pathways have the potential for improved clinical outcomes in DME patients.</w:t>
      </w:r>
    </w:p>
    <w:p>
      <w:pPr>
        <w:spacing w:after="0" w:line="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the Treatment of DME</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It is estimated that between 1.3 million and 2.0 million people worldwide, including 14% of Type 1 diabetics and 6% of Type 2 diabetics, have DME . The risk of developing DME increases with time. According to the Wisconsin Epidemiologic Study of Diabetic Retinopathy, after 10 years of follow-up, 20% of patients with Type 1 diabetes and 25% of those with Type 2 diabetes will have developed DME. Ranibizumab and aflibercept, two VEGF-A inhibitors approved for the treatment of DME, generated combined annual worldwide sales of over $11.9 billion in 2019. Approximately 22% of these sales are attributable to the treatment of DME.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for OPT-302 in DME</w:t>
      </w:r>
    </w:p>
    <w:p>
      <w:pPr>
        <w:spacing w:after="0" w:line="81"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We believe that as a potent inhibitor of VEGF-C and VEGF-D, OPT-302 has the potential to provide significant therapeutic benefit to patients affected by DME. Although the underlying causes of wet AMD and DME differ, members of the VEGF family play a role in the progression of both diseases. VEGF-C and VEGF-D and their receptors are specifically implicated in the progression of diabetes. For example, patients with diabetes have higher levels of VEGF-C and VEGF-A and increased expression of both VEGFR-2 and VEGFR-3 in the retina compared to non-diabetics. The VEGF-A inhibitors ranibizumab and aflibercept, originally approved for treatment of wet AMD patients, have also been approved for treatment of DME patients. Similar to wet AMD, bevacizumab is also frequently used off-label as a treatment for DME.</w:t>
      </w:r>
    </w:p>
    <w:p>
      <w:pPr>
        <w:spacing w:after="0" w:line="125" w:lineRule="exact"/>
        <w:rPr>
          <w:sz w:val="20"/>
          <w:szCs w:val="20"/>
          <w:color w:val="auto"/>
        </w:rPr>
      </w:pPr>
    </w:p>
    <w:p>
      <w:pPr>
        <w:ind w:left="120" w:right="480" w:firstLine="440"/>
        <w:spacing w:after="0" w:line="258" w:lineRule="auto"/>
        <w:rPr>
          <w:sz w:val="20"/>
          <w:szCs w:val="20"/>
          <w:color w:val="auto"/>
        </w:rPr>
      </w:pPr>
      <w:r>
        <w:rPr>
          <w:rFonts w:ascii="Times New Roman" w:cs="Times New Roman" w:eastAsia="Times New Roman" w:hAnsi="Times New Roman"/>
          <w:sz w:val="18"/>
          <w:szCs w:val="18"/>
          <w:color w:val="auto"/>
        </w:rPr>
        <w:t>In our completed Phase 1b dose escalation clinical trial in patients with persistent DME, we observed promising evidence of a dose response of OPT-302 in combination with aflibercept, including further improvements in visual acuity despite patients’ having been previously treated with anti-VEGF-A therapy. In our completed Phase 2a clinical trial, we observed improved visual acuity outcomes and evidence of a reduction in retinal thickness in treatment-refractory DME patients following OPT-302 combination therapy.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1b Clinical Trial of OPT-302 in DME</w:t>
      </w:r>
    </w:p>
    <w:p>
      <w:pPr>
        <w:spacing w:after="0" w:line="8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2018, we completed a Phase 1b dose-escalation clinical trial of OPT-302 in combination with aflibercept in nine patients with persistent DME that were previously treated with anti-VEGF-A therapies. Patients were administered three escalating doses (0.3 mg, 1.0 mg or 2.0 mg) of OPT-302 in combination with 2.0 mg aflibercept by intravitreal injections once every four weeks for a total of three doses. The primary analysis was conducted at week 12, four weeks after the final dose.</w:t>
      </w:r>
    </w:p>
    <w:p>
      <w:pPr>
        <w:spacing w:after="0" w:line="122" w:lineRule="exact"/>
        <w:rPr>
          <w:sz w:val="20"/>
          <w:szCs w:val="20"/>
          <w:color w:val="auto"/>
        </w:rPr>
      </w:pPr>
    </w:p>
    <w:p>
      <w:pPr>
        <w:jc w:val="both"/>
        <w:ind w:left="120" w:right="500" w:firstLine="440"/>
        <w:spacing w:after="0" w:line="262" w:lineRule="auto"/>
        <w:rPr>
          <w:sz w:val="20"/>
          <w:szCs w:val="20"/>
          <w:color w:val="auto"/>
        </w:rPr>
      </w:pPr>
      <w:r>
        <w:rPr>
          <w:rFonts w:ascii="Times New Roman" w:cs="Times New Roman" w:eastAsia="Times New Roman" w:hAnsi="Times New Roman"/>
          <w:sz w:val="18"/>
          <w:szCs w:val="18"/>
          <w:color w:val="auto"/>
        </w:rPr>
        <w:t>Across all nine patients in the Phase 1b trial, a mean gain in visual acuity of +7.7 letters from baseline to week 12 was observed across all dose groups, with a clear dose response of improved visual acuity with increasing doses of OPT-302. There was a corresponding mean decrease in retinal thickness at week 12 of -71 µm from baseline and six of nine (67%) patients had a ³50% reduction in excess foveal thickness.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left="520" w:right="80"/>
        <w:spacing w:after="0" w:line="277" w:lineRule="auto"/>
        <w:rPr>
          <w:sz w:val="20"/>
          <w:szCs w:val="20"/>
          <w:color w:val="auto"/>
        </w:rPr>
      </w:pPr>
      <w:r>
        <w:rPr>
          <w:rFonts w:ascii="Times New Roman" w:cs="Times New Roman" w:eastAsia="Times New Roman" w:hAnsi="Times New Roman"/>
          <w:sz w:val="18"/>
          <w:szCs w:val="18"/>
          <w:b w:val="1"/>
          <w:bCs w:val="1"/>
          <w:color w:val="auto"/>
        </w:rPr>
        <w:t>Dose-dependent Increases in Visual Acuity and Reduction in Retinal Thickness at Week 12 Following Treatment with OPT-302 in Combination with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135890</wp:posOffset>
            </wp:positionV>
            <wp:extent cx="4166235" cy="24942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6623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Five of the nine patients in the Phase 1b trial had bilateral, persistent treatment-refractory DME. In these patients, study eyes received OPT-302 in combination with aflibercept, and fellow eyes received standard of care anti-VEGF-A monotherapy. In these bilateral disease patients, the mean change in visual acuity from baseline to week 12 was +10.0 letters in the study eye and +2.6 letters in the fellow eye. The corresponding reduction in retinal thickness from baseline to week 12 was -80 µm for OPT-302 combination treated study eyes, compared to -6 µm in fellow eyes that received anti-VEGF-A monotherapy.</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60"/>
          </w:cols>
          <w:pgMar w:left="320" w:top="455" w:right="51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left="540" w:right="100"/>
        <w:spacing w:after="0" w:line="277" w:lineRule="auto"/>
        <w:rPr>
          <w:sz w:val="20"/>
          <w:szCs w:val="20"/>
          <w:color w:val="auto"/>
        </w:rPr>
      </w:pPr>
      <w:r>
        <w:rPr>
          <w:rFonts w:ascii="Times New Roman" w:cs="Times New Roman" w:eastAsia="Times New Roman" w:hAnsi="Times New Roman"/>
          <w:sz w:val="18"/>
          <w:szCs w:val="18"/>
          <w:b w:val="1"/>
          <w:bCs w:val="1"/>
          <w:color w:val="auto"/>
        </w:rPr>
        <w:t>In Patients with Bilateral DME, OPT-302 Combination Therapy Improved Visual Acuity and Reduced Retinal Thickness Compared to Fellow Eyes Treated with Anti-VEGF-A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135890</wp:posOffset>
            </wp:positionV>
            <wp:extent cx="3754755" cy="27774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75475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 w:hanging="92"/>
        <w:spacing w:after="0"/>
        <w:tabs>
          <w:tab w:leader="none" w:pos="3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Patients with bilateral disease and persistent DME in the fellow eye receiving anti-VEGF-A (ranibizumab or aflibercept) monotherapy. Prior anti-VEGF-A therapy in Fellow Eyes BL to Week 12 (5</w:t>
      </w:r>
    </w:p>
    <w:p>
      <w:pPr>
        <w:spacing w:after="0" w:line="13" w:lineRule="exact"/>
        <w:rPr>
          <w:rFonts w:ascii="Times New Roman" w:cs="Times New Roman" w:eastAsia="Times New Roman" w:hAnsi="Times New Roman"/>
          <w:sz w:val="13"/>
          <w:szCs w:val="13"/>
          <w:color w:val="auto"/>
        </w:rPr>
      </w:pPr>
    </w:p>
    <w:p>
      <w:pPr>
        <w:ind w:left="30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patients): 3x Aflibercept, 3x Ranibizumab, 1x Ranibizumab, 4x Ranibizumab, 3x Aflibercept.</w:t>
      </w:r>
    </w:p>
    <w:p>
      <w:pPr>
        <w:spacing w:after="0" w:line="13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OPT-302 in combination with aflibercept was well tolerated at all dose levels, with no DLTs and the MTD was not reached. There were no treatment-related clinically significant changes in intraocular pressure, electrocardiograms or vital signs. The most common AEs were related to the intravitreal injection procedure.</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2a Clinical Trial of OPT-302 in DME</w:t>
      </w:r>
    </w:p>
    <w:p>
      <w:pPr>
        <w:spacing w:after="0" w:line="8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Based on the positive results of our Phase 1b trial, we reported outcomes from a Phase 2a trial in persistent DME patients refractory to anti-VEGF-A therapy in June 2020. Similar to the Phase 1b trial, this proof-of-concept trial was designed to investigate the ability of OPT-302 to improve outcomes in persistent DME patients. The primary endpoints were clinical response rate in visual acuity as well as safety and tolerability.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Clinical Trial Design</w:t>
      </w:r>
    </w:p>
    <w:p>
      <w:pPr>
        <w:spacing w:after="0" w:line="79" w:lineRule="exact"/>
        <w:rPr>
          <w:sz w:val="20"/>
          <w:szCs w:val="20"/>
          <w:color w:val="auto"/>
        </w:rPr>
      </w:pPr>
    </w:p>
    <w:p>
      <w:pPr>
        <w:ind w:left="120" w:firstLine="440"/>
        <w:spacing w:after="0" w:line="293" w:lineRule="auto"/>
        <w:rPr>
          <w:sz w:val="20"/>
          <w:szCs w:val="20"/>
          <w:color w:val="auto"/>
        </w:rPr>
      </w:pPr>
      <w:r>
        <w:rPr>
          <w:rFonts w:ascii="Times New Roman" w:cs="Times New Roman" w:eastAsia="Times New Roman" w:hAnsi="Times New Roman"/>
          <w:sz w:val="16"/>
          <w:szCs w:val="16"/>
          <w:color w:val="auto"/>
        </w:rPr>
        <w:t>This Phase 2a trial was a randomized, double-masked, dose expansion trial that enrolled patients diagnosed with persistent center-involved DME despite regular administration of prior anti-VEGF-A monotherapy. These patients are considered to be a difficult-to-treat patient population since they have received prior anti-VEGF-A therapy and experienced a suboptimal clinical response. In our trial, these patients were defined as having visual acuity between 20/40 and 20/320 Snellen equivalent, or £73 and ³24 BCVA letters on the ETDRS standardized eye chart, and retinal thickness of ³320 µm on SD-OCT. In this Phase 2a trial, the mean number of prior intravitreal anti-VEGF-A injections was eight in each of the treatment groups, reflecting that the patients recruited into this trial were heavily pre-treated, with a mean of 39 days since the immediate prior injection to the start of the trial.</w:t>
      </w:r>
    </w:p>
    <w:p>
      <w:pPr>
        <w:spacing w:after="0" w:line="97"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The Phase 2a trial was conducted at 53 trial sites in the United States, Israel, Australia and Latvia. Of the 144 patients randomized in the trial, 115 patients conformed sufficiently with the trial protocol and were included in our analyses of clinical efficacy. Patients were randomized 2:1 to receive either 2.0 mg OPT-302 in</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40"/>
          </w:cols>
          <w:pgMar w:left="320" w:top="455" w:right="5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80"/>
        <w:spacing w:after="0" w:line="275" w:lineRule="auto"/>
        <w:rPr>
          <w:sz w:val="20"/>
          <w:szCs w:val="20"/>
          <w:color w:val="auto"/>
        </w:rPr>
      </w:pPr>
      <w:r>
        <w:rPr>
          <w:rFonts w:ascii="Times New Roman" w:cs="Times New Roman" w:eastAsia="Times New Roman" w:hAnsi="Times New Roman"/>
          <w:sz w:val="18"/>
          <w:szCs w:val="18"/>
          <w:color w:val="auto"/>
        </w:rPr>
        <w:t>combination with 2.0 mg aflibercept or a sham injection and 2.0 mg aflibercept. Patients received intravitreal injections once every four weeks for a total of three doses. The primary analysis was conducted at week 12, four weeks after the final dose.</w:t>
      </w:r>
    </w:p>
    <w:p>
      <w:pPr>
        <w:spacing w:after="0" w:line="10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Design of the Phase 2a Clinical Trial of OPT-302 in Combination with Aflibercept in Persistent Diabetic Macular 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170180</wp:posOffset>
            </wp:positionV>
            <wp:extent cx="4166235" cy="10972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16623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 xml:space="preserve">PRN refers to </w:t>
      </w:r>
      <w:r>
        <w:rPr>
          <w:rFonts w:ascii="Times New Roman" w:cs="Times New Roman" w:eastAsia="Times New Roman" w:hAnsi="Times New Roman"/>
          <w:sz w:val="13"/>
          <w:szCs w:val="13"/>
          <w:i w:val="1"/>
          <w:iCs w:val="1"/>
          <w:color w:val="auto"/>
        </w:rPr>
        <w:t>pro re nata</w:t>
      </w:r>
      <w:r>
        <w:rPr>
          <w:rFonts w:ascii="Times New Roman" w:cs="Times New Roman" w:eastAsia="Times New Roman" w:hAnsi="Times New Roman"/>
          <w:sz w:val="13"/>
          <w:szCs w:val="13"/>
          <w:color w:val="auto"/>
        </w:rPr>
        <w:t>, or treatment on an as needed basis.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Improvements in Visual Acuity</w:t>
      </w:r>
    </w:p>
    <w:p>
      <w:pPr>
        <w:spacing w:after="0" w:line="7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primary efficacy endpoint of the trial was the clinical response rate, defined as the proportion of patients receiving OPT-302 combination therapy that achieved a ³5 letter gain in visual acuity at week 12 compared to baseline. Our predefined measure of success was a response rate of greater than or equal to 38%, based on historical observations that show limited ability to achieve a ³5 letter improvement in DME patients on long-term anti-VEGF-A monotherapy. As an exploratory trial, this Phase 2a was not powered to detect statistical significance of OPT-302 combination therapy compared to aflibercept monotherapy.</w:t>
      </w:r>
    </w:p>
    <w:p>
      <w:pPr>
        <w:spacing w:after="0" w:line="125"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We observed that 52.8% of patients treated with OPT-302 combination therapy achieved a ³5 letter improvement in visual acuity at week 12 compared to baseline, meeting the pre-specified primary efficacy endpoint for this trial.</w:t>
      </w:r>
    </w:p>
    <w:p>
      <w:pPr>
        <w:spacing w:after="0" w:line="10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mean change in visual acuity at week 12 compared to baseline was +5.9 letters in patients receiving OPT-302 combination therapy and +6.1 letters in the aflibercept monotherapy group. In the OPT-302 combination therapy group, the percentage of patients with visual acuity gains of ³10 and ³15 letters was higher, and the percentage of patients who lost ³5 letters was lower than that in the aflibercept monotherapy group. These measures of visual function are shown in the figure below.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Measures of Visual Acuity at Week 12 Following OPT-302 Combination Therapy and Aflibercept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170180</wp:posOffset>
            </wp:positionV>
            <wp:extent cx="4946015" cy="19545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4601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8"/>
          <w:szCs w:val="18"/>
          <w:color w:val="auto"/>
        </w:rPr>
        <w:t>Patients treated with OPT-302 combination therapy also had decreased retinal thickness compared to aflibercept monotherapy, as shown in the figure below.</w:t>
      </w:r>
    </w:p>
    <w:p>
      <w:pPr>
        <w:spacing w:after="0" w:line="104" w:lineRule="exact"/>
        <w:rPr>
          <w:sz w:val="20"/>
          <w:szCs w:val="20"/>
          <w:color w:val="auto"/>
        </w:rPr>
      </w:pPr>
    </w:p>
    <w:p>
      <w:pPr>
        <w:jc w:val="center"/>
        <w:ind w:left="440" w:right="500"/>
        <w:spacing w:after="0" w:line="277" w:lineRule="auto"/>
        <w:rPr>
          <w:sz w:val="20"/>
          <w:szCs w:val="20"/>
          <w:color w:val="auto"/>
        </w:rPr>
      </w:pPr>
      <w:r>
        <w:rPr>
          <w:rFonts w:ascii="Times New Roman" w:cs="Times New Roman" w:eastAsia="Times New Roman" w:hAnsi="Times New Roman"/>
          <w:sz w:val="18"/>
          <w:szCs w:val="18"/>
          <w:b w:val="1"/>
          <w:bCs w:val="1"/>
          <w:color w:val="auto"/>
        </w:rPr>
        <w:t>Greater Reduction in Retinal Thickness from Baseline to Week 12 following OPT-302 Combination Therapy Compared to Aflibercept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135890</wp:posOffset>
            </wp:positionV>
            <wp:extent cx="4020185" cy="26492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2018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Prior Treatment History in Persistent DME Patients</w:t>
      </w:r>
    </w:p>
    <w:p>
      <w:pPr>
        <w:spacing w:after="0" w:line="7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Prior studies have shown that DME patients with mild visual acuity loss of 20/40 or better at baseline, show similar outcomes to any of the VEGF-A therapies: ranibizumab, aflibercept and bevacizumab. However, in patients with poorer baseline vision of 20/50 or worse, aflibercept has better outcomes compared to ranibizumab and bevacizumab over the first 12 months of treatment. It has also been shown that DME patients who experience inadequate responses to ranibizumab have achieved further anatomical and functional improvements upon switching to aflibercept.</w:t>
      </w:r>
    </w:p>
    <w:p>
      <w:pPr>
        <w:spacing w:after="0" w:line="12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Due to the challenge of enrolling a large group of patients with identical prior treatment histories, we designed our Phase 2a trial to accelerate enrollment by randomizing patients with variable prior treatment histories. This strategy allowed us to more broadly understand the prior treatment history in persistent DME patients, which will inform the design of our future trials in DME.</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explore the importance of differences in prior treatment history, we collected detailed anti-VEGF-A treatment histories for patients enrolled in our Phase 2a DME trial. Patients randomized into our Phase 2a trial had variable prior treatment histories which included infrequent or irregular dosing and/or therapy with aflibercept, ranibizumab and bevacizumab. Approximately one third of patients had a prior treatment history of having received only aflibercept, or aflibercept for their three anti-VEGF-A treatments immediately before trial enrollment. Approximately 11% of patients had a prior treatment history of having received only ranibizumab, or ranibizumab for their three anti-VEGF-A treatments immediately before trial enrolment, whereas approximately 44% of patients had received only bevacizumab prior to trial enrollment. Patients with a prior treatment history of bevacizumab were required to receive at least one injection of either aflibercept or ranibizumab immediately prior to randomization in to the trial. Post-hoc analyses of the results from our Phase 2a trial suggest that some patients may have benefitted from the increased efficacy of aflibercept and/or from the switch to aflibercept therapy as administered in our trial on an every four-week dosing cycle. In the subset of</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patients who had only received aflibercept, or received aflibercept for their three anti-VEGF-A treatments immediately before trial enrollment, referred to as treatment history of prior aflibercept, the mean improvement in visual acuity observed for the aflibercept monotherapy group was +3.4 letters (n=13), compared to a mean improvement of +7.4 letters for those patients with more variable prior treatment history who received aflibercept monotherapy (n=27) following randomization into the trial. This suggests that the majority of patients enrolled in the trial had not achieved a maximal response to all anti-VEGF-A therapies prior to enrolling in the trial.</w:t>
      </w:r>
    </w:p>
    <w:p>
      <w:pPr>
        <w:spacing w:after="0" w:line="1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Due to the observed increase in treatment benefit for patients with a variable treatment history who then received aflibercept every four weeks in the trial, the subset of patients with a treatment history of prior aflibercept may represent the most stringent and least variable patient population in which to test the ability of OPT-302 to provide additional benefit. In this more homogeneous patient population, as shown in the figure below, patients administered OPT-302 combination therapy demonstrated a mean improvement in visual acuity of +6.6 letters (n=22) from baseline to week 12, compared to +3.4 letters (n=13) in the aflibercept monotherapy group.</w:t>
      </w:r>
    </w:p>
    <w:p>
      <w:pPr>
        <w:spacing w:after="0" w:line="1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Greater Gains in Visual Acuity following OPT-302 Combination Therapy in Patients with a Treatment History of Prior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170180</wp:posOffset>
            </wp:positionV>
            <wp:extent cx="3926205" cy="2468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92620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27.3% of patients gained ³10 letters and 9.1% gained ³15 letters of visual acuity from baseline to week 12 following OPT-302 combination therapy. There were no patients with a treatment history of prior aflibercept that gained ³10 letters of visual acuity in the aflibercept monotherapy group. Furthermore, the proportion of patients who lost ³1 letters was 9.1% in the OPT-302 combination therapy group and 23.1% in the aflibercept monotherapy group. We believe that these results, as shown in the figures below, strongly support the potential of OPT-302 to improve the visual acuity in patients with persistent DME despite prior treatment with anti-VEGF-A monotherapy.</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Proportion of Patients with a Treatment History of Prior Aflibercept Who Gained and Lost Visual Acuity from Baseline to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170180</wp:posOffset>
            </wp:positionV>
            <wp:extent cx="5074920" cy="20231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7492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this subgroup of patients with a treatment history of prior aflibercept, anatomical changes were consistent with functional visual acuity outcomes. As shown in the figure below, a greater mean reduction in retinal thickness was observed in the OPT-302 combination therapy group compared to the aflibercept monotherapy group at week 12. In particular, 22.7% of patients in the OPT-302 combination therapy group experienced at least a 300 µm reduction in retinal thickness at week 12, compared to 7.7% of patients in the aflibercept monotherapy group.</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Greater Mean Reduction in Retinal Thickness following OPT-302 Combination Therapy in Patients with a Treatment History of Prior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184785</wp:posOffset>
            </wp:positionV>
            <wp:extent cx="4277360" cy="2554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7736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55" w:right="49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79" w:lineRule="exact"/>
        <w:rPr>
          <w:sz w:val="20"/>
          <w:szCs w:val="20"/>
          <w:color w:val="auto"/>
        </w:rPr>
      </w:pPr>
    </w:p>
    <w:p>
      <w:pPr>
        <w:ind w:left="120" w:firstLine="440"/>
        <w:spacing w:after="0" w:line="301" w:lineRule="auto"/>
        <w:rPr>
          <w:sz w:val="20"/>
          <w:szCs w:val="20"/>
          <w:color w:val="auto"/>
        </w:rPr>
      </w:pPr>
      <w:r>
        <w:rPr>
          <w:rFonts w:ascii="Times New Roman" w:cs="Times New Roman" w:eastAsia="Times New Roman" w:hAnsi="Times New Roman"/>
          <w:sz w:val="16"/>
          <w:szCs w:val="16"/>
          <w:color w:val="auto"/>
        </w:rPr>
        <w:t>OPT-302 combination therapy was well tolerated. There was one potentially treatment-related SAE of cerebrovascular accident, or stroke, resulting in one patient discontinuing treatment and withdrawing from the trial. The most common TEAEs were conjunctival hemorrhage and increased intraocular pressure and were mainly related to the intravitreal injection procedure. TEAEs did not lead to discontinuation of the trial for any patient. The incidence of intra-ocular inflammation was low, occurring in one patient for each treatment group, and the observed events were manageable and able to be resolved.</w:t>
      </w:r>
    </w:p>
    <w:p>
      <w:pPr>
        <w:spacing w:after="0" w:line="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now have extensive global clinical dosing experience demonstrating a favorable tolerability profile following repeated intravitreal administration of OPT-302 in 399 patients, with over 1,800 doses of OPT-302 administered across three international clinical studies in two disease indications and in combination with the two leading standard of care anti-VEGF-A therapies, ranibizumab and aflibercept. In particular, across our clinical trials, the incidence of intra-ocular inflammation was similar across all treatment groups.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Retinal Vein Occlusion</w:t>
      </w:r>
    </w:p>
    <w:p>
      <w:pPr>
        <w:spacing w:after="0" w:line="8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Based on the positive clinical data from our clinical trials of OPT-302 in wet AMD and DME, we intend to prioritize future development in these two indications while exploring potential opportunities to develop OPT-302 in other ophthalmic indications such as RVO, DR and other diseases involving aberrant CNV.</w:t>
      </w:r>
    </w:p>
    <w:p>
      <w:pPr>
        <w:spacing w:after="0" w:line="119"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RVO is a sight-threatening visual disorder resulting from blockage of one of the veins carrying blood out of the retina. This blocked vein can leak blood and fluid resulting in swelling that can cause macular edema. Persistent, inadequately-treated macular edema associated with RVO can blur vision, cause significant loss in visual acuity and eventually lead to blindness. Macular edema is the most common cause of vision loss in people who suffer from RVO.</w:t>
      </w:r>
    </w:p>
    <w:p>
      <w:pPr>
        <w:spacing w:after="0" w:line="12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Similar to wet AMD and DME, the first-line standard of care to treat macular edema associated with RVO is intravitreal anti-VEGF-A monotherapy. VEGF-A inhibitors however, are only effective in significantly improving vision in approximately 30% to 40% of patients with macular edema associated with RVO above sham control. The prevalence of RVO in people over the age of 50 has been reported to be 0.7%, or approximately 1.8 million people in the United States and Europe. Over 500,000 individuals in the United States and Europe have macular edema associated with RVO. We believe that OPT-302 has the potential to bring therapeutic benefit to patients suffering from macular edema secondary to RVO.</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79" w:lineRule="exact"/>
        <w:rPr>
          <w:sz w:val="20"/>
          <w:szCs w:val="20"/>
          <w:color w:val="auto"/>
        </w:rPr>
      </w:pPr>
    </w:p>
    <w:p>
      <w:pPr>
        <w:ind w:left="120" w:right="20" w:firstLine="440"/>
        <w:spacing w:after="0" w:line="287" w:lineRule="auto"/>
        <w:rPr>
          <w:sz w:val="20"/>
          <w:szCs w:val="20"/>
          <w:color w:val="auto"/>
        </w:rPr>
      </w:pPr>
      <w:r>
        <w:rPr>
          <w:rFonts w:ascii="Times New Roman" w:cs="Times New Roman" w:eastAsia="Times New Roman" w:hAnsi="Times New Roman"/>
          <w:sz w:val="16"/>
          <w:szCs w:val="16"/>
          <w:color w:val="auto"/>
        </w:rPr>
        <w:t>The biotechnology and pharmaceutical industries, and the ophthalmic disease subsector, are characterized by rapidly advancing technologies, evolving understanding of disease etiology, intense competition and a strong emphasis on intellectual property. While we believe that OPT-302 and our knowledge and experience provide us with certain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color w:val="auto"/>
        </w:rPr>
        <w:t>market acceptance. In addition, our competitors’ products may be more effective or more effectively marketed and sold than any treatment we or our development partners may commercialize and may render our product candidates obsolete or noncompetitive before we can recover the expenses related to developing and commercializing our product candidates.</w:t>
      </w:r>
    </w:p>
    <w:p>
      <w:pPr>
        <w:spacing w:after="0" w:line="119" w:lineRule="exact"/>
        <w:rPr>
          <w:sz w:val="20"/>
          <w:szCs w:val="20"/>
          <w:color w:val="auto"/>
        </w:rPr>
      </w:pPr>
    </w:p>
    <w:p>
      <w:pPr>
        <w:ind w:left="120" w:right="120" w:firstLine="440"/>
        <w:spacing w:after="0" w:line="293" w:lineRule="auto"/>
        <w:rPr>
          <w:sz w:val="20"/>
          <w:szCs w:val="20"/>
          <w:color w:val="auto"/>
        </w:rPr>
      </w:pPr>
      <w:r>
        <w:rPr>
          <w:rFonts w:ascii="Times New Roman" w:cs="Times New Roman" w:eastAsia="Times New Roman" w:hAnsi="Times New Roman"/>
          <w:sz w:val="16"/>
          <w:szCs w:val="16"/>
          <w:color w:val="auto"/>
        </w:rPr>
        <w:t>We are developing OPT-302 for the treatment of wet AMD and additional retinal disease indications, such as DME and RVO, together with certain combination agents. Companies that have products that may compete with OPT-302 include Roche Group, Regeneron Pharmaceuticals, Inc. and Novartis AG, which have marketed anti-VEGF-A therapies including ranibizumab (Lucentis) and aflibercept (Eylea), each a standard of care treatment for wet AMD, and brolucizumab (Beovu), as well as Ocugen, Inc., Kodiak Sciences Inc. and Graybug Vision, Inc., which have product candidates in development for the treatment of wet AMD and DME. We are also aware of other companies that are working on therapies for the whole eye, including Santen, Inc. and Ocular Therapeutix, Inc. In addition, bevacizumab (Avastin), marketed by Genentech, Inc., is used off-label to treat wet AMD.</w:t>
      </w:r>
    </w:p>
    <w:p>
      <w:pPr>
        <w:spacing w:after="0" w:line="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It is possible that our competitors will succeed in developing technologies that are more effective than our product candidates or that would render our technology obsolete or noncompetitive, or will succeed in developing biosimilar or interchangeable products for our product candidates. We anticipate that we will continue to face increasing competition in the future as new companies enter our market and scientific developments surrounding biosimilars and other retinal therapies continue to accelerate, particularly once ranibizumab and aflibercept approach loss of exclusivity. We cannot predict to what extent the entry of biosimilars or other competing products will impact potential future sales of our products or our product candidates.</w:t>
      </w:r>
    </w:p>
    <w:p>
      <w:pPr>
        <w:spacing w:after="0" w:line="125"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With respect to our current and potential future product candidates, we believe that our ability to compete effectively and develop products that can be manufactured cost-effectively and marketed successfully will depend on our ability to:</w:t>
      </w:r>
    </w:p>
    <w:p>
      <w:pPr>
        <w:spacing w:after="0" w:line="25" w:lineRule="exact"/>
        <w:rPr>
          <w:sz w:val="20"/>
          <w:szCs w:val="20"/>
          <w:color w:val="auto"/>
        </w:rPr>
      </w:pPr>
    </w:p>
    <w:p>
      <w:pPr>
        <w:ind w:left="760" w:hanging="212"/>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OPT-302 and any other product candidates;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additional technology;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clinical trials which position our products for regulatory and commercial success;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proprietary position in our products;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government and other public and private approvals on a timely basis;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key personnel;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effectively;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reimbursement for our products in approved indications;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efficient manufacturing processes and supply chain;</w:t>
      </w:r>
    </w:p>
    <w:p>
      <w:pPr>
        <w:spacing w:after="0" w:line="103" w:lineRule="exact"/>
        <w:rPr>
          <w:rFonts w:ascii="Times New Roman" w:cs="Times New Roman" w:eastAsia="Times New Roman" w:hAnsi="Times New Roman"/>
          <w:sz w:val="18"/>
          <w:szCs w:val="18"/>
          <w:color w:val="auto"/>
        </w:rPr>
      </w:pPr>
    </w:p>
    <w:p>
      <w:pPr>
        <w:ind w:left="760" w:right="1320" w:hanging="212"/>
        <w:spacing w:after="0" w:line="275"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laws, regulations and regulatory requirements and restrictions with respect to our business, including the commercialization of our products, including with respect to any changed or increased regulatory restrictions;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additional collaborations to advance the development and commercialization of our product candidates.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Commercial License Arrangement with Selexis SA</w:t>
      </w:r>
    </w:p>
    <w:p>
      <w:pPr>
        <w:spacing w:after="0" w:line="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In October 2013, we entered into a commercial license agreement, or the Selexis Agreement, with Selexis SA, or Selexis, under which Selexis granted us a non-exclusive, worldwide, sublicensable license under certain patents, know-how and other intellectual property controlled by Selexis to use certain cell lines, deliverables and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materials provide by Selexis to manufacture OPT-302 and related products and to use, sale and otherwise exploit such products.</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paid Selexis a nominal upfront payment upon entering into the Selexis Agreement. We are also required to make certain payments under the Selexis Agreement totaling approximately US$1.3 million upon the achievement of certain development and commercial milestones. We are also obligated to pay a low single-digit running royalty on worldwide net sales of the licensed products. Our royalty obligations will continue, on a product-by-product and country-by-country basis, until the expiration of the relevant patents, but will not extend beyond October 2024 in any event. After the expiration of the royalty term, our license will continue and become full paid, perpetual and irrevocable.</w:t>
      </w:r>
    </w:p>
    <w:p>
      <w:pPr>
        <w:spacing w:after="0" w:line="125" w:lineRule="exact"/>
        <w:rPr>
          <w:sz w:val="20"/>
          <w:szCs w:val="20"/>
          <w:color w:val="auto"/>
        </w:rPr>
      </w:pPr>
    </w:p>
    <w:p>
      <w:pPr>
        <w:ind w:left="120" w:right="460" w:firstLine="440"/>
        <w:spacing w:after="0" w:line="262" w:lineRule="auto"/>
        <w:rPr>
          <w:sz w:val="20"/>
          <w:szCs w:val="20"/>
          <w:color w:val="auto"/>
        </w:rPr>
      </w:pPr>
      <w:r>
        <w:rPr>
          <w:rFonts w:ascii="Times New Roman" w:cs="Times New Roman" w:eastAsia="Times New Roman" w:hAnsi="Times New Roman"/>
          <w:sz w:val="18"/>
          <w:szCs w:val="18"/>
          <w:color w:val="auto"/>
        </w:rPr>
        <w:t>The Selexis Agreement will expire on the date of expiration of the last-to-expire of the license patents. Either party may terminate the Selexis Agreement for the other party’s uncured material breach or bankruptcy. We may also terminate the Selexis Agreement at any time upon prior notice to Selexis.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79" w:lineRule="exact"/>
        <w:rPr>
          <w:sz w:val="20"/>
          <w:szCs w:val="20"/>
          <w:color w:val="auto"/>
        </w:rPr>
      </w:pPr>
    </w:p>
    <w:p>
      <w:pPr>
        <w:ind w:left="120" w:right="80" w:firstLine="440"/>
        <w:spacing w:after="0" w:line="339" w:lineRule="auto"/>
        <w:rPr>
          <w:sz w:val="20"/>
          <w:szCs w:val="20"/>
          <w:color w:val="auto"/>
        </w:rPr>
      </w:pPr>
      <w:r>
        <w:rPr>
          <w:rFonts w:ascii="Times New Roman" w:cs="Times New Roman" w:eastAsia="Times New Roman" w:hAnsi="Times New Roman"/>
          <w:sz w:val="16"/>
          <w:szCs w:val="16"/>
          <w:color w:val="auto"/>
        </w:rPr>
        <w:t>As of June 30, 2020, we have rights to over 22 issued U.S. patents, over four U.S. patent applications, over 75 issued non-U.S. patents and over eight pending non-U.S. applications. All of our current issued patents and patent applications are projected to expire between August 2021 and November 2034.</w:t>
      </w:r>
    </w:p>
    <w:p>
      <w:pPr>
        <w:spacing w:after="0" w:line="6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With respect to soluble forms of VEGFR-3, we own and have licensed rights to patent families including issued patents in the United States, Europe, Canada and Australia, which are expected to expire between 2022 and 2031. These patents cover composition of matter and/or method of use claims, including claims directed at the treatment of eye diseases associated with abnormal blood vessel growth, such as wet AMD.</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With respect to OPT-302, we own a patent family with two issued U.S. patents, an issued European patent validated in 38 countries and over eight issued non-U.S. patents granted in jurisdictions such as Japan, Australia, South Africa, Mexico, Malaysia, New Zealand, Colombia, Singapore and Russia. Patent applications are pending in the United States and in over eight other non-U.S. jurisdictions, including Europe, China, Brazil, South Korea and India. The two issued U.S. patents have claims covering the composition of matter of OPT-302 and its use and/or nucleic acids, vectors, and host cells for producing it. These issued patents and pending patent applications, if issued, are expected to expire in 2034, without taking into account any patent term extension.</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actual protection afforded by a patent, which can vary from country to country, depends on the type of patent, the scope of its coverage as determined by the patent office or courts in the country, and the availability of legal remedies in the country. The information in the above list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United States and other important markets outside the United States.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follow-on biologics to the market earlier than anticipated.</w:t>
      </w:r>
    </w:p>
    <w:p>
      <w:pPr>
        <w:spacing w:after="0" w:line="131" w:lineRule="exact"/>
        <w:rPr>
          <w:sz w:val="20"/>
          <w:szCs w:val="20"/>
          <w:color w:val="auto"/>
        </w:rPr>
      </w:pPr>
    </w:p>
    <w:p>
      <w:pPr>
        <w:jc w:val="both"/>
        <w:ind w:left="120" w:right="400" w:firstLine="440"/>
        <w:spacing w:after="0" w:line="310" w:lineRule="auto"/>
        <w:rPr>
          <w:sz w:val="20"/>
          <w:szCs w:val="20"/>
          <w:color w:val="auto"/>
        </w:rPr>
      </w:pPr>
      <w:r>
        <w:rPr>
          <w:rFonts w:ascii="Times New Roman" w:cs="Times New Roman" w:eastAsia="Times New Roman" w:hAnsi="Times New Roman"/>
          <w:sz w:val="16"/>
          <w:szCs w:val="16"/>
          <w:color w:val="auto"/>
        </w:rPr>
        <w:t>Patents expire, on a country by country basis, at various times depending on various factors, including the filing date of the corresponding patent application(s), the availability of patent term adjustment, patent term extension and supplemental protection certificates and requirements for terminal disclaimers. In most countries, including the United States, the patent term is 20 years from the earliest claimed filing date of a non-provisional</w:t>
      </w:r>
    </w:p>
    <w:p>
      <w:pPr>
        <w:spacing w:after="0" w:line="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90" w:lineRule="auto"/>
        <w:rPr>
          <w:sz w:val="20"/>
          <w:szCs w:val="20"/>
          <w:color w:val="auto"/>
        </w:rPr>
      </w:pPr>
      <w:r>
        <w:rPr>
          <w:rFonts w:ascii="Times New Roman" w:cs="Times New Roman" w:eastAsia="Times New Roman" w:hAnsi="Times New Roman"/>
          <w:sz w:val="16"/>
          <w:szCs w:val="16"/>
          <w:color w:val="auto"/>
        </w:rPr>
        <w:t>patent application or its foreign equivalent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In the United States, a patent may also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with extended rights limited to the approved product, its approved uses, and/or its manufacture.</w:t>
      </w:r>
    </w:p>
    <w:p>
      <w:pPr>
        <w:spacing w:after="0" w:line="9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Although we believe our owned and licensed patents and patent applications provide us with a competitive advantage, the patent positions of biotechnology and pharmaceutical companies can be uncertain and involve complex legal and factual questions. We may not be able to develop patentable products or processes or obtain patents from pending patent applications. In the event of patent issuance, the patents may not be sufficient to protect the proprietary technology owned by or licensed to us or our partners. Our current patents, or patents that issue on pending applications, may be challenged, invalidated, infringed or circumvented. In addition, changes to patent laws in the United States or in other countries may limit our ability to defend or enforce our patents, or may apply retroactively to affect the term and/or scope of our patents. Our patents have been and may in the future be challenged by third parties in post-issuance administrative proceedings or in litigation as invalid, not infringed or unenforceable under U.S. or foreign laws, or they may be infringed by third parties. As a result, we are or may be from time to time involved in the defense and enforcement of our patent or other intellectual property rights in a court of law and administrative tribunals, such as in USPTO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reexamination proceedings, foreign opposition proceedings or related legal and administrative proceedings in the United States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w:t>
      </w:r>
    </w:p>
    <w:p>
      <w:pPr>
        <w:spacing w:after="0" w:line="13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we rely upon trade secrets and know-how and continuing technological innovation to develop and maintain our competitive position. We seek to protect our proprietary information, in part, by using confidentiality and invention assignment agreements with its commercial partners, collaborators, employees and consultants. These agreements are designed to protect our proprietary information and, in the case of the invention assignment agreements, to grant it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27" w:lineRule="exact"/>
        <w:rPr>
          <w:sz w:val="20"/>
          <w:szCs w:val="20"/>
          <w:color w:val="auto"/>
        </w:rPr>
      </w:pPr>
    </w:p>
    <w:p>
      <w:pPr>
        <w:ind w:left="120" w:right="100" w:firstLine="440"/>
        <w:spacing w:after="0" w:line="296" w:lineRule="auto"/>
        <w:rPr>
          <w:sz w:val="20"/>
          <w:szCs w:val="20"/>
          <w:color w:val="auto"/>
        </w:rPr>
      </w:pPr>
      <w:r>
        <w:rPr>
          <w:rFonts w:ascii="Times New Roman" w:cs="Times New Roman" w:eastAsia="Times New Roman" w:hAnsi="Times New Roman"/>
          <w:sz w:val="16"/>
          <w:szCs w:val="16"/>
          <w:color w:val="auto"/>
        </w:rPr>
        <w:t>Our commercial success will also depend in part on not infringing upon the proprietary rights of third parties. It is uncertain whether the issuance of any third-party patent would require us to alter its development or commercial strategies for our product candidates or processes, or to obtain licenses or cease certain activities. Our breach of any license agreements or failure to obtain a license to proprietary rights that it may require to develop or commercialize its future products may have an adverse impact on us. If third parties prepare and file patent applications in the United States that also claim technology to which we have rights, we may have to participate in interference or derivation proceedings in the USPTO to determine priority of invention.</w:t>
      </w:r>
    </w:p>
    <w:p>
      <w:pPr>
        <w:spacing w:after="0" w:line="94"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color w:val="auto"/>
        </w:rPr>
        <w:t>As of June 30, 2020, we or our subsidiary have registered and own “Opthea” as a trademark in nine jurisdictions, including the United States and Europe. Other than the registered trademark listed above, we currently rely on our unregistered trademarks, trade names and service marks, as well as our domain names and logos, as appropriate, to market our brands and to build and maintain brand recognition.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79" w:lineRule="exact"/>
        <w:rPr>
          <w:sz w:val="20"/>
          <w:szCs w:val="20"/>
          <w:color w:val="auto"/>
        </w:rPr>
      </w:pPr>
    </w:p>
    <w:p>
      <w:pPr>
        <w:ind w:left="120" w:right="20" w:firstLine="440"/>
        <w:spacing w:after="0" w:line="296" w:lineRule="auto"/>
        <w:rPr>
          <w:sz w:val="20"/>
          <w:szCs w:val="20"/>
          <w:color w:val="auto"/>
        </w:rPr>
      </w:pPr>
      <w:r>
        <w:rPr>
          <w:rFonts w:ascii="Times New Roman" w:cs="Times New Roman" w:eastAsia="Times New Roman" w:hAnsi="Times New Roman"/>
          <w:sz w:val="16"/>
          <w:szCs w:val="16"/>
          <w:color w:val="auto"/>
        </w:rPr>
        <w:t>The FDA and other regulatory authorities at federal, state, and local levels, as well as in non-U.S.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nonclinical, clinical and commercial approval requirements of the governing regulatory agencies of the countries in which we wish to conduct studies or seek approval or licensure of OPT-302 or any future product candidate.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 Development</w:t>
      </w:r>
    </w:p>
    <w:p>
      <w:pPr>
        <w:spacing w:after="0" w:line="81" w:lineRule="exact"/>
        <w:rPr>
          <w:sz w:val="20"/>
          <w:szCs w:val="20"/>
          <w:color w:val="auto"/>
        </w:rPr>
      </w:pPr>
    </w:p>
    <w:p>
      <w:pPr>
        <w:ind w:left="120" w:firstLine="440"/>
        <w:spacing w:after="0" w:line="290" w:lineRule="auto"/>
        <w:rPr>
          <w:sz w:val="20"/>
          <w:szCs w:val="20"/>
          <w:color w:val="auto"/>
        </w:rPr>
      </w:pPr>
      <w:r>
        <w:rPr>
          <w:rFonts w:ascii="Times New Roman" w:cs="Times New Roman" w:eastAsia="Times New Roman" w:hAnsi="Times New Roman"/>
          <w:sz w:val="16"/>
          <w:szCs w:val="16"/>
          <w:color w:val="auto"/>
        </w:rPr>
        <w:t>In the United States, the FDA regulates biologics under both the Federal Food, Drug and Cosmetic Act and the Public Health Services Act and their implementing regulations. Both drugs and biologics also are subject to other federal, state and local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license revocation,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98" w:lineRule="exact"/>
        <w:rPr>
          <w:sz w:val="20"/>
          <w:szCs w:val="20"/>
          <w:color w:val="auto"/>
        </w:rPr>
      </w:pPr>
    </w:p>
    <w:p>
      <w:pPr>
        <w:ind w:left="120" w:right="80" w:firstLine="440"/>
        <w:spacing w:after="0" w:line="310" w:lineRule="auto"/>
        <w:rPr>
          <w:sz w:val="20"/>
          <w:szCs w:val="20"/>
          <w:color w:val="auto"/>
        </w:rPr>
      </w:pPr>
      <w:r>
        <w:rPr>
          <w:rFonts w:ascii="Times New Roman" w:cs="Times New Roman" w:eastAsia="Times New Roman" w:hAnsi="Times New Roman"/>
          <w:sz w:val="16"/>
          <w:szCs w:val="16"/>
          <w:color w:val="auto"/>
        </w:rPr>
        <w:t>Our product candidates and any future biological product candidates we develop must be approved by the FDA through a biologics license application, or BLA, process before they may be legally marketed in the United States. The BLA is a request for approval to market the biologic for one or more specified indications and must contain proof of safety, purity and potency. The FDA review and approval process generally involves the following:</w:t>
      </w:r>
    </w:p>
    <w:p>
      <w:pPr>
        <w:spacing w:after="0" w:line="3" w:lineRule="exact"/>
        <w:rPr>
          <w:sz w:val="20"/>
          <w:szCs w:val="20"/>
          <w:color w:val="auto"/>
        </w:rPr>
      </w:pPr>
    </w:p>
    <w:p>
      <w:pPr>
        <w:ind w:left="760" w:right="720" w:hanging="212"/>
        <w:spacing w:after="0" w:line="275"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regulations;</w:t>
      </w:r>
    </w:p>
    <w:p>
      <w:pPr>
        <w:spacing w:after="0" w:line="25" w:lineRule="exact"/>
        <w:rPr>
          <w:rFonts w:ascii="Times New Roman" w:cs="Times New Roman" w:eastAsia="Times New Roman" w:hAnsi="Times New Roman"/>
          <w:sz w:val="18"/>
          <w:szCs w:val="18"/>
          <w:color w:val="auto"/>
        </w:rPr>
      </w:pPr>
    </w:p>
    <w:p>
      <w:pPr>
        <w:ind w:left="760" w:right="20" w:hanging="212"/>
        <w:spacing w:after="0" w:line="275"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the trial is commenced;</w:t>
      </w:r>
    </w:p>
    <w:p>
      <w:pPr>
        <w:spacing w:after="0" w:line="103" w:lineRule="exact"/>
        <w:rPr>
          <w:rFonts w:ascii="Times New Roman" w:cs="Times New Roman" w:eastAsia="Times New Roman" w:hAnsi="Times New Roman"/>
          <w:sz w:val="18"/>
          <w:szCs w:val="18"/>
          <w:color w:val="auto"/>
        </w:rPr>
      </w:pPr>
    </w:p>
    <w:p>
      <w:pPr>
        <w:ind w:left="760" w:right="400" w:hanging="212"/>
        <w:spacing w:after="0" w:line="275"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 product candidate for its intended purpose;</w:t>
      </w:r>
    </w:p>
    <w:p>
      <w:pPr>
        <w:spacing w:after="0" w:line="25" w:lineRule="exact"/>
        <w:rPr>
          <w:rFonts w:ascii="Times New Roman" w:cs="Times New Roman" w:eastAsia="Times New Roman" w:hAnsi="Times New Roman"/>
          <w:sz w:val="18"/>
          <w:szCs w:val="18"/>
          <w:color w:val="auto"/>
        </w:rPr>
      </w:pPr>
    </w:p>
    <w:p>
      <w:pPr>
        <w:ind w:left="760" w:right="20" w:hanging="212"/>
        <w:spacing w:after="0" w:line="325" w:lineRule="auto"/>
        <w:tabs>
          <w:tab w:leader="none" w:pos="7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preparation of and submission to the FDA of a BLA after completion of all pivotal clinical trials that includes substantial evidence of safety, purity and potency from results of nonclinical testing and clinical trials; satisfactory completion of an FDA advisory committee review, if applicable;</w:t>
      </w:r>
    </w:p>
    <w:p>
      <w:pPr>
        <w:spacing w:after="0" w:line="1"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03" w:lineRule="exact"/>
        <w:rPr>
          <w:rFonts w:ascii="Times New Roman" w:cs="Times New Roman" w:eastAsia="Times New Roman" w:hAnsi="Times New Roman"/>
          <w:sz w:val="18"/>
          <w:szCs w:val="18"/>
          <w:color w:val="auto"/>
        </w:rPr>
      </w:pPr>
    </w:p>
    <w:p>
      <w:pPr>
        <w:ind w:left="760" w:right="80" w:hanging="212"/>
        <w:spacing w:after="0" w:line="258"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 sites to assess compliance with GCP; and</w:t>
      </w:r>
    </w:p>
    <w:p>
      <w:pPr>
        <w:spacing w:after="0" w:line="41" w:lineRule="exact"/>
        <w:rPr>
          <w:rFonts w:ascii="Times New Roman" w:cs="Times New Roman" w:eastAsia="Times New Roman" w:hAnsi="Times New Roman"/>
          <w:sz w:val="18"/>
          <w:szCs w:val="18"/>
          <w:color w:val="auto"/>
        </w:rPr>
      </w:pPr>
    </w:p>
    <w:p>
      <w:pPr>
        <w:ind w:left="760" w:right="80" w:hanging="212"/>
        <w:spacing w:after="0" w:line="275"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to permit commercial marketing of the product for particular indications for use in the United States.</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80"/>
          </w:cols>
          <w:pgMar w:left="320" w:top="455" w:right="49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IND</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1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PK, pharmacology, and PD characteristics of the product candidate;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until the IND sponsor and the FDA resolve the outstanding concerns or questions. Submission of an IND therefore may or may not result in FDA authorization to begin a clinical trial.</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8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For new indications, a separate new IND may be required.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 For purposes of BLA approval, human clinical trials are typically conducted in three sequential phases that may overlap.</w:t>
      </w:r>
    </w:p>
    <w:p>
      <w:pPr>
        <w:spacing w:after="0" w:line="326"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41" w:lineRule="exact"/>
        <w:rPr>
          <w:sz w:val="20"/>
          <w:szCs w:val="20"/>
          <w:color w:val="auto"/>
        </w:rPr>
      </w:pPr>
    </w:p>
    <w:p>
      <w:pPr>
        <w:ind w:left="760" w:right="260" w:hanging="212"/>
        <w:spacing w:after="0" w:line="262" w:lineRule="auto"/>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 The investigational product is initially introduced into healthy human subjects or patients with the target disease or condition. These studies are designed to test the safety, dosage tolerance, absorption, metabolism, distribution and elimination of the investigational product in humans, the side effects associated with increasing doses, and, if possible, to gain early evidence on effectiveness.</w:t>
      </w:r>
    </w:p>
    <w:p>
      <w:pPr>
        <w:spacing w:after="0" w:line="37" w:lineRule="exact"/>
        <w:rPr>
          <w:rFonts w:ascii="Times New Roman" w:cs="Times New Roman" w:eastAsia="Times New Roman" w:hAnsi="Times New Roman"/>
          <w:sz w:val="18"/>
          <w:szCs w:val="18"/>
          <w:color w:val="auto"/>
        </w:rPr>
      </w:pPr>
    </w:p>
    <w:p>
      <w:pPr>
        <w:ind w:left="760" w:right="660" w:hanging="212"/>
        <w:spacing w:after="0" w:line="275" w:lineRule="auto"/>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 The investigational product is administered to a limited patient population with a specified disease or condition to evaluate the preliminary efficacy, optimal dosages and dosing schedule and to</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220"/>
        <w:spacing w:after="0" w:line="275" w:lineRule="auto"/>
        <w:rPr>
          <w:sz w:val="20"/>
          <w:szCs w:val="20"/>
          <w:color w:val="auto"/>
        </w:rPr>
      </w:pPr>
      <w:r>
        <w:rPr>
          <w:rFonts w:ascii="Times New Roman" w:cs="Times New Roman" w:eastAsia="Times New Roman" w:hAnsi="Times New Roman"/>
          <w:sz w:val="18"/>
          <w:szCs w:val="18"/>
          <w:color w:val="auto"/>
        </w:rPr>
        <w:t>identify possible adverse side effects and safety risks. Multiple Phase 2 clinical trials may be conducted to obtain information prior to beginning larger and more expensive Phase 3 clinical trials.</w:t>
      </w:r>
    </w:p>
    <w:p>
      <w:pPr>
        <w:spacing w:after="0" w:line="25" w:lineRule="exact"/>
        <w:rPr>
          <w:sz w:val="20"/>
          <w:szCs w:val="20"/>
          <w:color w:val="auto"/>
        </w:rPr>
      </w:pPr>
    </w:p>
    <w:p>
      <w:pPr>
        <w:ind w:left="760" w:right="420" w:hanging="212"/>
        <w:spacing w:after="0" w:line="258"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product labeling.</w:t>
      </w:r>
    </w:p>
    <w:p>
      <w:pPr>
        <w:spacing w:after="0" w:line="122" w:lineRule="exact"/>
        <w:rPr>
          <w:sz w:val="20"/>
          <w:szCs w:val="20"/>
          <w:color w:val="auto"/>
        </w:rPr>
      </w:pPr>
    </w:p>
    <w:p>
      <w:pPr>
        <w:ind w:left="120" w:right="20" w:firstLine="440"/>
        <w:spacing w:after="0" w:line="291" w:lineRule="auto"/>
        <w:rPr>
          <w:sz w:val="20"/>
          <w:szCs w:val="20"/>
          <w:color w:val="auto"/>
        </w:rPr>
      </w:pPr>
      <w:r>
        <w:rPr>
          <w:rFonts w:ascii="Times New Roman" w:cs="Times New Roman" w:eastAsia="Times New Roman" w:hAnsi="Times New Roman"/>
          <w:sz w:val="16"/>
          <w:szCs w:val="16"/>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Review and Approval</w:t>
      </w:r>
    </w:p>
    <w:p>
      <w:pPr>
        <w:spacing w:after="0" w:line="8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the clinical trials,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25" w:lineRule="exact"/>
        <w:rPr>
          <w:sz w:val="20"/>
          <w:szCs w:val="20"/>
          <w:color w:val="auto"/>
        </w:rPr>
      </w:pPr>
    </w:p>
    <w:p>
      <w:pPr>
        <w:ind w:left="120" w:firstLine="440"/>
        <w:spacing w:after="0" w:line="287" w:lineRule="auto"/>
        <w:rPr>
          <w:sz w:val="20"/>
          <w:szCs w:val="20"/>
          <w:color w:val="auto"/>
        </w:rPr>
      </w:pPr>
      <w:r>
        <w:rPr>
          <w:rFonts w:ascii="Times New Roman" w:cs="Times New Roman" w:eastAsia="Times New Roman" w:hAnsi="Times New Roman"/>
          <w:sz w:val="16"/>
          <w:szCs w:val="16"/>
          <w:color w:val="auto"/>
        </w:rPr>
        <w:t>Once a BLA has been submitted, the FDA’s goal is to review standard applications within ten months after it accepts the application for filing (a 60-day process), or, if the application qualifies for priority review, six months after the FDA accepts the application for filing. In both standard and priority reviews, the review process can be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04"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00"/>
          </w:cols>
          <w:pgMar w:left="320" w:top="455" w:right="47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25" w:lineRule="exact"/>
        <w:rPr>
          <w:sz w:val="20"/>
          <w:szCs w:val="20"/>
          <w:color w:val="auto"/>
        </w:rPr>
      </w:pPr>
    </w:p>
    <w:p>
      <w:pPr>
        <w:ind w:left="120" w:right="20" w:firstLine="440"/>
        <w:spacing w:after="0" w:line="288" w:lineRule="auto"/>
        <w:rPr>
          <w:sz w:val="20"/>
          <w:szCs w:val="20"/>
          <w:color w:val="auto"/>
        </w:rPr>
      </w:pPr>
      <w:r>
        <w:rPr>
          <w:rFonts w:ascii="Times New Roman" w:cs="Times New Roman" w:eastAsia="Times New Roman" w:hAnsi="Times New Roman"/>
          <w:sz w:val="16"/>
          <w:szCs w:val="16"/>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81"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may be eligible for FDA programs intended to expedite the FDA review and approval process, such as priority review, fast track designation, breakthrough therapy and accelerated approval.</w:t>
      </w:r>
    </w:p>
    <w:p>
      <w:pPr>
        <w:spacing w:after="0" w:line="10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 product is eligible for priority review if it has the potential to provide safe and effective therapy where no satisfactory alternative therapy exists or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2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frequent interactions with the FDA review team to expedite development and review of the product. The FDA may also review sections of the BLA for a fast track product on a rolling basis before the complete application is submitted, if the sponsor and FDA agree on a schedule for the submission of the application sections, and the sponsor pays any required user fees upon submission of the first section of the BLA. The review clock does not begin until the final section of the BLA is submitted.</w:t>
      </w:r>
    </w:p>
    <w:p>
      <w:pPr>
        <w:spacing w:after="0" w:line="127" w:lineRule="exact"/>
        <w:rPr>
          <w:sz w:val="20"/>
          <w:szCs w:val="20"/>
          <w:color w:val="auto"/>
        </w:rPr>
      </w:pPr>
    </w:p>
    <w:p>
      <w:pPr>
        <w:ind w:left="120" w:right="80" w:firstLine="440"/>
        <w:spacing w:after="0" w:line="291" w:lineRule="auto"/>
        <w:rPr>
          <w:sz w:val="20"/>
          <w:szCs w:val="20"/>
          <w:color w:val="auto"/>
        </w:rPr>
      </w:pPr>
      <w:r>
        <w:rPr>
          <w:rFonts w:ascii="Times New Roman" w:cs="Times New Roman" w:eastAsia="Times New Roman" w:hAnsi="Times New Roman"/>
          <w:sz w:val="16"/>
          <w:szCs w:val="16"/>
          <w:color w:val="auto"/>
        </w:rPr>
        <w:t>In addition,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 The benefits of breakthrough therapy designation include the same benefits as fast track designation, plus intensive guidance from the FDA to ensure an efficient drug development program.</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firstLine="440"/>
        <w:spacing w:after="0" w:line="291" w:lineRule="auto"/>
        <w:rPr>
          <w:sz w:val="20"/>
          <w:szCs w:val="20"/>
          <w:color w:val="auto"/>
        </w:rPr>
      </w:pPr>
      <w:r>
        <w:rPr>
          <w:rFonts w:ascii="Times New Roman" w:cs="Times New Roman" w:eastAsia="Times New Roman" w:hAnsi="Times New Roman"/>
          <w:sz w:val="16"/>
          <w:szCs w:val="16"/>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99" w:lineRule="exact"/>
        <w:rPr>
          <w:sz w:val="20"/>
          <w:szCs w:val="20"/>
          <w:color w:val="auto"/>
        </w:rPr>
      </w:pPr>
    </w:p>
    <w:p>
      <w:pPr>
        <w:ind w:left="120" w:firstLine="440"/>
        <w:spacing w:after="0" w:line="310" w:lineRule="auto"/>
        <w:rPr>
          <w:sz w:val="20"/>
          <w:szCs w:val="20"/>
          <w:color w:val="auto"/>
        </w:rPr>
      </w:pPr>
      <w:r>
        <w:rPr>
          <w:rFonts w:ascii="Times New Roman" w:cs="Times New Roman" w:eastAsia="Times New Roman" w:hAnsi="Times New Roman"/>
          <w:sz w:val="16"/>
          <w:szCs w:val="16"/>
          <w:color w:val="auto"/>
        </w:rPr>
        <w:t>Even if a product qualifies for one or more of these programs, the FDA may later decide that the product no longer meets the conditions for qualification or decide that the time period for FDA review and approval will not be shortened. Furthermore, priority review, fast track designation, breakthrough therapy designation, and accelerated approval do not change the standards for approval but may expedite the development or approval process.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designation must be requested before submitting a BLA. After the FDA grants orphan designation, the generic identity of the therapeutic agent and its potential orphan use are disclosed publicly by the FDA. The orphan drug designation does not convey any advantage in, or automatically shorten the duration of, the regulatory review or approval process.</w:t>
      </w:r>
    </w:p>
    <w:p>
      <w:pPr>
        <w:spacing w:after="0" w:line="125" w:lineRule="exact"/>
        <w:rPr>
          <w:sz w:val="20"/>
          <w:szCs w:val="20"/>
          <w:color w:val="auto"/>
        </w:rPr>
      </w:pPr>
    </w:p>
    <w:p>
      <w:pPr>
        <w:jc w:val="both"/>
        <w:ind w:left="120" w:right="120" w:firstLine="440"/>
        <w:spacing w:after="0" w:line="287" w:lineRule="auto"/>
        <w:rPr>
          <w:sz w:val="20"/>
          <w:szCs w:val="20"/>
          <w:color w:val="auto"/>
        </w:rPr>
      </w:pPr>
      <w:r>
        <w:rPr>
          <w:rFonts w:ascii="Times New Roman" w:cs="Times New Roman" w:eastAsia="Times New Roman" w:hAnsi="Times New Roman"/>
          <w:sz w:val="16"/>
          <w:szCs w:val="16"/>
          <w:color w:val="auto"/>
        </w:rPr>
        <w:t>If a product that has orphan designation subsequently receives the first FDA approval for the disease for which it has such designation, the product is entitled to orphan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w:t>
      </w: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Orphan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 A designated orphan product may not receive orphan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8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quality control and quality assurance,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44" w:lineRule="exact"/>
        <w:rPr>
          <w:sz w:val="20"/>
          <w:szCs w:val="20"/>
          <w:color w:val="auto"/>
        </w:rPr>
      </w:pPr>
    </w:p>
    <w:p>
      <w:pPr>
        <w:ind w:left="760" w:right="20" w:hanging="212"/>
        <w:spacing w:after="0" w:line="310" w:lineRule="auto"/>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a product, mandated modification of promotional materials or issuance of corrective information, issuance by FDA or other regulatory authorities of safety alerts, Dear Healthcare Provider letters, press releases or other communications containing warnings or other safety information about the product, or complete withdrawal of the product from the market or product recalls;</w:t>
      </w:r>
    </w:p>
    <w:p>
      <w:pPr>
        <w:spacing w:after="0" w:line="2"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studies;</w:t>
      </w:r>
    </w:p>
    <w:p>
      <w:pPr>
        <w:spacing w:after="0" w:line="103" w:lineRule="exact"/>
        <w:rPr>
          <w:rFonts w:ascii="Times New Roman" w:cs="Times New Roman" w:eastAsia="Times New Roman" w:hAnsi="Times New Roman"/>
          <w:sz w:val="18"/>
          <w:szCs w:val="18"/>
          <w:color w:val="auto"/>
        </w:rPr>
      </w:pPr>
    </w:p>
    <w:p>
      <w:pPr>
        <w:ind w:left="760" w:right="480" w:hanging="212"/>
        <w:spacing w:after="0" w:line="275"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consent decrees or the imposition of civil or criminal penalties.</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The FDA does not regulate the behavior of physicians in their choice of treatments. The FDA does, however, restrict manufacturer’s communications on the subject of off-label use of their products.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81"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of 2009,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its approach to the review and approval of biosimilars.</w:t>
      </w:r>
    </w:p>
    <w:p>
      <w:pPr>
        <w:spacing w:after="0" w:line="12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2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27"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8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our current and future operations are subject to regulation by various federal, state and local authorities in addition to the FDA, including but not limited to, CMS other divisions of the U.S.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 abuse provisions of the Social Security Act, the false claims laws, transparency and price reporting laws, the privacy and security provisions of HIPAA and similar state laws, each as amended, as applicable. Our business operations and current and future arrangements with investigators, healthcare professionals, consultants, third-party payors and customers may be subject to healthcare laws, regulations and enforcement by the federal government and by authorities in the states and foreign jurisdictions in which we conduct our business. Such laws include, without limitation, state and federal anti-kickback, fraud and abuse, false claims, privacy and security, price reporting, and transparency laws. Some of our pre-commercial activities are subject to some of these laws.</w:t>
      </w:r>
    </w:p>
    <w:p>
      <w:pPr>
        <w:spacing w:after="0" w:line="12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Affordable Care Act to a stricter standard such that a person or entity no longer needs to have actual knowledge of the statute or specific intent to violate it in order to have committed a violation. Further, courts have found that if “one purpose” of remuneration is to induce referrals, the federal Anti-Kickback statute is violated. Violations of the Anti-Kickback Statute can result in significant civil and criminal fines and penalties for each violation, imprisonment, and exclusion from federal healthcare programs. In addition, the Affordable Care Act codified case law that a claim including items or services resulting from a violation of the federal Anti-Kickback Statute constitutes a false or fraudulent claim for purposes of the federal False Claims Act, or the FCA, as discussed below.</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federal false claims laws, including the FCA, which can be enforced by private citizens through civil qui tam actions, and civil monetary penalty laws,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Pharmaceutical and other healthcare companies have been, and continue to be, prosecuted under these laws, among other things, for allegedly providing free product to customers with the expectation that the customers would bill federal programs for the product and for causing false claims to be submitted because of the companies’ marketing of the product for unapproved, off-label, and thus generally non-reimbursable, uses.</w:t>
      </w:r>
    </w:p>
    <w:p>
      <w:pPr>
        <w:spacing w:after="0" w:line="1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29" w:lineRule="exact"/>
        <w:rPr>
          <w:sz w:val="20"/>
          <w:szCs w:val="20"/>
          <w:color w:val="auto"/>
        </w:rPr>
      </w:pPr>
    </w:p>
    <w:p>
      <w:pPr>
        <w:ind w:left="120" w:right="20" w:firstLine="440"/>
        <w:spacing w:after="0" w:line="288" w:lineRule="auto"/>
        <w:rPr>
          <w:sz w:val="20"/>
          <w:szCs w:val="20"/>
          <w:color w:val="auto"/>
        </w:rPr>
      </w:pPr>
      <w:r>
        <w:rPr>
          <w:rFonts w:ascii="Times New Roman" w:cs="Times New Roman" w:eastAsia="Times New Roman" w:hAnsi="Times New Roman"/>
          <w:sz w:val="16"/>
          <w:szCs w:val="16"/>
          <w:color w:val="auto"/>
        </w:rPr>
        <w:t>We may be subject to data privacy and security regulations by both the federal government and the states in which we conduct our business. HIPAA, as amended by HITECH, and its implementing regulations, imposes requirements on certain covered healthcare providers, health plans, and healthcare clearinghouses as well as their respective business associates and their subcontractors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create, maintain, transmit,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20" w:firstLine="440"/>
        <w:spacing w:after="0" w:line="291" w:lineRule="auto"/>
        <w:rPr>
          <w:sz w:val="20"/>
          <w:szCs w:val="20"/>
          <w:color w:val="auto"/>
        </w:rPr>
      </w:pPr>
      <w:r>
        <w:rPr>
          <w:rFonts w:ascii="Times New Roman" w:cs="Times New Roman" w:eastAsia="Times New Roman" w:hAnsi="Times New Roman"/>
          <w:sz w:val="16"/>
          <w:szCs w:val="16"/>
          <w:color w:val="auto"/>
        </w:rPr>
        <w:t>Additionally, the federal Physician Payments Sunshine Act, or the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as defined by such law,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 Effective January 1, 2022, these reporting obligations will extend to include transfers of value made in the previous year to certain non-physician providers such as physician assistants and nurse practitioners.</w:t>
      </w:r>
    </w:p>
    <w:p>
      <w:pPr>
        <w:spacing w:after="0" w:line="9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Many states have similar statutes or regulations to the above federal laws that may be broader in scope and may apply regardless of payor.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drug pricing or marketing expenditures. Certain state and local laws also require the registration of pharmaceutical sales representatives. We may be subject to state and foreign laws governing the privacy and security of health information, some of which may be more stringent than those in the United States (such as the GDPR, which was adopted by the EU and subsequently became effective in May 2018). These laws may differ from each other in significant ways and may not have the same effect, further complicating compliance efforts.</w:t>
      </w:r>
    </w:p>
    <w:p>
      <w:pPr>
        <w:spacing w:after="0" w:line="13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Additionally, to the extent that we have business operations in foreign countries or sell any of our products in foreign countries and jurisdictions, including Canada or the EU, we may be subject to additional regulation.</w:t>
      </w:r>
    </w:p>
    <w:p>
      <w:pPr>
        <w:spacing w:after="0" w:line="134" w:lineRule="exact"/>
        <w:rPr>
          <w:sz w:val="20"/>
          <w:szCs w:val="20"/>
          <w:color w:val="auto"/>
        </w:rPr>
      </w:pPr>
    </w:p>
    <w:p>
      <w:pPr>
        <w:ind w:left="120" w:right="60" w:firstLine="440"/>
        <w:spacing w:after="0" w:line="287" w:lineRule="auto"/>
        <w:rPr>
          <w:sz w:val="20"/>
          <w:szCs w:val="20"/>
          <w:color w:val="auto"/>
        </w:rPr>
      </w:pPr>
      <w:r>
        <w:rPr>
          <w:rFonts w:ascii="Times New Roman" w:cs="Times New Roman" w:eastAsia="Times New Roman" w:hAnsi="Times New Roman"/>
          <w:sz w:val="16"/>
          <w:szCs w:val="16"/>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significant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its ability to operate our business and results of operations.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8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Third-party payors decide which medications they will pay for and establish reimbursement levels. Adequate coverage and reimbursement from governmental healthcare programs, such as Medicare and Medicaid in the United States, and commercial payors are critical to new product acceptance.</w:t>
      </w:r>
    </w:p>
    <w:p>
      <w:pPr>
        <w:spacing w:after="0" w:line="1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these products and related treatments will be available from third-party payors, which decide which therapeutics they will pay for and establish reimbursement levels. In the United States, the principal decisions about reimbursement for new medicines are typically made by CMS, an agency within HHS. CMS decides whether and to what extent our products will be covered and reimbursed under Medicare and private payors tend to follow CMS to a substantial degree. Coverage and reimbursement by a third-party payor may depend upon a number of factors, including the third-party payor’s determination that use of a therapeutic is:</w:t>
      </w:r>
    </w:p>
    <w:p>
      <w:pPr>
        <w:spacing w:after="0" w:line="44" w:lineRule="exact"/>
        <w:rPr>
          <w:sz w:val="20"/>
          <w:szCs w:val="20"/>
          <w:color w:val="auto"/>
        </w:rPr>
      </w:pPr>
    </w:p>
    <w:p>
      <w:pPr>
        <w:ind w:left="760" w:hanging="212"/>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85" w:lineRule="exact"/>
        <w:rPr>
          <w:sz w:val="20"/>
          <w:szCs w:val="20"/>
          <w:color w:val="auto"/>
        </w:rPr>
      </w:pPr>
    </w:p>
    <w:p>
      <w:pPr>
        <w:ind w:left="120" w:firstLine="440"/>
        <w:spacing w:after="0" w:line="310" w:lineRule="auto"/>
        <w:rPr>
          <w:sz w:val="20"/>
          <w:szCs w:val="20"/>
          <w:color w:val="auto"/>
        </w:rPr>
      </w:pPr>
      <w:r>
        <w:rPr>
          <w:rFonts w:ascii="Times New Roman" w:cs="Times New Roman" w:eastAsia="Times New Roman" w:hAnsi="Times New Roman"/>
          <w:sz w:val="16"/>
          <w:szCs w:val="16"/>
          <w:color w:val="auto"/>
        </w:rPr>
        <w:t>We cannot be sure that coverage or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8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may develop products that, once approved, may be administered by a physician.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20"/>
        <w:spacing w:after="0" w:line="275" w:lineRule="auto"/>
        <w:rPr>
          <w:sz w:val="20"/>
          <w:szCs w:val="20"/>
          <w:color w:val="auto"/>
        </w:rPr>
      </w:pPr>
      <w:r>
        <w:rPr>
          <w:rFonts w:ascii="Times New Roman" w:cs="Times New Roman" w:eastAsia="Times New Roman" w:hAnsi="Times New Roman"/>
          <w:sz w:val="18"/>
          <w:szCs w:val="18"/>
          <w:color w:val="auto"/>
        </w:rPr>
        <w:t>maintain price levels sufficient to realize an appropriate return on its investment in product development. If reimbursement is not available or is available only at limited levels, we may not be able to successfully commercialize any product candidate that we successfully develops.</w:t>
      </w:r>
    </w:p>
    <w:p>
      <w:pPr>
        <w:spacing w:after="0" w:line="10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biopharmaceutical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establish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3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8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For example, the Affordable Care Act has substantially changed healthcare financing and delivery by both governmental and private insurers. Among the Affordable Care Act provisions of importance to the pharmaceutical and biotechnology industries, in addition to those otherwise described above, are the following:</w:t>
      </w:r>
    </w:p>
    <w:p>
      <w:pPr>
        <w:spacing w:after="0" w:line="38" w:lineRule="exact"/>
        <w:rPr>
          <w:sz w:val="20"/>
          <w:szCs w:val="20"/>
          <w:color w:val="auto"/>
        </w:rPr>
      </w:pPr>
    </w:p>
    <w:p>
      <w:pPr>
        <w:ind w:left="760" w:right="760" w:hanging="212"/>
        <w:spacing w:after="0" w:line="275" w:lineRule="auto"/>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25" w:lineRule="exact"/>
        <w:rPr>
          <w:rFonts w:ascii="Times New Roman" w:cs="Times New Roman" w:eastAsia="Times New Roman" w:hAnsi="Times New Roman"/>
          <w:sz w:val="18"/>
          <w:szCs w:val="18"/>
          <w:color w:val="auto"/>
        </w:rPr>
      </w:pPr>
    </w:p>
    <w:p>
      <w:pPr>
        <w:ind w:left="760" w:right="160" w:hanging="212"/>
        <w:spacing w:after="0" w:line="262" w:lineRule="auto"/>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 and 13% of the average manufacturer price for most branded and generic drugs, respectively, and capped the total rebate amount for innovator drugs at 100% of the Average Manufacturer Price;</w:t>
      </w:r>
    </w:p>
    <w:p>
      <w:pPr>
        <w:spacing w:after="0" w:line="37" w:lineRule="exact"/>
        <w:rPr>
          <w:rFonts w:ascii="Times New Roman" w:cs="Times New Roman" w:eastAsia="Times New Roman" w:hAnsi="Times New Roman"/>
          <w:sz w:val="18"/>
          <w:szCs w:val="18"/>
          <w:color w:val="auto"/>
        </w:rPr>
      </w:pPr>
    </w:p>
    <w:p>
      <w:pPr>
        <w:ind w:left="760" w:hanging="212"/>
        <w:spacing w:after="0" w:line="310" w:lineRule="auto"/>
        <w:tabs>
          <w:tab w:leader="none" w:pos="7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Medicare Part D coverage gap discount program, in which manufacturers must agree to offer 50% (increased to 70% pursuant to the Bipartisan Budget Act of 2018, or BBA, effective as of January 2019) point-of-sale discounts off negotiated prices of applicable branded drugs to eligible beneficiaries during their coverage gap period, as a condition for the manufacturers’ outpatient drugs to be covered under Medicare Part D;</w:t>
      </w:r>
    </w:p>
    <w:p>
      <w:pPr>
        <w:spacing w:after="0" w:line="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540" w:hanging="212"/>
        <w:spacing w:after="0" w:line="275"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25" w:lineRule="exact"/>
        <w:rPr>
          <w:rFonts w:ascii="Times New Roman" w:cs="Times New Roman" w:eastAsia="Times New Roman" w:hAnsi="Times New Roman"/>
          <w:sz w:val="18"/>
          <w:szCs w:val="18"/>
          <w:color w:val="auto"/>
        </w:rPr>
      </w:pPr>
    </w:p>
    <w:p>
      <w:pPr>
        <w:ind w:left="760" w:right="40" w:hanging="212"/>
        <w:spacing w:after="0" w:line="262"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340B Drug Discount Program;</w:t>
      </w:r>
    </w:p>
    <w:p>
      <w:pPr>
        <w:spacing w:after="0" w:line="103" w:lineRule="exact"/>
        <w:rPr>
          <w:rFonts w:ascii="Times New Roman" w:cs="Times New Roman" w:eastAsia="Times New Roman" w:hAnsi="Times New Roman"/>
          <w:sz w:val="18"/>
          <w:szCs w:val="18"/>
          <w:color w:val="auto"/>
        </w:rPr>
      </w:pPr>
    </w:p>
    <w:p>
      <w:pPr>
        <w:ind w:left="760" w:right="360" w:hanging="212"/>
        <w:spacing w:after="0" w:line="275"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25" w:lineRule="exact"/>
        <w:rPr>
          <w:rFonts w:ascii="Times New Roman" w:cs="Times New Roman" w:eastAsia="Times New Roman" w:hAnsi="Times New Roman"/>
          <w:sz w:val="18"/>
          <w:szCs w:val="18"/>
          <w:color w:val="auto"/>
        </w:rPr>
      </w:pPr>
    </w:p>
    <w:p>
      <w:pPr>
        <w:ind w:left="760" w:right="500" w:hanging="212"/>
        <w:spacing w:after="0" w:line="275"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FCA and the Anti-Kickback Statute, new government investigative powers, and enhanced penalties for noncompliance;</w:t>
      </w:r>
    </w:p>
    <w:p>
      <w:pPr>
        <w:spacing w:after="0" w:line="25" w:lineRule="exact"/>
        <w:rPr>
          <w:rFonts w:ascii="Times New Roman" w:cs="Times New Roman" w:eastAsia="Times New Roman" w:hAnsi="Times New Roman"/>
          <w:sz w:val="18"/>
          <w:szCs w:val="18"/>
          <w:color w:val="auto"/>
        </w:rPr>
      </w:pPr>
    </w:p>
    <w:p>
      <w:pPr>
        <w:ind w:left="760" w:right="180" w:hanging="212"/>
        <w:spacing w:after="0" w:line="275"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certain financial arrangements with certain healthcare providers and teaching hospitals;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certain information regarding drug samples that manufacturers and distributors provide to physicians;</w:t>
      </w:r>
    </w:p>
    <w:p>
      <w:pPr>
        <w:spacing w:after="0" w:line="103" w:lineRule="exact"/>
        <w:rPr>
          <w:rFonts w:ascii="Times New Roman" w:cs="Times New Roman" w:eastAsia="Times New Roman" w:hAnsi="Times New Roman"/>
          <w:sz w:val="18"/>
          <w:szCs w:val="18"/>
          <w:color w:val="auto"/>
        </w:rPr>
      </w:pPr>
    </w:p>
    <w:p>
      <w:pPr>
        <w:ind w:left="760" w:right="680" w:hanging="212"/>
        <w:spacing w:after="0" w:line="275"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CMS to test innovative payment and service delivery models to lower Medicare and Medicaid spending;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 on biologic products.</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executive, legal and political challenges to certain aspects of the Affordable Care Act. By way of example, the TCJA included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Affordable Care Act, and therefore, because it was repealed as part of the TCJA, the remaining provisions of the Affordable Care Act are invalid as well. On December 18, 2019, the U.S. Court of Appeals for the 5th Circuit ruled that the individual mandate was unconstitutional but remanded the case back to the District Court to determine whether the remaining provisions of the Affordable Care Act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Affordable Care Act.</w:t>
      </w:r>
    </w:p>
    <w:p>
      <w:pPr>
        <w:spacing w:after="0" w:line="1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included aggregate reductions to Medicare payments to providers of 2% per fiscal year, which went into effect beginning on April 1, 2013 and will stay in effect through 2030 unless additional Congressional action is taken. These Medicare sequester reductions have been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BBA amended the Affordable Care Act, effective January 1, 2019, by increasing the point-of-sale discount that is owed by pharmaceutical manufacturers who participate in Medicare Part D and closing the coverage gap in most Medicare drug plans, commonly referred to as the “donut hole.”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firstLine="440"/>
        <w:spacing w:after="0" w:line="252"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or plan,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to allow Medicare Advantage Plans the option of using step therapy for Part B drugs beginning January 1, 2020. This final rule codified CMS’s policy change that was effective January 1, 2019.</w:t>
      </w:r>
    </w:p>
    <w:p>
      <w:pPr>
        <w:spacing w:after="0" w:line="13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While some of these and other measures may require additional authorization to become effective, Congress and the Trump administration have each indicated that it will continue to seek new legislative or administrative measures to control drug costs. Individual states in the United States have also become increasingly active in passing legislation and implementing regulations designed to control biopharmaceutical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29" w:lineRule="exact"/>
        <w:rPr>
          <w:sz w:val="20"/>
          <w:szCs w:val="20"/>
          <w:color w:val="auto"/>
        </w:rPr>
      </w:pPr>
    </w:p>
    <w:p>
      <w:pPr>
        <w:ind w:left="120" w:firstLine="440"/>
        <w:spacing w:after="0" w:line="288" w:lineRule="auto"/>
        <w:rPr>
          <w:sz w:val="20"/>
          <w:szCs w:val="20"/>
          <w:color w:val="auto"/>
        </w:rPr>
      </w:pPr>
      <w:r>
        <w:rPr>
          <w:rFonts w:ascii="Times New Roman" w:cs="Times New Roman" w:eastAsia="Times New Roman" w:hAnsi="Times New Roman"/>
          <w:sz w:val="16"/>
          <w:szCs w:val="16"/>
          <w:color w:val="auto"/>
        </w:rPr>
        <w:t>We expect that these and other healthcare reform measures that may be adopted in the future, may result in more rigorous coverage criteria and lower reimbursement, and in additional downward pressure on the price that we receive for any approved product. It is possible that additional governmental action is taken in response to the COVID-19 pandemic. For example, on August 6, 2020, the Trump administration issued another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Regulation</w:t>
      </w:r>
    </w:p>
    <w:p>
      <w:pPr>
        <w:spacing w:after="0" w:line="81" w:lineRule="exact"/>
        <w:rPr>
          <w:sz w:val="20"/>
          <w:szCs w:val="20"/>
          <w:color w:val="auto"/>
        </w:rPr>
      </w:pPr>
    </w:p>
    <w:p>
      <w:pPr>
        <w:ind w:left="120" w:right="320" w:firstLine="440"/>
        <w:spacing w:after="0" w:line="262" w:lineRule="auto"/>
        <w:rPr>
          <w:sz w:val="20"/>
          <w:szCs w:val="20"/>
          <w:color w:val="auto"/>
        </w:rPr>
      </w:pPr>
      <w:r>
        <w:rPr>
          <w:rFonts w:ascii="Times New Roman" w:cs="Times New Roman" w:eastAsia="Times New Roman" w:hAnsi="Times New Roman"/>
          <w:sz w:val="18"/>
          <w:szCs w:val="18"/>
          <w:color w:val="auto"/>
        </w:rPr>
        <w:t>In the European Union, a clinical trial application must be submitted to each country’s national regulatory authority in which the clinical trial is to take place, together with an independent ethics committee, much like the FDA and IRB, respectively. It is expected, however, that the Clinical Trials Regulation 536/2014 shall start to</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apply during the course of 2020. This new Regulation takes direct effect in each European Union Member State and seeks to simplify and streamline the approval of clinical trials in the European Union, for example, by allowing the clinical trial sponsor to submit a single application for approval of a clinical trial across the EU via a new EU Portal. The new Regulation also aims to streamline and simplify the rules on safety reporting, and introduces enhanced transparency requirements such as mandatory submission of a summary of the clinical trial results to a new EU Database.</w:t>
      </w:r>
    </w:p>
    <w:p>
      <w:pPr>
        <w:spacing w:after="0" w:line="122"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Medicinal products can only be commercialized in the European Economic Area after a marketing authorization, or MA, has been obtained. There are two types of marketing authorizations:</w:t>
      </w:r>
    </w:p>
    <w:p>
      <w:pPr>
        <w:spacing w:after="0" w:line="25" w:lineRule="exact"/>
        <w:rPr>
          <w:sz w:val="20"/>
          <w:szCs w:val="20"/>
          <w:color w:val="auto"/>
        </w:rPr>
      </w:pPr>
    </w:p>
    <w:p>
      <w:pPr>
        <w:ind w:left="760" w:right="140" w:hanging="212"/>
        <w:spacing w:after="0" w:line="293" w:lineRule="auto"/>
        <w:tabs>
          <w:tab w:leader="none" w:pos="7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centralized MA, which is issued by the European Commission through the Centralised Procedure, based on the opinion of the Committee for Medicinal Products for Human Use of the European Medicines Agency, or EMA, and which is valid throughout the entirety of the EEA. The Centralised Procedure is mandatory for certain types of products, such as biotechnology medicinal products, orphan medicinal products, and medicinal products indicated for the treatment of AIDS, cancer, neurodegenerative disorders, diabetes, auto immune and viral diseases. The Centralised Procedure is optional for products containing an active substance not authorized in the EEA before 20 May 2004, for products that constitute a significant therapeutic, scientific or technical innovation or for which a centralized authorization would be in the interest of patients.</w:t>
      </w:r>
    </w:p>
    <w:p>
      <w:pPr>
        <w:spacing w:after="0" w:line="15" w:lineRule="exact"/>
        <w:rPr>
          <w:rFonts w:ascii="Times New Roman" w:cs="Times New Roman" w:eastAsia="Times New Roman" w:hAnsi="Times New Roman"/>
          <w:sz w:val="16"/>
          <w:szCs w:val="16"/>
          <w:color w:val="auto"/>
        </w:rPr>
      </w:pPr>
    </w:p>
    <w:p>
      <w:pPr>
        <w:ind w:left="760" w:right="340" w:hanging="212"/>
        <w:spacing w:after="0" w:line="256"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Centralised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25" w:lineRule="exact"/>
        <w:rPr>
          <w:sz w:val="20"/>
          <w:szCs w:val="20"/>
          <w:color w:val="auto"/>
        </w:rPr>
      </w:pPr>
    </w:p>
    <w:p>
      <w:pPr>
        <w:ind w:left="120" w:right="360" w:firstLine="440"/>
        <w:spacing w:after="0" w:line="275"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EMA or the competent authorities of the Member States of the EEA make an assessment of the risk benefit balance of the product on the basis of scientific criteria concerning its quality, safety and efficacy.</w:t>
      </w:r>
    </w:p>
    <w:p>
      <w:pPr>
        <w:spacing w:after="0" w:line="106" w:lineRule="exact"/>
        <w:rPr>
          <w:sz w:val="20"/>
          <w:szCs w:val="20"/>
          <w:color w:val="auto"/>
        </w:rPr>
      </w:pPr>
    </w:p>
    <w:p>
      <w:pPr>
        <w:ind w:left="120" w:firstLine="440"/>
        <w:spacing w:after="0" w:line="288" w:lineRule="auto"/>
        <w:rPr>
          <w:sz w:val="20"/>
          <w:szCs w:val="20"/>
          <w:color w:val="auto"/>
        </w:rPr>
      </w:pPr>
      <w:r>
        <w:rPr>
          <w:rFonts w:ascii="Times New Roman" w:cs="Times New Roman" w:eastAsia="Times New Roman" w:hAnsi="Times New Roman"/>
          <w:sz w:val="16"/>
          <w:szCs w:val="16"/>
          <w:color w:val="auto"/>
        </w:rPr>
        <w:t>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Products receiving orphan designation, can receive ten years of market exclusivity, during which time no similar medicinal product for the same indication may be placed on the market. An orphan product’s market exclusivity may be reduced to six years if, at the end of the fifth year, it is established that the criteria for orphan drug designation are no longer met, in other words, when it is shown on the basis of available evidence that the product is sufficiently profitable not to justify maintenance of market exclusivity. Additionally, marketing authorization may be granted to a similar product for the same indication at any time if:</w:t>
      </w:r>
    </w:p>
    <w:p>
      <w:pPr>
        <w:spacing w:after="0" w:line="24" w:lineRule="exact"/>
        <w:rPr>
          <w:sz w:val="20"/>
          <w:szCs w:val="20"/>
          <w:color w:val="auto"/>
        </w:rPr>
      </w:pPr>
    </w:p>
    <w:p>
      <w:pPr>
        <w:ind w:left="760" w:hanging="212"/>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consents to a second orphan medicinal product application;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cannot supply sufficient quantities of the orphan medicinal product.</w:t>
      </w:r>
    </w:p>
    <w:p>
      <w:pPr>
        <w:spacing w:after="0" w:line="185"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In the EU, companies developing a new medicinal product must agree to a Paediatric Investigation Plan, or a PIP, with the EMA and must conduct pediatric clinical trials in accordance with that PIP, unless a deferral or</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waiver applies (for example, because the relevant disease or condition occurs only in adults). The MA application for the product must include the results of pediatric clinical trials conducted in accordance with the PIP, unless a waiver applies, or a deferral has been granted, in which case the pediatric clinical trials must be completed at a later date. Products that are granted a marketing authorization on the basis of the pediatric clinical trials conducted in accordance with the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PIP are developed and submitted.</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Coverage, Pricing and Reimbursement</w:t>
      </w:r>
    </w:p>
    <w:p>
      <w:pPr>
        <w:spacing w:after="0" w:line="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 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 border imports from low priced markets exert competitive pressure that may reduce pricing within a country. Any country that has price controls or reimbursement limitations for drug products may not allow favorable reimbursement and pricing arrangements.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Advertising Regulation</w:t>
      </w:r>
    </w:p>
    <w:p>
      <w:pPr>
        <w:spacing w:after="0" w:line="7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European Union directives, the details are governed by regulations in each European Union Member State and can differ from one country to another.</w:t>
      </w:r>
    </w:p>
    <w:p>
      <w:pPr>
        <w:spacing w:after="0" w:line="122" w:lineRule="exact"/>
        <w:rPr>
          <w:sz w:val="20"/>
          <w:szCs w:val="20"/>
          <w:color w:val="auto"/>
        </w:rPr>
      </w:pPr>
    </w:p>
    <w:p>
      <w:pPr>
        <w:ind w:left="120" w:right="280" w:firstLine="440"/>
        <w:spacing w:after="0" w:line="275"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Pharmacovigilance System</w:t>
      </w:r>
    </w:p>
    <w:p>
      <w:pPr>
        <w:spacing w:after="0" w:line="79" w:lineRule="exact"/>
        <w:rPr>
          <w:sz w:val="20"/>
          <w:szCs w:val="20"/>
          <w:color w:val="auto"/>
        </w:rPr>
      </w:pPr>
    </w:p>
    <w:p>
      <w:pPr>
        <w:ind w:left="120" w:right="400" w:firstLine="440"/>
        <w:spacing w:after="0" w:line="262" w:lineRule="auto"/>
        <w:rPr>
          <w:sz w:val="20"/>
          <w:szCs w:val="20"/>
          <w:color w:val="auto"/>
        </w:rPr>
      </w:pPr>
      <w:r>
        <w:rPr>
          <w:rFonts w:ascii="Times New Roman" w:cs="Times New Roman" w:eastAsia="Times New Roman" w:hAnsi="Times New Roman"/>
          <w:sz w:val="18"/>
          <w:szCs w:val="18"/>
          <w:color w:val="auto"/>
        </w:rPr>
        <w:t>The holder of a European MA must establish and maintain a pharmacovigilance system and appoint an individual qualified person for pharmacovigilance, or QPPV, who is responsible for oversight of that system. Key obligations include expedited reporting of suspected serious adverse reactions and submission of periodic safety update reports, or PSURs.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All new European MA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8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For other countries outside of the EU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22"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8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June 23, 2016, the electorate in the United Kingdom, or UK, voted in favor of leaving the EU, commonly referred to as “Brexit” and the United Kingdom officially withdrew from the EU on January 31, 2020. The United Kingdom and the EU are currently in a transition period during which the United Kingdom and the EU are negotiating additional arrangements, including their future trading arrangement. The United Kingdom has stated that it wants the transition period to expire, and the future trading terms to be agreed, by December 31, 2020.</w:t>
      </w:r>
    </w:p>
    <w:p>
      <w:pPr>
        <w:spacing w:after="0" w:line="122" w:lineRule="exact"/>
        <w:rPr>
          <w:sz w:val="20"/>
          <w:szCs w:val="20"/>
          <w:color w:val="auto"/>
        </w:rPr>
      </w:pPr>
    </w:p>
    <w:p>
      <w:pPr>
        <w:ind w:left="120" w:right="40" w:firstLine="440"/>
        <w:spacing w:after="0" w:line="296" w:lineRule="auto"/>
        <w:rPr>
          <w:sz w:val="20"/>
          <w:szCs w:val="20"/>
          <w:color w:val="auto"/>
        </w:rPr>
      </w:pPr>
      <w:r>
        <w:rPr>
          <w:rFonts w:ascii="Times New Roman" w:cs="Times New Roman" w:eastAsia="Times New Roman" w:hAnsi="Times New Roman"/>
          <w:sz w:val="16"/>
          <w:szCs w:val="16"/>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immediately following Brexit, it is expected that the United Kingdom’s regulatory regime will remain aligned with EU regulations. It remains to be seen how, if at all, Brexit will impact regulatory requirements for product candidates and products in the United Kingdom. In the longer term, Brexit could materially impact the future regulatory regime which applies to products and the approval of product candidates in the United Kingdom.</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8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8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80"/>
          </w:cols>
          <w:pgMar w:left="320" w:top="455" w:right="49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to regulation in the United States and Europe, a variety of foreign regulations govern clinical trials, commercial sales and distribution of drugs. Pharmaceutical firms who wish to market their medicinal drugs outside the European Union and the United States must submit marketing authorization application to the national authorities of the concerned countries, such as the Pharmaceutical and Medical Device Agency, or PMDA in Japan. The approval process varies from jurisdiction to jurisdiction and the time to approval may be longer or shorter than that required by the FDA or European Commission.</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7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are dependent on specialized third parties, who are subject to cGMP requirements and regulations, for the supply and manufacture of OPT-302 drug substance and drug product. We do not have any internal manufacturing and control capabilities. We source the drug substance for OPT-302 and our clinical trials on a purchase order basis. However, we believe that competitive pricing is achieved because there are a number of potential long-term replacements for our suppliers of drug substance.</w:t>
      </w:r>
    </w:p>
    <w:p>
      <w:pPr>
        <w:spacing w:after="0" w:line="122" w:lineRule="exact"/>
        <w:rPr>
          <w:sz w:val="20"/>
          <w:szCs w:val="20"/>
          <w:color w:val="auto"/>
        </w:rPr>
      </w:pPr>
    </w:p>
    <w:p>
      <w:pPr>
        <w:ind w:left="120" w:right="360" w:firstLine="440"/>
        <w:spacing w:after="0" w:line="255" w:lineRule="auto"/>
        <w:rPr>
          <w:sz w:val="20"/>
          <w:szCs w:val="20"/>
          <w:color w:val="auto"/>
        </w:rPr>
      </w:pPr>
      <w:r>
        <w:rPr>
          <w:rFonts w:ascii="Times New Roman" w:cs="Times New Roman" w:eastAsia="Times New Roman" w:hAnsi="Times New Roman"/>
          <w:sz w:val="18"/>
          <w:szCs w:val="18"/>
          <w:color w:val="auto"/>
        </w:rPr>
        <w:t>In October 2013, we entered into a biopharmaceutical manufacturing agreement, or the Patheon Agreement, with Patheon Biologics Company, Austria Pty Ltd. and Patheon Biologics Company B.V., or collectively Patheon. The Patheon Agreement establishes the general terms and conditions pursuant to which Patheon or its affiliates will manufacture OPT-302 drug product for us in accordance with cGMP requirements. Under the Patheon Agreement, Patheon granted us a perpetual, royalty-free, fully paid-up, non-exclusive, worldwide, transferable and sublicensable license, under all of Patheon’s intellectual property rights embedded in the development and manufacture process to the extent necessary for developing, making, using and selling OPT-302.</w:t>
      </w:r>
    </w:p>
    <w:p>
      <w:pPr>
        <w:spacing w:after="0" w:line="125" w:lineRule="exact"/>
        <w:rPr>
          <w:sz w:val="20"/>
          <w:szCs w:val="20"/>
          <w:color w:val="auto"/>
        </w:rPr>
      </w:pPr>
    </w:p>
    <w:p>
      <w:pPr>
        <w:ind w:left="120" w:firstLine="440"/>
        <w:spacing w:after="0" w:line="290" w:lineRule="auto"/>
        <w:rPr>
          <w:sz w:val="20"/>
          <w:szCs w:val="20"/>
          <w:color w:val="auto"/>
        </w:rPr>
      </w:pPr>
      <w:r>
        <w:rPr>
          <w:rFonts w:ascii="Times New Roman" w:cs="Times New Roman" w:eastAsia="Times New Roman" w:hAnsi="Times New Roman"/>
          <w:sz w:val="16"/>
          <w:szCs w:val="16"/>
          <w:color w:val="auto"/>
        </w:rPr>
        <w:t>The Patheon Agreement will expire on the date that all of the manufacturing services to be performed by Patheon are completed. We may terminate the Patheon Agreement for any reason upon prior written notice. Patheon may terminate the Patheon Agreement upon prior written notice if Patheon has not performed any activities under the Patheon Agreement for certain period of time or if, despite Patheon’s commercially reasonably best efforts, Patheon determines that the services cannot be completed according to specifications approved by us or within a reasonable time after the originally planned timeframe. Either party may terminate the Patheon Agreement for the other party’s uncured material breach or bankruptcy. In addition, the Patheon Agreement will terminate if the parties are unable to reach agreement regarding necessary changes to the services based on the results of individual stage of development work. Upon termination of the Patheon Agreement, we are required to pay Patheon for services properly performed, including non-cancelable costs. Based upon the timing of the termination, we may also be required to pay Patheon certain close out cost for canceled services</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7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June 30, 2020, we had eight full-time employees, four of whom had an M.D. or Ph.D. degree. None of our employees are represented by collective bargaining agreements. We believe that our management maintains good relations with our employees. As of June 30, 2020, all of our employees were based in Australia, with four employees in our research and development department and four employees in our general and administrative department.</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79"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We occupy approximately 591 square feet of office space in South Yarra, Victoria, Australia under a lease that expires in July 2022. We believe that our existing facilities are adequate to meet our current needs and that suitable additional alternative facilities will be available in the future on commercially reasonable terms to meet our future needs.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79" w:lineRule="exact"/>
        <w:rPr>
          <w:sz w:val="20"/>
          <w:szCs w:val="20"/>
          <w:color w:val="auto"/>
        </w:rPr>
      </w:pPr>
    </w:p>
    <w:p>
      <w:pPr>
        <w:ind w:left="120" w:right="200" w:firstLine="440"/>
        <w:spacing w:after="0" w:line="275"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currently not a party to any material legal proceedings.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our directors, director nominee, senior management and key employees as of September 30,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35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Age</w:t>
            </w:r>
          </w:p>
        </w:tc>
        <w:tc>
          <w:tcPr>
            <w:tcW w:w="6700" w:type="dxa"/>
            <w:vAlign w:val="bottom"/>
          </w:tcPr>
          <w:p>
            <w:pPr>
              <w:ind w:left="312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04"/>
        </w:trPr>
        <w:tc>
          <w:tcPr>
            <w:tcW w:w="392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Senior Management and Key Employees</w:t>
            </w:r>
          </w:p>
        </w:tc>
        <w:tc>
          <w:tcPr>
            <w:tcW w:w="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700" w:type="dxa"/>
            <w:vAlign w:val="bottom"/>
            <w:tcBorders>
              <w:top w:val="single" w:sz="8" w:color="auto"/>
            </w:tcBorders>
          </w:tcPr>
          <w:p>
            <w:pPr>
              <w:spacing w:after="0"/>
              <w:rPr>
                <w:sz w:val="17"/>
                <w:szCs w:val="17"/>
                <w:color w:val="auto"/>
              </w:rPr>
            </w:pPr>
          </w:p>
        </w:tc>
      </w:tr>
      <w:tr>
        <w:trPr>
          <w:trHeight w:val="30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Baldwin,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Managing Director</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Tonroe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Company Secretary</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Chadwick,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Head of Intellectual Property</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Gerometta,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Head of Chemistry, Manufacturing and Controls Development</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Clare Price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 of Clinical Development</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Annette Leahy</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 of Clinical Research</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Ian Leitch,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 of Clinical Research</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Kempler</w:t>
            </w:r>
            <w:r>
              <w:rPr>
                <w:rFonts w:ascii="Times New Roman" w:cs="Times New Roman" w:eastAsia="Times New Roman" w:hAnsi="Times New Roman"/>
                <w:sz w:val="11"/>
                <w:szCs w:val="11"/>
                <w:color w:val="auto"/>
              </w:rPr>
              <w:t>(1)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Chairperson</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Gozlan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Sistenich</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Spiegelman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Levin, D.Phil, MB BChir</w:t>
            </w:r>
            <w:r>
              <w:rPr>
                <w:rFonts w:ascii="Times New Roman" w:cs="Times New Roman" w:eastAsia="Times New Roman" w:hAnsi="Times New Roman"/>
                <w:sz w:val="11"/>
                <w:szCs w:val="11"/>
                <w:color w:val="auto"/>
              </w:rPr>
              <w:t>(2)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7715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6"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Kempler will retire from our board of directors effective as of October 12, 2020.</w:t>
      </w:r>
    </w:p>
    <w:p>
      <w:pPr>
        <w:spacing w:after="0" w:line="2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Levin will join our board of directors as Chairperson effective as of October 12, 2020.</w:t>
      </w:r>
    </w:p>
    <w:p>
      <w:pPr>
        <w:spacing w:after="0" w:line="145"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The business addresses for our senior management and board of directors is Opthea Limited, Suite 0403, Level 4, 650 Chapel Street, South Yarra, VIC 3141, Australia.</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 and Key Employees</w:t>
      </w:r>
    </w:p>
    <w:p>
      <w:pPr>
        <w:spacing w:after="0" w:line="7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Megan Baldwin, Ph.D., </w:t>
      </w:r>
      <w:r>
        <w:rPr>
          <w:rFonts w:ascii="Times New Roman" w:cs="Times New Roman" w:eastAsia="Times New Roman" w:hAnsi="Times New Roman"/>
          <w:sz w:val="18"/>
          <w:szCs w:val="18"/>
          <w:color w:val="auto"/>
        </w:rPr>
        <w:t>has served as our Chief Executive Officer and Managing Director since February 2014. Since joining our company in 2008,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Baldwin has held various positions, including Head of Preclinical R&amp;D from February 2009 to November 2012 and Chief Executive Officer of Opthea Pty Ltd., previously a wholly-owned subsidiary, from November 2012 to December 2015. Dr. Baldwin has over 20 years of experience focusing on angiogenesis and therapeutic strategies for ophthalmic and cancer indications. Prior to joining our company, Dr. Baldwin was employed at Genentech, Inc. (now a subsidiary of the Roche Group), a leader in the field of angiogenesis-based therapies for cancer and other diseases. Dr. Baldwin earned a Bachelor of Science Honours and Ph.D. in Medicine from the University of Melbourne. We believe that Dr. Baldwin’s business expertise and her daily insight into corporate matters as our Chief Executive Officer qualify her to serve on our board of directors.</w:t>
      </w:r>
    </w:p>
    <w:p>
      <w:pPr>
        <w:spacing w:after="0" w:line="127" w:lineRule="exact"/>
        <w:rPr>
          <w:sz w:val="20"/>
          <w:szCs w:val="20"/>
          <w:color w:val="auto"/>
        </w:rPr>
      </w:pPr>
    </w:p>
    <w:p>
      <w:pPr>
        <w:ind w:left="120" w:right="440" w:firstLine="4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Michael Tonroe </w:t>
      </w:r>
      <w:r>
        <w:rPr>
          <w:rFonts w:ascii="Times New Roman" w:cs="Times New Roman" w:eastAsia="Times New Roman" w:hAnsi="Times New Roman"/>
          <w:sz w:val="18"/>
          <w:szCs w:val="18"/>
          <w:color w:val="auto"/>
        </w:rPr>
        <w:t>has served as our Chief Financial Officer and Company Secretary since May 2014. From March 2011 to April 2014, Mr. Tonroe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Chief Financial Officer and Company Secretary of the Australian Synchrotron Co. Ltd. in Melbourne. Mr. Tonroe has over 20 years of experience in financial</w:t>
      </w:r>
    </w:p>
    <w:p>
      <w:pPr>
        <w:spacing w:after="0" w:line="1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color w:val="auto"/>
        </w:rPr>
        <w:t>management serving in board-level positions for private and listed companies in Australia, the United Kingdom, the United States and Canada. Mr. Tonroe is a fellow of the Institute of Chartered Accountants in England and Wales and earned a Bachelor of Science in Business Studies from Buckingham University.</w:t>
      </w:r>
    </w:p>
    <w:p>
      <w:pPr>
        <w:spacing w:after="0" w:line="117"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Chadwick, Ph.D., </w:t>
      </w:r>
      <w:r>
        <w:rPr>
          <w:rFonts w:ascii="Times New Roman" w:cs="Times New Roman" w:eastAsia="Times New Roman" w:hAnsi="Times New Roman"/>
          <w:sz w:val="18"/>
          <w:szCs w:val="18"/>
          <w:color w:val="auto"/>
        </w:rPr>
        <w:t>has served as our Head of Intellectual Property since February 2008. From April 2003 to December 2007, Dr. Chadwick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 patent attorney at FB Rice &amp; Co., a private law firm. Prior to FB Rice &amp; Co., Dr. Chadwick was a patent attorney at Wynne-Jones, Laine &amp; James, a private law firm, and also worked as an in-house attorney at Dow Corning Limited, a materials science company, and Unilever plc, a consumer goods company. Dr. Chadwick earned a Bachelor of Science in Biochemistry with Microbiology from the University of St. Andrews and a Ph.D. in Biochemistry and Molecular Biology from the University of Manchester.</w:t>
      </w:r>
    </w:p>
    <w:p>
      <w:pPr>
        <w:spacing w:after="0" w:line="120"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Michael Gerometta, Ph.D., </w:t>
      </w:r>
      <w:r>
        <w:rPr>
          <w:rFonts w:ascii="Times New Roman" w:cs="Times New Roman" w:eastAsia="Times New Roman" w:hAnsi="Times New Roman"/>
          <w:sz w:val="18"/>
          <w:szCs w:val="18"/>
          <w:color w:val="auto"/>
        </w:rPr>
        <w:t>has served as our Head of Chemistry, Manufacturing and Controls Development since December 2008. Dr. Gerometta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30 years of experience in the Australian biotechnology industry, working with numerous contract manufacturing organizations overseas and locally in all facets of translational CMC from concept through to Phase 2 studies. Dr. Gerometta earned a Bachelor of Science in Chemistry from the University of Technology, Sydney, and a Ph.D. in Biotechnology from the Queensland University of Technology.</w:t>
      </w:r>
    </w:p>
    <w:p>
      <w:pPr>
        <w:spacing w:after="0" w:line="119"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Clare Price </w:t>
      </w:r>
      <w:r>
        <w:rPr>
          <w:rFonts w:ascii="Times New Roman" w:cs="Times New Roman" w:eastAsia="Times New Roman" w:hAnsi="Times New Roman"/>
          <w:sz w:val="18"/>
          <w:szCs w:val="18"/>
          <w:color w:val="auto"/>
        </w:rPr>
        <w:t>has served as our Director of Clinical Development since July 2016. From February 2016 to July 2016, Ms. Price served as the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Clinical Development at Commercial Eyes Pty Ltd., a pharmaceutical consulting firm. From January 2007 to January 2016, Ms. Price served in various roles, most recently as the Clinical Programme Director, at Starpharma Holdings Ltd, an Australian biotechnology company. Ms. Price earned a Bachelor of Pharmacy from Bath Spa University.</w:t>
      </w:r>
    </w:p>
    <w:p>
      <w:pPr>
        <w:spacing w:after="0" w:line="119"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Annette Leahy </w:t>
      </w:r>
      <w:r>
        <w:rPr>
          <w:rFonts w:ascii="Times New Roman" w:cs="Times New Roman" w:eastAsia="Times New Roman" w:hAnsi="Times New Roman"/>
          <w:sz w:val="18"/>
          <w:szCs w:val="18"/>
          <w:color w:val="auto"/>
        </w:rPr>
        <w:t>has served as one of our Directors of Clinical Research since August 2017. From May 2016 to August 2017, she was the Clinical Trials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at Swisse Wellness Pty Ltd., an Australian wellness company. From September 2014 to May 2016, she served in various roles, most recently as Senior Manager, Learning and Development, at Novotech (Australia) Pty Ltd., an Australian clinical research organization. Ms Leahy earned a Bachelor of Health Information Management from La Trobe University.</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Ian Leitch, Ph.D., </w:t>
      </w:r>
      <w:r>
        <w:rPr>
          <w:rFonts w:ascii="Times New Roman" w:cs="Times New Roman" w:eastAsia="Times New Roman" w:hAnsi="Times New Roman"/>
          <w:sz w:val="18"/>
          <w:szCs w:val="18"/>
          <w:color w:val="auto"/>
        </w:rPr>
        <w:t>has served as one of our Directors of Clinical Research since September 2011. From September 2006 to September 2011, Dr. Leitch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 member of the Medical Sciences group at Amgen Inc., a biopharmaceutical company, and had responsibility for the design and management of clinical studies in oncology. From 1998 to 2006, Dr. Leitch was Senior Program Manager for Cardiovascular Research and Clinical Study Director for Ophthalmology at Miravant Medical Technologies Inc., a biopharmaceutical company. He earned a Bachelor of Science with Honours and a Ph.D. from the Department of Pharmacology, Faculty of Medicine, at Monash University and completed part of the doctoral studies at the University of California, Santa Barbara.</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7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Geoffrey Kempler </w:t>
      </w:r>
      <w:r>
        <w:rPr>
          <w:rFonts w:ascii="Times New Roman" w:cs="Times New Roman" w:eastAsia="Times New Roman" w:hAnsi="Times New Roman"/>
          <w:sz w:val="18"/>
          <w:szCs w:val="18"/>
          <w:color w:val="auto"/>
        </w:rPr>
        <w:t>has served as the Chairperson of our board of directors since November 2015. Mr. Kempler has also served as the Chairman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1997 and as Chief Executive Officer since June 2005 of Alterity Therapeutics Ltd., a pharmaceutical development company listed on both the Nasdaq Capital Market and the Australian Securities Exchange. Mr. Kempler earned a Bachelor of Science from Monash University and a Graduate Diploma in Applied Social Psychology from Swinburne University of Technology. We believe Mr. Kempler’s extensive experience in investment and business development have qualified him to serve on our board of directors. Mr. Kempler will retire from our board of directors effective as of October 12, 2020.</w:t>
      </w:r>
    </w:p>
    <w:p>
      <w:pPr>
        <w:spacing w:after="0" w:line="125" w:lineRule="exact"/>
        <w:rPr>
          <w:sz w:val="20"/>
          <w:szCs w:val="20"/>
          <w:color w:val="auto"/>
        </w:rPr>
      </w:pPr>
    </w:p>
    <w:p>
      <w:pPr>
        <w:ind w:left="120" w:right="540" w:firstLine="4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Lawrence Gozlan </w:t>
      </w:r>
      <w:r>
        <w:rPr>
          <w:rFonts w:ascii="Times New Roman" w:cs="Times New Roman" w:eastAsia="Times New Roman" w:hAnsi="Times New Roman"/>
          <w:sz w:val="18"/>
          <w:szCs w:val="18"/>
          <w:color w:val="auto"/>
        </w:rPr>
        <w:t>has served as a member of our board of directors since July 2020. Since 2007, Mr. Gozlan has served as the Life Sciences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Manager of Jagen Pty Ltd., an international investment organization. Mr. Gozlan has also served as a member of the board of directors of Alterity Therapeutics Ltd., a drug</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20"/>
        <w:spacing w:after="0" w:line="339" w:lineRule="auto"/>
        <w:rPr>
          <w:sz w:val="20"/>
          <w:szCs w:val="20"/>
          <w:color w:val="auto"/>
        </w:rPr>
      </w:pPr>
      <w:r>
        <w:rPr>
          <w:rFonts w:ascii="Times New Roman" w:cs="Times New Roman" w:eastAsia="Times New Roman" w:hAnsi="Times New Roman"/>
          <w:sz w:val="16"/>
          <w:szCs w:val="16"/>
          <w:color w:val="auto"/>
        </w:rPr>
        <w:t>development company, since 2011. Mr. Gozlan earned a Bachelor of Science in Microbiology and Immunology from the University of Melbourne. We believe Mr. Gozlan’s extensive investment experience in biotechnology and life sciences companies qualify him to serve on our board of directors.</w:t>
      </w:r>
    </w:p>
    <w:p>
      <w:pPr>
        <w:spacing w:after="0" w:line="5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Jeremy Levin, D.Phil., MB BChir </w:t>
      </w:r>
      <w:r>
        <w:rPr>
          <w:rFonts w:ascii="Times New Roman" w:cs="Times New Roman" w:eastAsia="Times New Roman" w:hAnsi="Times New Roman"/>
          <w:sz w:val="18"/>
          <w:szCs w:val="18"/>
          <w:color w:val="auto"/>
        </w:rPr>
        <w:t>will join our board of directors and serve as Chairperson effective as of October 12, 2020 following the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Mr. Kempler from our board of directors on the same date. Since March 2015, Dr. Levin has served as the Chief Executive Officer, and since April 2014, as the chairperson of the board of directors, of Ovid Therapeutics Inc., a biopharmaceutical company. From May 2012 to October 2013, Dr. Levin served as the President and Chief Executive Officer of Teva Pharmaceutical Industries Ltd., a publicly held pharmaceutical company. From September 2007 to December 2012, Dr. Levin held several roles at Bristol-Myers Squibb Company, a publicly held pharmaceutical company, ultimately serving as the Senior Vice President of Strategy, Alliances and Transactions. Dr. Levin also served as a member of the executive committee at Bristol-Myers Squibb Company. Dr. Levin earned a Bachelor of Arts in Zoology, Master of Arts in Cell Biology and D.Phil. in Chromatin Structure, all from University of Oxford, and a Bachelor of Medicine, Bachelor of Surgery from the University of Cambridge. We believe Dr. Levin’s extensive experience in the global biotechnology and pharmaceutical industry qualify him to serve on our board of directors.</w:t>
      </w:r>
    </w:p>
    <w:p>
      <w:pPr>
        <w:spacing w:after="0" w:line="1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Michael Sistenich </w:t>
      </w:r>
      <w:r>
        <w:rPr>
          <w:rFonts w:ascii="Times New Roman" w:cs="Times New Roman" w:eastAsia="Times New Roman" w:hAnsi="Times New Roman"/>
          <w:sz w:val="18"/>
          <w:szCs w:val="18"/>
          <w:color w:val="auto"/>
        </w:rPr>
        <w:t>has served as a member of our board of directors since November 2015. Since May 2017, Mr. Sistenich has served as a co-founder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partner of Aurenda Partners Pty Ltd., an investment firm. From August 2016 to February 2017, Mr. Sistenich served as the interim Chief Executive Officer of Nohla Therapeutics, Inc., a cellular therapy company, and has also served as a member of the board of directors of Nohla Therapeutics, Inc. from March 2017 to June 2019. Mr. Sistenich has advised a wide range of global institutions, high net worth individuals and companies on healthcare investments over the past 20 years. He is a healthcare specialist in international investment management and investment banking. Mr. Sistenich earned a Master of Science in Biochemistry from the University of Oxford. We believe Mr. Sistenich’s financial experience and his service on the boards of directors of several biotechnology companies qualify him to serve on our board of directors.</w:t>
      </w:r>
    </w:p>
    <w:p>
      <w:pPr>
        <w:spacing w:after="0" w:line="127" w:lineRule="exact"/>
        <w:rPr>
          <w:sz w:val="20"/>
          <w:szCs w:val="20"/>
          <w:color w:val="auto"/>
        </w:rPr>
      </w:pPr>
    </w:p>
    <w:p>
      <w:pPr>
        <w:ind w:left="120" w:firstLine="440"/>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Daniel Spiegelman </w:t>
      </w:r>
      <w:r>
        <w:rPr>
          <w:rFonts w:ascii="Times New Roman" w:cs="Times New Roman" w:eastAsia="Times New Roman" w:hAnsi="Times New Roman"/>
          <w:sz w:val="16"/>
          <w:szCs w:val="16"/>
          <w:color w:val="auto"/>
        </w:rPr>
        <w:t>has served as a member of our board of directors since September 2020. Since July 2020, Mr. Spiegelman has served as interim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President of Recardia Therapeutics Inc., a pharmaceutical development company. From May 2012 to January 2020, Mr. Spiegelman served as Executive Vice President, Chief Financial Officer and a member of the board of directors of BioMarin Pharmaceutical Inc., a biotechnology company. From October 2008 to March 2018, Mr. Spiegelman served as a member of the board of directors of Cascadian Therapeutics, Inc., a publicly held biotechnology company that was acquired by Seattle Genetics, Inc. in 2018. From October 2008 to March 2018, Mr. Spiegelman served as a member of the board of directors of Cascadian Therapeutics, Inc., a publicly held biotechnology company that was acquired by Seattle Genetics, Inc. in 2018. From May 2009 to May 2012, Mr. Spiegelman served as a consultant to provide strategic financial management support to a portfolio of public and private life science companies. Mr. Spiegelman has also served as a member of the board of directors of Myriad Genetics, a molecular diagnostic company, since May 2020. Mr. Spiegelman earned a Bachelor of Arts from Stanford University and a Master of Business Administration from the Stanford Graduate School of Business. We believe Mr. Spiegelman’s extensive leadership experience in biotechnology and pharmaceutical companies qualify him to serve on our board of directors.</w:t>
      </w:r>
    </w:p>
    <w:p>
      <w:pPr>
        <w:spacing w:after="0" w:line="1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currently consists of five members, including Dr. Baldwin, our Chief Executive Officer and Managing Director. Upon the completion of this offering, our board of directors will remain at five members following the retirement of Mr. Kempler and the addition of Dr. Levin, each effective as of October 12, 2020. Directors are elected at our annual general meeting of shareholders. Under our Constitution, at the close of each annual general meeting one-third of the directors, other than the Managing Director, or if their number is not a multiple of three, then the number nearest to but not more than one-third of the directors must retire. In addition, a director, other than the managing director, must retire from office at the conclusion of the third annual</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0"/>
        <w:spacing w:after="0" w:line="275" w:lineRule="auto"/>
        <w:rPr>
          <w:sz w:val="20"/>
          <w:szCs w:val="20"/>
          <w:color w:val="auto"/>
        </w:rPr>
      </w:pPr>
      <w:r>
        <w:rPr>
          <w:rFonts w:ascii="Times New Roman" w:cs="Times New Roman" w:eastAsia="Times New Roman" w:hAnsi="Times New Roman"/>
          <w:sz w:val="18"/>
          <w:szCs w:val="18"/>
          <w:color w:val="auto"/>
        </w:rPr>
        <w:t>general meeting of shareholders after the director was last elected, even if his or her retirement results in more than one-third of all directors retiring from office. A retiring director remains in office until the end of such shareholder meeting and will be eligible for re-election at that meeting.</w:t>
      </w:r>
    </w:p>
    <w:p>
      <w:pPr>
        <w:spacing w:after="0" w:line="106" w:lineRule="exact"/>
        <w:rPr>
          <w:sz w:val="20"/>
          <w:szCs w:val="20"/>
          <w:color w:val="auto"/>
        </w:rPr>
      </w:pPr>
    </w:p>
    <w:p>
      <w:pPr>
        <w:ind w:left="120" w:right="640" w:firstLine="440"/>
        <w:spacing w:after="0" w:line="275" w:lineRule="auto"/>
        <w:rPr>
          <w:sz w:val="20"/>
          <w:szCs w:val="20"/>
          <w:color w:val="auto"/>
        </w:rPr>
      </w:pPr>
      <w:r>
        <w:rPr>
          <w:rFonts w:ascii="Times New Roman" w:cs="Times New Roman" w:eastAsia="Times New Roman" w:hAnsi="Times New Roman"/>
          <w:sz w:val="18"/>
          <w:szCs w:val="18"/>
          <w:color w:val="auto"/>
        </w:rPr>
        <w:t>The membership of our board of directors is directed by the following requirements as set forth in our Constitution and our Board Charter, as applicable:</w:t>
      </w:r>
    </w:p>
    <w:p>
      <w:pPr>
        <w:spacing w:after="0" w:line="25" w:lineRule="exact"/>
        <w:rPr>
          <w:sz w:val="20"/>
          <w:szCs w:val="20"/>
          <w:color w:val="auto"/>
        </w:rPr>
      </w:pPr>
    </w:p>
    <w:p>
      <w:pPr>
        <w:ind w:left="760" w:right="180" w:hanging="212"/>
        <w:spacing w:after="0" w:line="275" w:lineRule="auto"/>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a minimum of three directors and a maximum of 10, and our board of directors may determine the number of directors within those limits;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board of directors should be independent;</w:t>
      </w:r>
    </w:p>
    <w:p>
      <w:pPr>
        <w:spacing w:after="0" w:line="103" w:lineRule="exact"/>
        <w:rPr>
          <w:rFonts w:ascii="Times New Roman" w:cs="Times New Roman" w:eastAsia="Times New Roman" w:hAnsi="Times New Roman"/>
          <w:sz w:val="18"/>
          <w:szCs w:val="18"/>
          <w:color w:val="auto"/>
        </w:rPr>
      </w:pPr>
    </w:p>
    <w:p>
      <w:pPr>
        <w:ind w:left="760" w:hanging="212"/>
        <w:spacing w:after="0" w:line="262" w:lineRule="auto"/>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power to appoint any person to be a director, either to fill a vacancy or as an additional director (provided that the total number of directors does not exceed the maximum number of directors permitted), and any director so appointed will hold office until the end of the next annual general meeting when he or she may be re-elected; and</w:t>
      </w:r>
    </w:p>
    <w:p>
      <w:pPr>
        <w:spacing w:after="0" w:line="37" w:lineRule="exact"/>
        <w:rPr>
          <w:rFonts w:ascii="Times New Roman" w:cs="Times New Roman" w:eastAsia="Times New Roman" w:hAnsi="Times New Roman"/>
          <w:sz w:val="18"/>
          <w:szCs w:val="18"/>
          <w:color w:val="auto"/>
        </w:rPr>
      </w:pPr>
    </w:p>
    <w:p>
      <w:pPr>
        <w:ind w:left="760" w:right="320" w:hanging="212"/>
        <w:spacing w:after="0" w:line="275" w:lineRule="auto"/>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should, collectively, have the appropriate level of personal qualities, skills, experience and time commitment to properly fulfill its responsibilities.</w:t>
      </w:r>
    </w:p>
    <w:p>
      <w:pPr>
        <w:spacing w:after="0" w:line="106" w:lineRule="exact"/>
        <w:rPr>
          <w:sz w:val="20"/>
          <w:szCs w:val="20"/>
          <w:color w:val="auto"/>
        </w:rPr>
      </w:pPr>
    </w:p>
    <w:p>
      <w:pPr>
        <w:ind w:left="120" w:right="40" w:firstLine="440"/>
        <w:spacing w:after="0" w:line="325" w:lineRule="auto"/>
        <w:rPr>
          <w:sz w:val="20"/>
          <w:szCs w:val="20"/>
          <w:color w:val="auto"/>
        </w:rPr>
      </w:pPr>
      <w:r>
        <w:rPr>
          <w:rFonts w:ascii="Times New Roman" w:cs="Times New Roman" w:eastAsia="Times New Roman" w:hAnsi="Times New Roman"/>
          <w:sz w:val="16"/>
          <w:szCs w:val="16"/>
          <w:color w:val="auto"/>
        </w:rPr>
        <w:t>Our board of directors has delegated responsibility for the management of our businesses to the Chief Executive Officer and Managing Director but remains responsible for overseeing the performance of management. The principal roles and responsibilities of our board of directors include the following:</w:t>
      </w:r>
    </w:p>
    <w:p>
      <w:pPr>
        <w:spacing w:after="0" w:line="1" w:lineRule="exact"/>
        <w:rPr>
          <w:sz w:val="20"/>
          <w:szCs w:val="20"/>
          <w:color w:val="auto"/>
        </w:rPr>
      </w:pPr>
    </w:p>
    <w:p>
      <w:pPr>
        <w:ind w:left="760" w:hanging="212"/>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provide input into and approve our business plan;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senior management’s performance and implementation of strategy, and ensure appropriate resources are available;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and monitor major resource allocations and capital investments, and acquisitions and divestitures;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approve and monitor major resource allocations and capital investments, and acquisitions and divestitures;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our financial and operating results;</w:t>
      </w:r>
    </w:p>
    <w:p>
      <w:pPr>
        <w:spacing w:after="0" w:line="103" w:lineRule="exact"/>
        <w:rPr>
          <w:rFonts w:ascii="Times New Roman" w:cs="Times New Roman" w:eastAsia="Times New Roman" w:hAnsi="Times New Roman"/>
          <w:sz w:val="18"/>
          <w:szCs w:val="18"/>
          <w:color w:val="auto"/>
        </w:rPr>
      </w:pPr>
    </w:p>
    <w:p>
      <w:pPr>
        <w:ind w:left="760" w:right="280" w:hanging="212"/>
        <w:spacing w:after="0" w:line="275"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the overall corporate organizational structure, the assignment of senior management responsibilities and plans for senior management development and succession;</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compensation strategy as it relates to our senior management;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ratify systems of risk management and internal compliance and control, codes of conduct and legal compliance.</w:t>
      </w:r>
    </w:p>
    <w:p>
      <w:pPr>
        <w:spacing w:after="0" w:line="185"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has established delegated limits of authority, which define the matters that are delegated to management and those that require board of director approval. Under the Corporations Act, at least two of our directors must be resident Australians. None of our non-employee directors have any service contracts with us that provide for benefits upon termination of employment. Under our Board Charter, the board of directors is required to meet at least six times per year.</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7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To assist with the effective discharge of its duties, the board of directors has established an Audit and Risk Committee, a Remuneration Committee and a Nomination Committee. Each committee operates under a charter approved by our board of directors, which sets forth the purposes and responsibilities of the committees as well as qualifications for committee membership, committee structure and operations and committee reporting to the board of directors.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81" w:lineRule="exact"/>
        <w:rPr>
          <w:sz w:val="20"/>
          <w:szCs w:val="20"/>
          <w:color w:val="auto"/>
        </w:rPr>
      </w:pPr>
    </w:p>
    <w:p>
      <w:pPr>
        <w:ind w:left="120" w:right="20" w:firstLine="440"/>
        <w:spacing w:after="0" w:line="287" w:lineRule="auto"/>
        <w:rPr>
          <w:sz w:val="20"/>
          <w:szCs w:val="20"/>
          <w:color w:val="auto"/>
        </w:rPr>
      </w:pPr>
      <w:r>
        <w:rPr>
          <w:rFonts w:ascii="Times New Roman" w:cs="Times New Roman" w:eastAsia="Times New Roman" w:hAnsi="Times New Roman"/>
          <w:sz w:val="16"/>
          <w:szCs w:val="16"/>
          <w:color w:val="auto"/>
        </w:rPr>
        <w:t>The members of our Audit and Risk Committee are Messrs. Lawrence Gozlan, Michael Sistenich and Daniel Spiegelman. Our board of directors has determined that each of Messrs. Gozlan, Sistenich and Spiegelman satisfies the independence requirements under Nasdaq listing standards and Rule 10A-3(b)(1) of the Exchange Act. The chairperson of our Audit and Risk Committee is Mr. Spiegelman. Our board of directors has determined that</w:t>
      </w: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Mr. Spiegelman is an “audit committee financial expert” within the meaning of SEC regulations. Each member of our Audit and Risk Committee can read and understand fundamental financial statements in accordance with applicable requirements. In arriving at these determinations, our board of directors has examined each member’s scope of experience and the nature of his or her employment.</w:t>
      </w:r>
    </w:p>
    <w:p>
      <w:pPr>
        <w:spacing w:after="0" w:line="124"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charter for our Audit and Risk Committee requires the committee to consist of at least three directors, each of whom must be non-employee directors and a majority of which must be independent directors. The chairperson of our Audit and Risk Committee must be an independent director and cannot be the chairperson of our board of directors. The Audit and Risk Committee is required to hold at least one regular meeting per fiscal quarter and must review its charter at least annually.</w:t>
      </w:r>
    </w:p>
    <w:p>
      <w:pPr>
        <w:spacing w:after="0" w:line="122" w:lineRule="exact"/>
        <w:rPr>
          <w:sz w:val="20"/>
          <w:szCs w:val="20"/>
          <w:color w:val="auto"/>
        </w:rPr>
      </w:pPr>
    </w:p>
    <w:p>
      <w:pPr>
        <w:ind w:left="120" w:right="100" w:firstLine="440"/>
        <w:spacing w:after="0" w:line="310" w:lineRule="auto"/>
        <w:rPr>
          <w:sz w:val="20"/>
          <w:szCs w:val="20"/>
          <w:color w:val="auto"/>
        </w:rPr>
      </w:pPr>
      <w:r>
        <w:rPr>
          <w:rFonts w:ascii="Times New Roman" w:cs="Times New Roman" w:eastAsia="Times New Roman" w:hAnsi="Times New Roman"/>
          <w:sz w:val="16"/>
          <w:szCs w:val="16"/>
          <w:color w:val="auto"/>
        </w:rPr>
        <w:t>The role of the Audit and Risk Committee is to advise our board of directors in discharging responsibilities of our board of directors with respect to our financial reporting including accounting standards, internal control integrity and compliance, external audit activities including auditor appointment, independence, terms of engagement and fees and business risk management. Specific responsibilities of our Audit and Risk Committee include:</w:t>
      </w:r>
    </w:p>
    <w:p>
      <w:pPr>
        <w:spacing w:after="0" w:line="3" w:lineRule="exact"/>
        <w:rPr>
          <w:sz w:val="20"/>
          <w:szCs w:val="20"/>
          <w:color w:val="auto"/>
        </w:rPr>
      </w:pPr>
    </w:p>
    <w:p>
      <w:pPr>
        <w:ind w:left="760" w:hanging="212"/>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accounting standards and quarterly and annual financial statements prior to referral to the board of directors;</w:t>
      </w:r>
    </w:p>
    <w:p>
      <w:pPr>
        <w:spacing w:after="0" w:line="103" w:lineRule="exact"/>
        <w:rPr>
          <w:rFonts w:ascii="Times New Roman" w:cs="Times New Roman" w:eastAsia="Times New Roman" w:hAnsi="Times New Roman"/>
          <w:sz w:val="18"/>
          <w:szCs w:val="18"/>
          <w:color w:val="auto"/>
        </w:rPr>
      </w:pPr>
    </w:p>
    <w:p>
      <w:pPr>
        <w:ind w:left="760" w:right="320" w:hanging="212"/>
        <w:spacing w:after="0" w:line="275"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developments likely to affect financial reporting including legislative pronouncements or disclosure requirements, as they affect both current and future years;</w:t>
      </w:r>
    </w:p>
    <w:p>
      <w:pPr>
        <w:spacing w:after="0" w:line="25" w:lineRule="exact"/>
        <w:rPr>
          <w:rFonts w:ascii="Times New Roman" w:cs="Times New Roman" w:eastAsia="Times New Roman" w:hAnsi="Times New Roman"/>
          <w:sz w:val="18"/>
          <w:szCs w:val="18"/>
          <w:color w:val="auto"/>
        </w:rPr>
      </w:pPr>
    </w:p>
    <w:p>
      <w:pPr>
        <w:ind w:left="760" w:right="40" w:hanging="212"/>
        <w:spacing w:after="0" w:line="325" w:lineRule="auto"/>
        <w:tabs>
          <w:tab w:leader="none" w:pos="7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any unusual transactions, pending litigation, outstanding claims or contingencies which the management, auditors or legal counsel believe may have a material effect on the financial position or operations and the manner in which these matters are disclosed in financial statements;</w:t>
      </w:r>
    </w:p>
    <w:p>
      <w:pPr>
        <w:spacing w:after="0" w:line="1"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internal control policies and procedures;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on the appointment, reappointment or replacement of external auditors;</w:t>
      </w:r>
    </w:p>
    <w:p>
      <w:pPr>
        <w:spacing w:after="0" w:line="103" w:lineRule="exact"/>
        <w:rPr>
          <w:rFonts w:ascii="Times New Roman" w:cs="Times New Roman" w:eastAsia="Times New Roman" w:hAnsi="Times New Roman"/>
          <w:sz w:val="18"/>
          <w:szCs w:val="18"/>
          <w:color w:val="auto"/>
        </w:rPr>
      </w:pPr>
    </w:p>
    <w:p>
      <w:pPr>
        <w:ind w:left="760" w:right="120" w:hanging="212"/>
        <w:spacing w:after="0" w:line="275"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and effectiveness of external auditors and preapprove all audit and material non-audit services provided by external auditors;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the external audit and assess remedial action taken or proposed in audit reports;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representation letters signed by management to ensure that the information presented is complete and appropriate;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risks and establish risk management policies;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regarding proposed changes to our risk management framework;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schedule of insurance annually.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81"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The members of our Remuneration Committee are Messrs. Gozlan, Sistenich and Spiegelman. The chairperson of our Remuneration Committee is Mr. Sistenich. The objectives of the Remuneration Committee are to link remuneration to the creation of shareholder value, to offer competitive and appropriate remuneration for</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20"/>
          </w:cols>
          <w:pgMar w:left="320" w:top="455" w:right="5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0"/>
        <w:spacing w:after="0" w:line="301" w:lineRule="auto"/>
        <w:rPr>
          <w:sz w:val="20"/>
          <w:szCs w:val="20"/>
          <w:color w:val="auto"/>
        </w:rPr>
      </w:pPr>
      <w:r>
        <w:rPr>
          <w:rFonts w:ascii="Times New Roman" w:cs="Times New Roman" w:eastAsia="Times New Roman" w:hAnsi="Times New Roman"/>
          <w:sz w:val="16"/>
          <w:szCs w:val="16"/>
          <w:color w:val="auto"/>
        </w:rPr>
        <w:t>the business performance delivered and to put into place a remuneration framework that reflects the responsibilities of senior management while being sufficiently competitive to attract and retain high caliber performers. The charter of our Remuneration Committee requires the committee to consist of at least three directors, a majority of whom must be independent. The chairperson of our Remuneration Committee must be an independent director. The Remuneration Committee is required to hold at least one regular meeting each year. Specific responsibilities of our Remuneration Committee include:</w:t>
      </w:r>
    </w:p>
    <w:p>
      <w:pPr>
        <w:spacing w:after="0" w:line="9" w:lineRule="exact"/>
        <w:rPr>
          <w:sz w:val="20"/>
          <w:szCs w:val="20"/>
          <w:color w:val="auto"/>
        </w:rPr>
      </w:pPr>
    </w:p>
    <w:p>
      <w:pPr>
        <w:ind w:left="760" w:hanging="212"/>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remuneration strategy;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remuneration policies and practices enable us to attract, motivate and retain a diverse mix of directors and senior management;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and responsibly remunerating directors and senior management;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reporting on diversity of our employee base;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information it considers necessary to fulfill its duties, including external advice.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Nomination Committee</w:t>
      </w:r>
    </w:p>
    <w:p>
      <w:pPr>
        <w:spacing w:after="0" w:line="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members of our Nomination Committee are Messrs. Gozlan, Sistenich and Spiegelman. The chairperson of our Nomination Committee is Mr. Gozlan. The role of the Nomination Committee is to assist our board of directors by identifying, reviewing and evaluating individuals qualified to become members of our board of directors, reviewing and recommending the nomination of directors and assisting the board of directors with other related tasks. The charter of our Nomination Committee requires the committee to consist of at least three directors, the majority of whom must meet the independence recommendations of the ASX Corporate Governance Council (as well as all applicable laws and regulations) and each of whom must be free of any relationship that, in the opinion of the board of directors, would interfere with his or her exercise of independent judgment. The members of the Nomination Committee will be appointed annually by the board of directors. The Nomination Committee is required to hold at least one regular meeting each year. Specific responsibilities of our Nomination Committee include:</w:t>
      </w:r>
    </w:p>
    <w:p>
      <w:pPr>
        <w:spacing w:after="0" w:line="50" w:lineRule="exact"/>
        <w:rPr>
          <w:sz w:val="20"/>
          <w:szCs w:val="20"/>
          <w:color w:val="auto"/>
        </w:rPr>
      </w:pPr>
    </w:p>
    <w:p>
      <w:pPr>
        <w:ind w:left="760" w:hanging="212"/>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identifying, interviewing and recruiting candidates for the board of directors;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potential director qualifications;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description of the role and capabilities required for a particular role;</w:t>
      </w:r>
    </w:p>
    <w:p>
      <w:pPr>
        <w:spacing w:after="0" w:line="103" w:lineRule="exact"/>
        <w:rPr>
          <w:rFonts w:ascii="Times New Roman" w:cs="Times New Roman" w:eastAsia="Times New Roman" w:hAnsi="Times New Roman"/>
          <w:sz w:val="18"/>
          <w:szCs w:val="18"/>
          <w:color w:val="auto"/>
        </w:rPr>
      </w:pPr>
    </w:p>
    <w:p>
      <w:pPr>
        <w:ind w:left="760" w:right="40" w:hanging="212"/>
        <w:spacing w:after="0" w:line="275"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presenting to the board of directors a list of individuals recommended for nomination for election to the board of directors at the annual meeting of shareholders;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succession of our directors;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inducting and coordinating professional development programs for our directors;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a process for evaluating the performance of the board of directors and its committees;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succession of our senior management;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about changes to the charter of the Nomination Committee as required in the Committee’s opinion; and</w:t>
      </w:r>
    </w:p>
    <w:p>
      <w:pPr>
        <w:spacing w:after="0" w:line="126"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its own performance.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79"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8"/>
          <w:szCs w:val="18"/>
          <w:color w:val="auto"/>
        </w:rPr>
        <w:t>We qualify as a “foreign private issuer” as defined in Section 405 of the Securities Act of 1933, as amended. As a foreign private issuer, we are exempt from certain rules under the Exchange Act that impose disclosure</w:t>
      </w:r>
    </w:p>
    <w:p>
      <w:pPr>
        <w:spacing w:after="0" w:line="1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20"/>
          </w:cols>
          <w:pgMar w:left="320" w:top="455" w:right="5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requirements as well as procedural requirements for proxy solicitations under Section 14 of the Exchange Act. In addition, the members of our board of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 to the extent applicable.</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foreign private issuer exemption will also permit us to follow home country corporate governance practices or requirements instead of certain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Nasdaq listing requirements, including the following:</w:t>
      </w:r>
    </w:p>
    <w:p>
      <w:pPr>
        <w:spacing w:after="0" w:line="64" w:lineRule="exact"/>
        <w:rPr>
          <w:sz w:val="20"/>
          <w:szCs w:val="20"/>
          <w:color w:val="auto"/>
        </w:rPr>
      </w:pPr>
    </w:p>
    <w:p>
      <w:pPr>
        <w:jc w:val="both"/>
        <w:ind w:left="760" w:right="120" w:hanging="212"/>
        <w:spacing w:after="0" w:line="26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an exemption from the requirement that our independent directors meet regularly in executive sessions under Nasdaq listing rules. The ASX Listing Rules and the Corporations Act do not require the independent directors of an Australian company to have such executive sessions.</w:t>
      </w:r>
    </w:p>
    <w:p>
      <w:pPr>
        <w:spacing w:after="0" w:line="37" w:lineRule="exact"/>
        <w:rPr>
          <w:rFonts w:ascii="Times New Roman" w:cs="Times New Roman" w:eastAsia="Times New Roman" w:hAnsi="Times New Roman"/>
          <w:sz w:val="18"/>
          <w:szCs w:val="18"/>
          <w:color w:val="auto"/>
        </w:rPr>
      </w:pPr>
    </w:p>
    <w:p>
      <w:pPr>
        <w:ind w:left="760" w:hanging="212"/>
        <w:spacing w:after="0" w:line="258"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an exemption from the quorum requirements applicable to meetings of shareholders under Nasdaq listing rules. In compliance with Australian law, our Constitution provides that three shareholders present, in person or by proxy, attorney or a representative, shall constitute a quorum for a general meeting. Nasdaq listing rules require that an issuer provide for a quorum as specified in its by-laws for any meeting of the holders of ordinary shares, which quorum may not be less than 33 1/3% of the outstanding voting ordinary shares.</w:t>
      </w:r>
    </w:p>
    <w:p>
      <w:pPr>
        <w:spacing w:after="0" w:line="41" w:lineRule="exact"/>
        <w:rPr>
          <w:rFonts w:ascii="Times New Roman" w:cs="Times New Roman" w:eastAsia="Times New Roman" w:hAnsi="Times New Roman"/>
          <w:sz w:val="18"/>
          <w:szCs w:val="18"/>
          <w:color w:val="auto"/>
        </w:rPr>
      </w:pPr>
    </w:p>
    <w:p>
      <w:pPr>
        <w:ind w:left="760" w:right="180" w:hanging="212"/>
        <w:spacing w:after="0" w:line="253"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follow applicable Australian law and the ASX Listing Rules regarding prior shareholder approval in lieu of the requirement prescribed by Nasdaq listing rules that issuers obtain shareholder approval prior to the issuance of securities in connection with certain acquisitions, private placements of securities, or the establishment or amendment of certain stock option, purchase or other compensation plans. Applicable Australian law and the ASX Listing Rules differ from Nasdaq requirements, with the ASX Listing Rules requiring prior shareholder approval for issuance of equity securities in a number of circumstances, including (i) issuance of equity securities exceeding 15% of our issued share capital in any 12-month period (but, in determining the 15% limit, securities issued under certain exceptions to the rule or with shareholder approval are not counted), (ii) subject to certain exceptions, issuance of equity securities to related parties (as defined in the ASX Listing Rules) and (iii) issuances of securities to directors or their associates under an employee incentive plan.</w:t>
      </w:r>
    </w:p>
    <w:p>
      <w:pPr>
        <w:spacing w:after="0" w:line="49" w:lineRule="exact"/>
        <w:rPr>
          <w:rFonts w:ascii="Times New Roman" w:cs="Times New Roman" w:eastAsia="Times New Roman" w:hAnsi="Times New Roman"/>
          <w:sz w:val="18"/>
          <w:szCs w:val="18"/>
          <w:color w:val="auto"/>
        </w:rPr>
      </w:pPr>
    </w:p>
    <w:p>
      <w:pPr>
        <w:ind w:left="760" w:right="160" w:hanging="212"/>
        <w:spacing w:after="0" w:line="275"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an exemption from the requirement to disclose third-party director and director nominee compensation under Nasdaq listing rules. The ASX Listing Rules and the Corporations Act do not have a similar requirement.</w:t>
      </w:r>
    </w:p>
    <w:p>
      <w:pPr>
        <w:spacing w:after="0" w:line="106" w:lineRule="exact"/>
        <w:rPr>
          <w:sz w:val="20"/>
          <w:szCs w:val="20"/>
          <w:color w:val="auto"/>
        </w:rPr>
      </w:pPr>
    </w:p>
    <w:p>
      <w:pPr>
        <w:ind w:left="120" w:right="140" w:firstLine="440"/>
        <w:spacing w:after="0" w:line="293" w:lineRule="auto"/>
        <w:rPr>
          <w:sz w:val="20"/>
          <w:szCs w:val="20"/>
          <w:color w:val="auto"/>
        </w:rPr>
      </w:pPr>
      <w:r>
        <w:rPr>
          <w:rFonts w:ascii="Times New Roman" w:cs="Times New Roman" w:eastAsia="Times New Roman" w:hAnsi="Times New Roman"/>
          <w:sz w:val="16"/>
          <w:szCs w:val="16"/>
          <w:color w:val="auto"/>
        </w:rPr>
        <w:t>These exemptions do not modify the independence requirements for our Audit and Risk Committee, and we intend to comply with the requirements of the Sarbanes-Oxley Act and the Nasdaq listing rules, which require that our Audit and Risk Committee be composed of at least three independent members. Rule 10A-3 under the Exchange Act provides that the Audit and Risk Committee must have direct responsibility for the nomination, compensation and choice of our auditors, as well as control over the performance of their duties, management of complaints made, and selection of consultants. Under Rule 10A-3, if the laws of a foreign private issuer’s home country require that any such matter be approved by the board of directors or the shareholders of the Company, the Audit and Risk Committee’s responsibilities or powers with respect to such matter may instead be advisory.</w:t>
      </w:r>
    </w:p>
    <w:p>
      <w:pPr>
        <w:spacing w:after="0" w:line="97" w:lineRule="exact"/>
        <w:rPr>
          <w:sz w:val="20"/>
          <w:szCs w:val="20"/>
          <w:color w:val="auto"/>
        </w:rPr>
      </w:pPr>
    </w:p>
    <w:p>
      <w:pPr>
        <w:ind w:left="120" w:right="840" w:firstLine="440"/>
        <w:spacing w:after="0" w:line="275"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listing rules of Nasdaq.</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79"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directors, officers and employees. Our Code of Conduct is available on our website at www.opthea.com. We post on our website all disclosures that are required by law or the listing standards of Nasdaq concerning any amendments to, or waivers from, any provision of the Code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300"/>
        <w:spacing w:after="0" w:line="275" w:lineRule="auto"/>
        <w:rPr>
          <w:sz w:val="20"/>
          <w:szCs w:val="20"/>
          <w:color w:val="auto"/>
        </w:rPr>
      </w:pPr>
      <w:r>
        <w:rPr>
          <w:rFonts w:ascii="Times New Roman" w:cs="Times New Roman" w:eastAsia="Times New Roman" w:hAnsi="Times New Roman"/>
          <w:sz w:val="18"/>
          <w:szCs w:val="18"/>
          <w:color w:val="auto"/>
        </w:rPr>
        <w:t>of Conduct. The reference to our website address does not constitute incorporation by reference of the information contained at or available through our website, and you should not consider it to be a part of, this prospectus.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the members of our board of directors and our senior management.</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remuneration policy is to align director and senior management objectives with shareholder and business objectives by providing a fixed remuneration component and typically offering long-term incentives based on key performance areas. Our board of directors believes the remuneration policy to be appropriate and effective in its ability to attract and retain the best executives and directors to run and manage the consolidated entity, as well as create goal congruence between directors, executives and shareholders. Our board of directors and the Remuneration Committee are responsible for determining the appropriate remuneration package for our senior management, including our Chief Executive Officer.</w:t>
      </w:r>
    </w:p>
    <w:p>
      <w:pPr>
        <w:spacing w:after="0" w:line="125" w:lineRule="exact"/>
        <w:rPr>
          <w:sz w:val="20"/>
          <w:szCs w:val="20"/>
          <w:color w:val="auto"/>
        </w:rPr>
      </w:pPr>
    </w:p>
    <w:p>
      <w:pPr>
        <w:ind w:left="120" w:right="460" w:firstLine="440"/>
        <w:spacing w:after="0" w:line="275" w:lineRule="auto"/>
        <w:rPr>
          <w:sz w:val="20"/>
          <w:szCs w:val="20"/>
          <w:color w:val="auto"/>
        </w:rPr>
      </w:pPr>
      <w:r>
        <w:rPr>
          <w:rFonts w:ascii="Times New Roman" w:cs="Times New Roman" w:eastAsia="Times New Roman" w:hAnsi="Times New Roman"/>
          <w:sz w:val="18"/>
          <w:szCs w:val="18"/>
          <w:color w:val="auto"/>
        </w:rPr>
        <w:t>Australian executives and directors receive a superannuation guarantee contribution required under Australian law and do not receive any other retirement benefits.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Senior Management</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fiscal year ended June 30, 2020, the aggregate cash remuneration paid to our senior management was A$942,855.</w:t>
      </w:r>
    </w:p>
    <w:p>
      <w:pPr>
        <w:spacing w:after="0" w:line="15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senior management receive fixed compensation and performance-linked remuneration. The level of fixed remuneration is set to provide a base level of compensation which is both appropriate to the applicable position and is competitive in the marketplace. The Remuneration Committee accesses external advice independent of senior management if required. Fixed compensation is comprised of base salary and superannuation contribution and is reviewed every 12 months by the Remuneration Committee.</w:t>
      </w:r>
    </w:p>
    <w:p>
      <w:pPr>
        <w:spacing w:after="0" w:line="1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Performance-linked remuneration consists of short-term and long-term incentives. The objective of short-term incentives is to link the achievement of our operational targets with the remuneration received by our senior management charged with meeting those targets. Total potential short-term incentives are set at a level that we believe provides sufficient incentive to our senior management to achieve the operational targets at a cost to us that is reasonable under the circumstances. Short-term incentives may include cash bonuses based on the extent to which specific targets set at the beginning of each fiscal year are met. The targets consist of a number of key performance indicators covering corporate objectives and individual measures of performance. Individual performance indicators are linked to our development plans. Our Remuneration Committee determines, on an annual basis and after consideration of performance against the key performance indicators, the amount, if any, of short-term incentives payable to our senior management. Payments of short-term incentive bonuses are made in the following reporting period.</w:t>
      </w:r>
    </w:p>
    <w:p>
      <w:pPr>
        <w:spacing w:after="0" w:line="13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also provide long-term incentives through option grants under our Long Term Incentive Plan. The objective of the Long Term Incentive Plan is to reward our management and key employees in a manner that aligns this element of compensation with the creation of shareholder wealth. Long Term Incentive Plan grants are made to senior management and employees who are able to influence the generation of shareholder wealth and have a direct impact on our performance and development. Option vesting conditions are based on continued service to us.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5" w:right="49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In making remuneration determinations for our senior management, the Remuneration Committee considers operational contributions by our senior management as well as the following performance indicators: revenue, loss before tax, tax benefit, loss after tax, basic loss per ordinary share, net tangible assets per share and changes in prevailing trading prices of our ordinary shares on the ASX.</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Non-Employee Directors</w:t>
      </w:r>
    </w:p>
    <w:p>
      <w:pPr>
        <w:spacing w:after="0" w:line="81" w:lineRule="exact"/>
        <w:rPr>
          <w:sz w:val="20"/>
          <w:szCs w:val="20"/>
          <w:color w:val="auto"/>
        </w:rPr>
      </w:pPr>
    </w:p>
    <w:p>
      <w:pPr>
        <w:ind w:left="120" w:right="20" w:firstLine="440"/>
        <w:spacing w:after="0" w:line="288" w:lineRule="auto"/>
        <w:rPr>
          <w:sz w:val="20"/>
          <w:szCs w:val="20"/>
          <w:color w:val="auto"/>
        </w:rPr>
      </w:pPr>
      <w:r>
        <w:rPr>
          <w:rFonts w:ascii="Times New Roman" w:cs="Times New Roman" w:eastAsia="Times New Roman" w:hAnsi="Times New Roman"/>
          <w:sz w:val="16"/>
          <w:szCs w:val="16"/>
          <w:color w:val="auto"/>
        </w:rPr>
        <w:t>Our non-employee directors receive a fixed fee annually, which is reviewed by our board of directors on an annual basis. Mr. Kempler, who will retire from our board of directors effective October 12, 2020, is entitled to an annual fixed fee of A$99,000 (inclusive of superannuation contributions and fees for his service as chairperson of the board of directors). Messrs. Sistenich and Gozlan are each entitled to an annual fixed fee of A$65,700 (inclusive of superannuation contributions). Mr. Spiegelman is entitled to an annual fixed fee of US$70,000 (inclusive of superannuation contributions and fees for his service as chairperson of the audit and risk committee), plus an annual fixed fee of US$10,000 for service as Chair of any other committees and US$5,000 for service on any other committee in a non-Chair role. Upon joining the board of directors, Dr. Levin will be entitled to an annual fixed fee of US$75,000 (inclusive of superannuation contributions and fees for his service as chairperson of the board of directors), plus an annual fixed fee of US$5,000 for service on any committee of the board of directors. Unless otherwise noted, the fixed fees cover both service on the board of directors and committees of the board of directors. The remuneration of our non-employee directors is reviewed by our board of directors on an annual basis. Non-employee directors are not provided with retirement benefits apart from statutory superannuation, which is only applicable to Australian resident directors. Non-employee directors are reimbursed for costs directly related to conducting business related to their service on our board of directors.</w:t>
      </w:r>
    </w:p>
    <w:p>
      <w:pPr>
        <w:spacing w:after="0" w:line="317"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We implemented a non-executive director share and option plan, or the NED Plan, in 2014. Under the NED Plan, present and future non-executive directors may:</w:t>
      </w:r>
    </w:p>
    <w:p>
      <w:pPr>
        <w:spacing w:after="0" w:line="25" w:lineRule="exact"/>
        <w:rPr>
          <w:sz w:val="20"/>
          <w:szCs w:val="20"/>
          <w:color w:val="auto"/>
        </w:rPr>
      </w:pPr>
    </w:p>
    <w:p>
      <w:pPr>
        <w:ind w:left="760" w:hanging="212"/>
        <w:spacing w:after="0"/>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receive ordinary shares or options to purchase ordinary shares in lieu of receiving some or all of their annual fixed fee;</w:t>
      </w:r>
    </w:p>
    <w:p>
      <w:pPr>
        <w:spacing w:after="0" w:line="103" w:lineRule="exact"/>
        <w:rPr>
          <w:rFonts w:ascii="Times New Roman" w:cs="Times New Roman" w:eastAsia="Times New Roman" w:hAnsi="Times New Roman"/>
          <w:sz w:val="18"/>
          <w:szCs w:val="18"/>
          <w:color w:val="auto"/>
        </w:rPr>
      </w:pPr>
    </w:p>
    <w:p>
      <w:pPr>
        <w:ind w:left="760" w:right="320" w:hanging="212"/>
        <w:spacing w:after="0" w:line="275" w:lineRule="auto"/>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awarded ordinary shares or options to purchase ordinary shares in lieu of additional cash remuneration in respect of services provided to the Company which in the opinion of the board of directors are outside the scope of the ordinary duties of the relevant director; and</w:t>
      </w:r>
    </w:p>
    <w:p>
      <w:pPr>
        <w:spacing w:after="0" w:line="25" w:lineRule="exact"/>
        <w:rPr>
          <w:rFonts w:ascii="Times New Roman" w:cs="Times New Roman" w:eastAsia="Times New Roman" w:hAnsi="Times New Roman"/>
          <w:sz w:val="18"/>
          <w:szCs w:val="18"/>
          <w:color w:val="auto"/>
        </w:rPr>
      </w:pPr>
    </w:p>
    <w:p>
      <w:pPr>
        <w:ind w:left="760" w:right="100" w:hanging="212"/>
        <w:spacing w:after="0" w:line="275" w:lineRule="auto"/>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be awarded ordinary shares or options to purchase ordinary shares as part of the directors’ remuneration in addition to any existing cash remuneration paid to directors (if any).</w:t>
      </w:r>
    </w:p>
    <w:p>
      <w:pPr>
        <w:spacing w:after="0" w:line="10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NED Plan is designed to assist us in preserving our cash for use toward advancing the clinical development of our product candidate and provide our non-employee directors an opportunity to demonstrate their commitment and support for us through sacrificing some or all of their cash fees for ordinary shares or options. The NED Plan also provides us with further flexibility in the design of the directors’ remuneration packages and in turn assists us with retaining existing directors and attracting new additional directors with the relevant experience and expertise.</w:t>
      </w:r>
    </w:p>
    <w:p>
      <w:pPr>
        <w:spacing w:after="0" w:line="12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expect to grant an option to purchase 2,000,000 ordinary shares to each of Messrs. Gozlan and Spiegelman under the NED Plan upon approval of such grants by our shareholders at our annual general meeting of shareholders for 2020 on October 12, 2020, at which time an exercise price per ordinary share will be determined for such options. The exercise price per ordinary share for such options will be (1) 150% of the five-day volume-weighted average trading price of our ordinary shares as of the grant date, for Mr. Gozlan’s option, and (2) 100% of such price, for Mr. Spiegelman’s option. In addition, our board of directors has approved an option to purchase 3,000,000 ordinary shares for Dr. Levin, which we expect to grant under the NED Plan following approval of such grant by our shareholders at an extraordinary general meeting of shareholders to be convened following the completion of this offering. The exercise price per ordinary share for Dr. Levin’s option will be the five-day volume-weighted average trading price of our ordinary shares as of October 12, 2020. For</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60"/>
        <w:spacing w:after="0" w:line="275" w:lineRule="auto"/>
        <w:rPr>
          <w:sz w:val="20"/>
          <w:szCs w:val="20"/>
          <w:color w:val="auto"/>
        </w:rPr>
      </w:pPr>
      <w:r>
        <w:rPr>
          <w:rFonts w:ascii="Times New Roman" w:cs="Times New Roman" w:eastAsia="Times New Roman" w:hAnsi="Times New Roman"/>
          <w:sz w:val="18"/>
          <w:szCs w:val="18"/>
          <w:color w:val="auto"/>
        </w:rPr>
        <w:t>each of the options described above, 25% of the ordinary shares underlying such option will vest immediately on the applicable grant date, and 25% of the ordinary shares will vest annually thereafter over the following three years.</w:t>
      </w:r>
    </w:p>
    <w:p>
      <w:pPr>
        <w:spacing w:after="0" w:line="106"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In addition, if a change in control of our company (as defined in the NED Plan) occurs prior to the grant of Dr. Levin’s option upon receipt of shareholder approval, we have agreed to pay Dr. Levin a cash amount equal to the value Dr. Levin would have received had his option been granted prior to the change in control and accelerated in full in connection with the change in control.</w:t>
      </w:r>
    </w:p>
    <w:p>
      <w:pPr>
        <w:spacing w:after="0" w:line="119"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For the fiscal year ended June 30, 2020, the aggregate cash remuneration paid to our non-employee directors was A$167,441, including A$2,747 in cash reimbursements.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Senior Management</w:t>
      </w:r>
    </w:p>
    <w:p>
      <w:pPr>
        <w:spacing w:after="0" w:line="81" w:lineRule="exact"/>
        <w:rPr>
          <w:sz w:val="20"/>
          <w:szCs w:val="20"/>
          <w:color w:val="auto"/>
        </w:rPr>
      </w:pPr>
    </w:p>
    <w:p>
      <w:pPr>
        <w:ind w:left="120" w:right="600" w:firstLine="440"/>
        <w:spacing w:after="0" w:line="262" w:lineRule="auto"/>
        <w:rPr>
          <w:sz w:val="20"/>
          <w:szCs w:val="20"/>
          <w:color w:val="auto"/>
        </w:rPr>
      </w:pPr>
      <w:r>
        <w:rPr>
          <w:rFonts w:ascii="Times New Roman" w:cs="Times New Roman" w:eastAsia="Times New Roman" w:hAnsi="Times New Roman"/>
          <w:sz w:val="18"/>
          <w:szCs w:val="18"/>
          <w:color w:val="auto"/>
        </w:rPr>
        <w:t>The key provisions of the employment agreements are set out below for each member of our senior management. None of these employment agreements have termination dates. The base salary under the employment agreements may be increased by the board of directors from time to time, including by 3% for the fiscal year ending June 30, 2021.</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52"/>
        </w:trPr>
        <w:tc>
          <w:tcPr>
            <w:tcW w:w="4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Benefits upon Termination without</w:t>
            </w: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Officer</w:t>
            </w:r>
          </w:p>
        </w:tc>
        <w:tc>
          <w:tcPr>
            <w:tcW w:w="2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Agreement</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3200" w:type="dxa"/>
            <w:vAlign w:val="bottom"/>
            <w:gridSpan w:val="2"/>
          </w:tcPr>
          <w:p>
            <w:pPr>
              <w:ind w:left="760"/>
              <w:spacing w:after="0"/>
              <w:rPr>
                <w:sz w:val="20"/>
                <w:szCs w:val="20"/>
                <w:color w:val="auto"/>
              </w:rPr>
            </w:pPr>
            <w:r>
              <w:rPr>
                <w:rFonts w:ascii="Times New Roman" w:cs="Times New Roman" w:eastAsia="Times New Roman" w:hAnsi="Times New Roman"/>
                <w:sz w:val="13"/>
                <w:szCs w:val="13"/>
                <w:b w:val="1"/>
                <w:bCs w:val="1"/>
                <w:color w:val="auto"/>
              </w:rPr>
              <w:t>Termination without Cause</w:t>
            </w:r>
          </w:p>
        </w:tc>
        <w:tc>
          <w:tcPr>
            <w:tcW w:w="308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Cause</w:t>
            </w:r>
          </w:p>
        </w:tc>
        <w:tc>
          <w:tcPr>
            <w:tcW w:w="0" w:type="dxa"/>
            <w:vAlign w:val="bottom"/>
          </w:tcPr>
          <w:p>
            <w:pPr>
              <w:spacing w:after="0"/>
              <w:rPr>
                <w:sz w:val="1"/>
                <w:szCs w:val="1"/>
                <w:color w:val="auto"/>
              </w:rPr>
            </w:pPr>
          </w:p>
        </w:tc>
      </w:tr>
      <w:tr>
        <w:trPr>
          <w:trHeight w:val="173"/>
        </w:trPr>
        <w:tc>
          <w:tcPr>
            <w:tcW w:w="2520" w:type="dxa"/>
            <w:vAlign w:val="bottom"/>
            <w:tcBorders>
              <w:top w:val="single" w:sz="8" w:color="CCEEFF"/>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Megan Baldwin, Ph.D.</w:t>
            </w:r>
          </w:p>
        </w:tc>
        <w:tc>
          <w:tcPr>
            <w:tcW w:w="92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8"/>
                <w:szCs w:val="18"/>
                <w:color w:val="auto"/>
                <w:w w:val="98"/>
              </w:rPr>
              <w:t>April 23,</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8"/>
                <w:szCs w:val="18"/>
                <w:color w:val="auto"/>
                <w:w w:val="96"/>
              </w:rPr>
              <w:t>A$440,000</w:t>
            </w:r>
          </w:p>
        </w:tc>
        <w:tc>
          <w:tcPr>
            <w:tcW w:w="100" w:type="dxa"/>
            <w:vAlign w:val="bottom"/>
            <w:tcBorders>
              <w:top w:val="single" w:sz="8" w:color="CCEEFF"/>
            </w:tcBorders>
            <w:shd w:val="clear" w:color="auto" w:fill="CCEEFF"/>
          </w:tcPr>
          <w:p>
            <w:pPr>
              <w:spacing w:after="0"/>
              <w:rPr>
                <w:sz w:val="15"/>
                <w:szCs w:val="15"/>
                <w:color w:val="auto"/>
              </w:rPr>
            </w:pPr>
          </w:p>
        </w:tc>
        <w:tc>
          <w:tcPr>
            <w:tcW w:w="3080" w:type="dxa"/>
            <w:vAlign w:val="bottom"/>
            <w:tcBorders>
              <w:top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Not less than three months’ notice (if by</w:t>
            </w:r>
          </w:p>
        </w:tc>
        <w:tc>
          <w:tcPr>
            <w:tcW w:w="120" w:type="dxa"/>
            <w:vAlign w:val="bottom"/>
            <w:tcBorders>
              <w:top w:val="single" w:sz="8" w:color="CCEEFF"/>
            </w:tcBorders>
            <w:shd w:val="clear" w:color="auto" w:fill="CCEEFF"/>
          </w:tcPr>
          <w:p>
            <w:pPr>
              <w:spacing w:after="0"/>
              <w:rPr>
                <w:sz w:val="15"/>
                <w:szCs w:val="15"/>
                <w:color w:val="auto"/>
              </w:rPr>
            </w:pPr>
          </w:p>
        </w:tc>
        <w:tc>
          <w:tcPr>
            <w:tcW w:w="3080" w:type="dxa"/>
            <w:vAlign w:val="bottom"/>
            <w:tcBorders>
              <w:top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Upon notice of termination by us, any</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per year</w:t>
            </w: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options that have vested or will vest during</w:t>
            </w:r>
          </w:p>
        </w:tc>
        <w:tc>
          <w:tcPr>
            <w:tcW w:w="0" w:type="dxa"/>
            <w:vAlign w:val="bottom"/>
          </w:tcPr>
          <w:p>
            <w:pPr>
              <w:spacing w:after="0"/>
              <w:rPr>
                <w:sz w:val="1"/>
                <w:szCs w:val="1"/>
                <w:color w:val="auto"/>
              </w:rPr>
            </w:pPr>
          </w:p>
        </w:tc>
      </w:tr>
      <w:tr>
        <w:trPr>
          <w:trHeight w:val="232"/>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Managing Director</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three months’ notice or</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the notice period will be released; all other</w:t>
            </w:r>
          </w:p>
        </w:tc>
        <w:tc>
          <w:tcPr>
            <w:tcW w:w="0" w:type="dxa"/>
            <w:vAlign w:val="bottom"/>
          </w:tcPr>
          <w:p>
            <w:pPr>
              <w:spacing w:after="0"/>
              <w:rPr>
                <w:sz w:val="1"/>
                <w:szCs w:val="1"/>
                <w:color w:val="auto"/>
              </w:rPr>
            </w:pPr>
          </w:p>
        </w:tc>
      </w:tr>
      <w:tr>
        <w:trPr>
          <w:trHeight w:val="68"/>
        </w:trPr>
        <w:tc>
          <w:tcPr>
            <w:tcW w:w="42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0" w:type="dxa"/>
            <w:vAlign w:val="bottom"/>
            <w:gridSpan w:val="2"/>
            <w:vMerge w:val="continue"/>
            <w:shd w:val="clear" w:color="auto" w:fill="CCEEFF"/>
          </w:tcPr>
          <w:p>
            <w:pPr>
              <w:spacing w:after="0"/>
              <w:rPr>
                <w:sz w:val="5"/>
                <w:szCs w:val="5"/>
                <w:color w:val="auto"/>
              </w:rPr>
            </w:pPr>
          </w:p>
        </w:tc>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will lapse at the discretion of our</w:t>
            </w:r>
          </w:p>
        </w:tc>
        <w:tc>
          <w:tcPr>
            <w:tcW w:w="0" w:type="dxa"/>
            <w:vAlign w:val="bottom"/>
          </w:tcPr>
          <w:p>
            <w:pPr>
              <w:spacing w:after="0"/>
              <w:rPr>
                <w:sz w:val="1"/>
                <w:szCs w:val="1"/>
                <w:color w:val="auto"/>
              </w:rPr>
            </w:pPr>
          </w:p>
        </w:tc>
      </w:tr>
      <w:tr>
        <w:trPr>
          <w:trHeight w:val="148"/>
        </w:trPr>
        <w:tc>
          <w:tcPr>
            <w:tcW w:w="4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in lieu of notice period (if by us)</w:t>
            </w:r>
          </w:p>
        </w:tc>
        <w:tc>
          <w:tcPr>
            <w:tcW w:w="3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42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0" w:type="dxa"/>
            <w:vAlign w:val="bottom"/>
            <w:gridSpan w:val="2"/>
            <w:vMerge w:val="continue"/>
            <w:shd w:val="clear" w:color="auto" w:fill="CCEEFF"/>
          </w:tcPr>
          <w:p>
            <w:pPr>
              <w:spacing w:after="0"/>
              <w:rPr>
                <w:sz w:val="6"/>
                <w:szCs w:val="6"/>
                <w:color w:val="auto"/>
              </w:rPr>
            </w:pPr>
          </w:p>
        </w:tc>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0" w:type="dxa"/>
            <w:vAlign w:val="bottom"/>
          </w:tcPr>
          <w:p>
            <w:pPr>
              <w:spacing w:after="0"/>
              <w:rPr>
                <w:sz w:val="1"/>
                <w:szCs w:val="1"/>
                <w:color w:val="auto"/>
              </w:rPr>
            </w:pPr>
          </w:p>
        </w:tc>
      </w:tr>
      <w:tr>
        <w:trPr>
          <w:trHeight w:val="151"/>
        </w:trPr>
        <w:tc>
          <w:tcPr>
            <w:tcW w:w="42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Tonroe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May 8,</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A$256,844</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less than three months’ notice (if by</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Chief Financial Officer and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per year</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Company Secretary</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 less than three months’ notice or</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4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0" w:type="dxa"/>
            <w:vAlign w:val="bottom"/>
            <w:gridSpan w:val="2"/>
            <w:vMerge w:val="continue"/>
          </w:tcPr>
          <w:p>
            <w:pPr>
              <w:spacing w:after="0"/>
              <w:rPr>
                <w:sz w:val="4"/>
                <w:szCs w:val="4"/>
                <w:color w:val="auto"/>
              </w:rPr>
            </w:pPr>
          </w:p>
        </w:tc>
        <w:tc>
          <w:tcPr>
            <w:tcW w:w="3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in lieu of notice period (if by us)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Upon termination of employment, our senior management are entitled to receive their statutory entitlements of accrued annual and long service leave, together with any superannuation benefits.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Our Non-Employee Directors and Senior Management During the Fiscal Year Ended June 30, 2020</w:t>
      </w:r>
    </w:p>
    <w:p>
      <w:pPr>
        <w:spacing w:after="0" w:line="81" w:lineRule="exact"/>
        <w:rPr>
          <w:sz w:val="20"/>
          <w:szCs w:val="20"/>
          <w:color w:val="auto"/>
        </w:rPr>
      </w:pPr>
    </w:p>
    <w:p>
      <w:pPr>
        <w:jc w:val="both"/>
        <w:ind w:left="120" w:right="80" w:firstLine="440"/>
        <w:spacing w:after="0" w:line="339" w:lineRule="auto"/>
        <w:rPr>
          <w:sz w:val="20"/>
          <w:szCs w:val="20"/>
          <w:color w:val="auto"/>
        </w:rPr>
      </w:pPr>
      <w:r>
        <w:rPr>
          <w:rFonts w:ascii="Times New Roman" w:cs="Times New Roman" w:eastAsia="Times New Roman" w:hAnsi="Times New Roman"/>
          <w:sz w:val="16"/>
          <w:szCs w:val="16"/>
          <w:color w:val="auto"/>
        </w:rPr>
        <w:t>Details of the remuneration of our non-employee directors and senior management for the fiscal year ended June 30, 2020 are set forth below. During the fiscal year ended June 30, 2020, no options to purchase ordinary shares were granted to any of our non-employee directors or senior management.</w:t>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Short-Term</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3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Post-Employment</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36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Salary/Fees</w:t>
            </w:r>
            <w:r>
              <w:rPr>
                <w:rFonts w:ascii="Times New Roman" w:cs="Times New Roman" w:eastAsia="Times New Roman" w:hAnsi="Times New Roman"/>
                <w:sz w:val="22"/>
                <w:szCs w:val="22"/>
                <w:b w:val="1"/>
                <w:bCs w:val="1"/>
                <w:color w:val="auto"/>
                <w:vertAlign w:val="superscript"/>
              </w:rPr>
              <w:t>(1)</w:t>
            </w:r>
          </w:p>
        </w:tc>
        <w:tc>
          <w:tcPr>
            <w:tcW w:w="3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96"/>
              <w:spacing w:after="0" w:line="115" w:lineRule="exact"/>
              <w:rPr>
                <w:sz w:val="20"/>
                <w:szCs w:val="20"/>
                <w:color w:val="auto"/>
              </w:rPr>
            </w:pPr>
            <w:r>
              <w:rPr>
                <w:rFonts w:ascii="Times New Roman" w:cs="Times New Roman" w:eastAsia="Times New Roman" w:hAnsi="Times New Roman"/>
                <w:sz w:val="13"/>
                <w:szCs w:val="13"/>
                <w:b w:val="1"/>
                <w:bCs w:val="1"/>
                <w:color w:val="auto"/>
              </w:rPr>
              <w:t>Cash</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3"/>
          </w:tcPr>
          <w:p>
            <w:pPr>
              <w:jc w:val="center"/>
              <w:ind w:right="360"/>
              <w:spacing w:after="0" w:line="176" w:lineRule="exact"/>
              <w:rPr>
                <w:sz w:val="20"/>
                <w:szCs w:val="20"/>
                <w:color w:val="auto"/>
              </w:rPr>
            </w:pPr>
            <w:r>
              <w:rPr>
                <w:rFonts w:ascii="Times New Roman" w:cs="Times New Roman" w:eastAsia="Times New Roman" w:hAnsi="Times New Roman"/>
                <w:sz w:val="12"/>
                <w:szCs w:val="12"/>
                <w:b w:val="1"/>
                <w:bCs w:val="1"/>
                <w:color w:val="auto"/>
              </w:rPr>
              <w:t>Bonus</w:t>
            </w:r>
            <w:r>
              <w:rPr>
                <w:rFonts w:ascii="Times New Roman" w:cs="Times New Roman" w:eastAsia="Times New Roman" w:hAnsi="Times New Roman"/>
                <w:sz w:val="20"/>
                <w:szCs w:val="20"/>
                <w:b w:val="1"/>
                <w:bCs w:val="1"/>
                <w:color w:val="auto"/>
                <w:vertAlign w:val="superscript"/>
              </w:rPr>
              <w:t>(2)</w:t>
            </w:r>
          </w:p>
        </w:tc>
        <w:tc>
          <w:tcPr>
            <w:tcW w:w="360" w:type="dxa"/>
            <w:vAlign w:val="bottom"/>
          </w:tcPr>
          <w:p>
            <w:pPr>
              <w:spacing w:after="0"/>
              <w:rPr>
                <w:sz w:val="15"/>
                <w:szCs w:val="15"/>
                <w:color w:val="auto"/>
              </w:rPr>
            </w:pPr>
          </w:p>
        </w:tc>
        <w:tc>
          <w:tcPr>
            <w:tcW w:w="14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Superannuation</w:t>
            </w:r>
          </w:p>
        </w:tc>
        <w:tc>
          <w:tcPr>
            <w:tcW w:w="36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1"/>
                <w:szCs w:val="11"/>
                <w:b w:val="1"/>
                <w:bCs w:val="1"/>
                <w:color w:val="auto"/>
              </w:rPr>
              <w:t>(3)</w:t>
            </w: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Geoffrey Kempler</w:t>
            </w:r>
            <w:r>
              <w:rPr>
                <w:rFonts w:ascii="Times New Roman" w:cs="Times New Roman" w:eastAsia="Times New Roman" w:hAnsi="Times New Roman"/>
                <w:sz w:val="11"/>
                <w:szCs w:val="11"/>
                <w:color w:val="auto"/>
              </w:rPr>
              <w:t>(4)</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A$ 90,405</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0"/>
              </w:rPr>
              <w:t>A$</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8,589</w:t>
            </w:r>
          </w:p>
        </w:tc>
        <w:tc>
          <w:tcPr>
            <w:tcW w:w="122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A$ 98,994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Sistenich</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5,700</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65,700</w:t>
            </w:r>
          </w:p>
        </w:tc>
        <w:tc>
          <w:tcPr>
            <w:tcW w:w="0" w:type="dxa"/>
            <w:vAlign w:val="bottom"/>
          </w:tcPr>
          <w:p>
            <w:pPr>
              <w:spacing w:after="0"/>
              <w:rPr>
                <w:sz w:val="1"/>
                <w:szCs w:val="1"/>
                <w:color w:val="auto"/>
              </w:rPr>
            </w:pPr>
          </w:p>
        </w:tc>
      </w:tr>
      <w:tr>
        <w:trPr>
          <w:trHeight w:val="3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Management</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Baldwin, Ph.D.</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440,000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100,000</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51,300</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591,300</w:t>
            </w:r>
          </w:p>
        </w:tc>
        <w:tc>
          <w:tcPr>
            <w:tcW w:w="0" w:type="dxa"/>
            <w:vAlign w:val="bottom"/>
          </w:tcPr>
          <w:p>
            <w:pPr>
              <w:spacing w:after="0"/>
              <w:rPr>
                <w:sz w:val="1"/>
                <w:szCs w:val="1"/>
                <w:color w:val="auto"/>
              </w:rPr>
            </w:pPr>
          </w:p>
        </w:tc>
      </w:tr>
      <w:tr>
        <w:trPr>
          <w:trHeight w:val="22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Michael Tonroe</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256,844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64,211</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30,500</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351,555</w:t>
            </w:r>
          </w:p>
        </w:tc>
        <w:tc>
          <w:tcPr>
            <w:tcW w:w="0" w:type="dxa"/>
            <w:vAlign w:val="bottom"/>
          </w:tcPr>
          <w:p>
            <w:pPr>
              <w:spacing w:after="0"/>
              <w:rPr>
                <w:sz w:val="1"/>
                <w:szCs w:val="1"/>
                <w:color w:val="auto"/>
              </w:rPr>
            </w:pPr>
          </w:p>
        </w:tc>
      </w:tr>
      <w:tr>
        <w:trPr>
          <w:trHeight w:val="350"/>
        </w:trPr>
        <w:tc>
          <w:tcPr>
            <w:tcW w:w="536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163</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771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60" w:right="180" w:hanging="544"/>
        <w:spacing w:after="0" w:line="257"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non-employee directors, amounts set forth in this column include our reimbursement of expenses incurred in connection with performance of services relating to board service.</w:t>
      </w:r>
    </w:p>
    <w:p>
      <w:pPr>
        <w:spacing w:after="0" w:line="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are paid in the fiscal year following the year in which they were earned.</w:t>
      </w:r>
    </w:p>
    <w:p>
      <w:pPr>
        <w:spacing w:after="0" w:line="9" w:lineRule="exact"/>
        <w:rPr>
          <w:rFonts w:ascii="Times New Roman" w:cs="Times New Roman" w:eastAsia="Times New Roman" w:hAnsi="Times New Roman"/>
          <w:sz w:val="18"/>
          <w:szCs w:val="18"/>
          <w:color w:val="auto"/>
        </w:rPr>
      </w:pPr>
    </w:p>
    <w:p>
      <w:pPr>
        <w:ind w:left="660" w:right="140" w:hanging="544"/>
        <w:spacing w:after="0" w:line="250"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Gozlan and Spiegelman joined our board of directors in July 2020 and September 2020, respectively, and are not presented in the table. Dr. Levin will join our board of directors effective as of October 12, 2020 and is not presented in the table. See “—Remuneration of Non-Employee Directors” for information regarding options expected to be granted to each of Messrs. Gozlan and Spiegelman and Dr. Levin.</w:t>
      </w:r>
    </w:p>
    <w:p>
      <w:pPr>
        <w:spacing w:after="0" w:line="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Kempler will retire from our board of directors effective as of October 12, 2020.</w:t>
      </w:r>
    </w:p>
    <w:p>
      <w:pPr>
        <w:spacing w:after="0" w:line="145"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Details of options held by our non-employee directors and senior management as of June 30, 2020 are set forth below. None of our non-employee directors or senior management exercised any options to purchase ordinary shares during the fiscal year ended June 30, 2020.</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52"/>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Last Vesting</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r>
      <w:tr>
        <w:trPr>
          <w:trHeight w:val="176"/>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9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2"/>
                <w:szCs w:val="12"/>
                <w:b w:val="1"/>
                <w:bCs w:val="1"/>
                <w:color w:val="auto"/>
                <w:w w:val="99"/>
              </w:rPr>
              <w:t>Vested</w:t>
            </w:r>
            <w:r>
              <w:rPr>
                <w:rFonts w:ascii="Times New Roman" w:cs="Times New Roman" w:eastAsia="Times New Roman" w:hAnsi="Times New Roman"/>
                <w:sz w:val="20"/>
                <w:szCs w:val="20"/>
                <w:b w:val="1"/>
                <w:bCs w:val="1"/>
                <w:color w:val="auto"/>
                <w:w w:val="99"/>
                <w:vertAlign w:val="superscript"/>
              </w:rPr>
              <w:t>(1)</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1"/>
                <w:szCs w:val="11"/>
                <w:b w:val="1"/>
                <w:bCs w:val="1"/>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2"/>
        </w:trPr>
        <w:tc>
          <w:tcPr>
            <w:tcW w:w="4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Geoffrey Kempler</w:t>
            </w:r>
            <w:r>
              <w:rPr>
                <w:rFonts w:ascii="Times New Roman" w:cs="Times New Roman" w:eastAsia="Times New Roman" w:hAnsi="Times New Roman"/>
                <w:sz w:val="11"/>
                <w:szCs w:val="11"/>
                <w:color w:val="auto"/>
              </w:rPr>
              <w:t>(3)</w:t>
            </w:r>
          </w:p>
        </w:tc>
        <w:tc>
          <w:tcPr>
            <w:tcW w:w="1080" w:type="dxa"/>
            <w:vAlign w:val="bottom"/>
            <w:gridSpan w:val="2"/>
          </w:tcPr>
          <w:p>
            <w:pPr>
              <w:jc w:val="center"/>
              <w:ind w:left="12"/>
              <w:spacing w:after="0" w:line="201" w:lineRule="exact"/>
              <w:rPr>
                <w:sz w:val="20"/>
                <w:szCs w:val="20"/>
                <w:color w:val="auto"/>
              </w:rPr>
            </w:pPr>
            <w:r>
              <w:rPr>
                <w:rFonts w:ascii="Times New Roman" w:cs="Times New Roman" w:eastAsia="Times New Roman" w:hAnsi="Times New Roman"/>
                <w:sz w:val="18"/>
                <w:szCs w:val="18"/>
                <w:color w:val="auto"/>
                <w:w w:val="97"/>
              </w:rPr>
              <w:t>2,000,000</w:t>
            </w:r>
          </w:p>
        </w:tc>
        <w:tc>
          <w:tcPr>
            <w:tcW w:w="1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5"/>
              </w:rPr>
              <w:t>3/7/16</w:t>
            </w:r>
          </w:p>
        </w:tc>
        <w:tc>
          <w:tcPr>
            <w:tcW w:w="100" w:type="dxa"/>
            <w:vAlign w:val="bottom"/>
          </w:tcPr>
          <w:p>
            <w:pPr>
              <w:spacing w:after="0"/>
              <w:rPr>
                <w:sz w:val="17"/>
                <w:szCs w:val="17"/>
                <w:color w:val="auto"/>
              </w:rPr>
            </w:pPr>
          </w:p>
        </w:tc>
        <w:tc>
          <w:tcPr>
            <w:tcW w:w="100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color w:val="auto"/>
                <w:w w:val="99"/>
              </w:rPr>
              <w:t>A$0.480</w:t>
            </w:r>
          </w:p>
        </w:tc>
        <w:tc>
          <w:tcPr>
            <w:tcW w:w="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7"/>
                <w:szCs w:val="17"/>
                <w:color w:val="auto"/>
              </w:rPr>
            </w:pPr>
          </w:p>
        </w:tc>
        <w:tc>
          <w:tcPr>
            <w:tcW w:w="9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3/7/18</w:t>
            </w:r>
          </w:p>
        </w:tc>
        <w:tc>
          <w:tcPr>
            <w:tcW w:w="12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3/7/21</w:t>
            </w:r>
          </w:p>
        </w:tc>
      </w:tr>
      <w:tr>
        <w:trPr>
          <w:trHeight w:val="229"/>
        </w:trPr>
        <w:tc>
          <w:tcPr>
            <w:tcW w:w="4840" w:type="dxa"/>
            <w:vAlign w:val="bottom"/>
          </w:tcPr>
          <w:p>
            <w:pPr>
              <w:spacing w:after="0"/>
              <w:rPr>
                <w:sz w:val="19"/>
                <w:szCs w:val="19"/>
                <w:color w:val="auto"/>
              </w:rPr>
            </w:pPr>
          </w:p>
        </w:tc>
        <w:tc>
          <w:tcPr>
            <w:tcW w:w="1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1,500,000</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11/29/18</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0.855</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11/29/19</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11/29/22</w:t>
            </w:r>
          </w:p>
        </w:tc>
      </w:tr>
      <w:tr>
        <w:trPr>
          <w:trHeight w:val="21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Sistenich</w:t>
            </w:r>
          </w:p>
        </w:tc>
        <w:tc>
          <w:tcPr>
            <w:tcW w:w="1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1,000,000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3/7/16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0.480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3/7/18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3/7/21</w:t>
            </w:r>
          </w:p>
        </w:tc>
      </w:tr>
      <w:tr>
        <w:trPr>
          <w:trHeight w:val="216"/>
        </w:trPr>
        <w:tc>
          <w:tcPr>
            <w:tcW w:w="4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1,500,000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11/29/18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0.855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11/29/19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11/29/22</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Management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Baldwin, Ph.D.</w:t>
            </w:r>
          </w:p>
        </w:tc>
        <w:tc>
          <w:tcPr>
            <w:tcW w:w="1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4,000,000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3/7/16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0.480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3/7/18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3/7/21</w:t>
            </w:r>
          </w:p>
        </w:tc>
      </w:tr>
      <w:tr>
        <w:trPr>
          <w:trHeight w:val="216"/>
        </w:trPr>
        <w:tc>
          <w:tcPr>
            <w:tcW w:w="4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3,000,000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11/29/18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0.855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11/29/19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11/29/22</w:t>
            </w:r>
          </w:p>
        </w:tc>
      </w:tr>
      <w:tr>
        <w:trPr>
          <w:trHeight w:val="202"/>
        </w:trPr>
        <w:tc>
          <w:tcPr>
            <w:tcW w:w="4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Michael Tonroe</w:t>
            </w:r>
          </w:p>
        </w:tc>
        <w:tc>
          <w:tcPr>
            <w:tcW w:w="1080" w:type="dxa"/>
            <w:vAlign w:val="bottom"/>
            <w:gridSpan w:val="2"/>
          </w:tcPr>
          <w:p>
            <w:pPr>
              <w:jc w:val="center"/>
              <w:ind w:left="32"/>
              <w:spacing w:after="0" w:line="201" w:lineRule="exact"/>
              <w:rPr>
                <w:sz w:val="20"/>
                <w:szCs w:val="20"/>
                <w:color w:val="auto"/>
              </w:rPr>
            </w:pPr>
            <w:r>
              <w:rPr>
                <w:rFonts w:ascii="Times New Roman" w:cs="Times New Roman" w:eastAsia="Times New Roman" w:hAnsi="Times New Roman"/>
                <w:sz w:val="18"/>
                <w:szCs w:val="18"/>
                <w:color w:val="auto"/>
                <w:w w:val="95"/>
              </w:rPr>
              <w:t>800,000</w:t>
            </w:r>
          </w:p>
        </w:tc>
        <w:tc>
          <w:tcPr>
            <w:tcW w:w="1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5"/>
              </w:rPr>
              <w:t>3/7/16</w:t>
            </w:r>
          </w:p>
        </w:tc>
        <w:tc>
          <w:tcPr>
            <w:tcW w:w="10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3"/>
              </w:rPr>
              <w:t>0.480</w:t>
            </w:r>
          </w:p>
        </w:tc>
        <w:tc>
          <w:tcPr>
            <w:tcW w:w="12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7"/>
                <w:szCs w:val="17"/>
                <w:color w:val="auto"/>
              </w:rPr>
            </w:pPr>
          </w:p>
        </w:tc>
        <w:tc>
          <w:tcPr>
            <w:tcW w:w="9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1/1/19</w:t>
            </w:r>
          </w:p>
        </w:tc>
        <w:tc>
          <w:tcPr>
            <w:tcW w:w="12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1/1/22</w:t>
            </w:r>
          </w:p>
        </w:tc>
      </w:tr>
      <w:tr>
        <w:trPr>
          <w:trHeight w:val="228"/>
        </w:trPr>
        <w:tc>
          <w:tcPr>
            <w:tcW w:w="4840" w:type="dxa"/>
            <w:vAlign w:val="bottom"/>
          </w:tcPr>
          <w:p>
            <w:pPr>
              <w:spacing w:after="0"/>
              <w:rPr>
                <w:sz w:val="19"/>
                <w:szCs w:val="19"/>
                <w:color w:val="auto"/>
              </w:rPr>
            </w:pPr>
          </w:p>
        </w:tc>
        <w:tc>
          <w:tcPr>
            <w:tcW w:w="10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600,000</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4/3/19</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0.855</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4/3/20</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7715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6" w:lineRule="exact"/>
        <w:rPr>
          <w:sz w:val="20"/>
          <w:szCs w:val="20"/>
          <w:color w:val="auto"/>
        </w:rPr>
      </w:pPr>
    </w:p>
    <w:p>
      <w:pPr>
        <w:ind w:left="660" w:hanging="544"/>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options lapsed or were forfeited during the fiscal year ended June 30, 2020.</w:t>
      </w:r>
    </w:p>
    <w:p>
      <w:pPr>
        <w:spacing w:after="0" w:line="21" w:lineRule="exact"/>
        <w:rPr>
          <w:rFonts w:ascii="Times New Roman" w:cs="Times New Roman" w:eastAsia="Times New Roman" w:hAnsi="Times New Roman"/>
          <w:sz w:val="18"/>
          <w:szCs w:val="18"/>
          <w:color w:val="auto"/>
        </w:rPr>
      </w:pPr>
    </w:p>
    <w:p>
      <w:pPr>
        <w:ind w:left="660" w:right="140" w:hanging="544"/>
        <w:spacing w:after="0" w:line="250"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Gozlan and Spiegelman joined our board of directors in July 2020 and September 2020, respectively, and are not presented in the table. Dr. Levin will join our board of directors effective as of October 12, 2020 and is not presented in the table.</w:t>
      </w:r>
    </w:p>
    <w:p>
      <w:pPr>
        <w:ind w:left="660" w:hanging="544"/>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Kempler will retire from our board of directors effective as of October 12, 2020.</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5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Other than compensation arrangements which are described under “Management—Remuneration” or as disclosed below, from July 1, 2017 through the date of this prospectus, we did not enter into any transactions or loans with any: (i) enterprises that directly or indirectly, through one or more intermediaries, control, are controlled by or are under common control with us; (ii) associates; (iii) individuals owning, directly or indirectly, an interest in our voting power that gives them significant influence over us, and close members of any such individual’s family; (iv) key management personnel and close members of such individuals’ families; or (v) enterprises in which a substantial interest in our voting power is owned, directly or indirectly, by any person described in (iii) or (iv) or over which such person is able to exercise significant influence.</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Ordinary Share Private Financing</w:t>
      </w:r>
    </w:p>
    <w:p>
      <w:pPr>
        <w:spacing w:after="0" w:line="81"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In December 2019, we issued and sold to certain institutional investors, including Regal Funds Management Pty Ltd., approximately 18.9 million ordinary shares at a purchase price of A$2.65 per share for an aggregate purchase price of A$50.0 million. Regal Funds Management Pty Ltd., a holder of over 10% of our outstanding ordinary shares as of June 30, 2020, purchased approximately 2.8 million shares for A$7.5 million.</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 and Senior Management Compensation</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“Management—Remuneration” for information regarding compensation of our senior management and directors.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8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Constitution provides that, except to the extent prohibited by law including under the Corporations Act and, to the extent that an officer is not otherwise indemnified by us pursuant to an indemnity, we will indemnify every person who is or has been an officer of the company against any liability (other than legal costs that are unreasonable) incurred by that person as an officer. This includes any liability incurred by that person in their capacity as an officer of our subsidiary where we requested that person to accept that appointment.</w:t>
      </w:r>
    </w:p>
    <w:p>
      <w:pPr>
        <w:spacing w:after="0" w:line="12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entered into Deeds of Indemnity, Insurance and Access, or Indemnity Deeds, with Megan Baldwin, Ph.D., Michael Tonroe, Lawrence Gozlan, Geoffrey Kempler, Jeremy Levin, Michael Sistenich and Daniel Spiegelman, each a non-employee director, director nominee, or executive officer. Under the Indemnity Deeds, we have agreed to indemnify (to the maximum extent permitted under Australian law and our Constitution, subject to certain specified exceptions) each director and executive officer against all liabilities incurred in their capacity as our or our subsidiaries’ director or officer and any and all costs and expenses relating to such a claim or to any notified event incurred by such director or executive officer, including costs and expenses reasonably and necessarily incurred to mitigate any liability for such a claim or any claim which may arise from such a notified event. The Indemnity Deeds provide that the indemnities are unlimited as to amount, continuous and irrevocable.</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Separately, we have obtained insurance for our directors and executive officers, as required by the Indemnity Deeds.</w:t>
      </w:r>
    </w:p>
    <w:p>
      <w:pPr>
        <w:spacing w:after="0" w:line="158" w:lineRule="exact"/>
        <w:rPr>
          <w:sz w:val="20"/>
          <w:szCs w:val="20"/>
          <w:color w:val="auto"/>
        </w:rPr>
      </w:pPr>
    </w:p>
    <w:p>
      <w:pPr>
        <w:jc w:val="both"/>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81" w:lineRule="exact"/>
        <w:rPr>
          <w:sz w:val="20"/>
          <w:szCs w:val="20"/>
          <w:color w:val="auto"/>
        </w:rPr>
      </w:pPr>
    </w:p>
    <w:p>
      <w:pPr>
        <w:ind w:left="120" w:right="140" w:firstLine="440"/>
        <w:spacing w:after="0" w:line="275" w:lineRule="auto"/>
        <w:rPr>
          <w:sz w:val="20"/>
          <w:szCs w:val="20"/>
          <w:color w:val="auto"/>
        </w:rPr>
      </w:pPr>
      <w:r>
        <w:rPr>
          <w:rFonts w:ascii="Times New Roman" w:cs="Times New Roman" w:eastAsia="Times New Roman" w:hAnsi="Times New Roman"/>
          <w:sz w:val="18"/>
          <w:szCs w:val="18"/>
          <w:color w:val="auto"/>
        </w:rPr>
        <w:t>We comply with Australian law and the rules and regulations of the ASX regarding approval of transactions with related parties. Prior to the closing of this offering, we intend to adopt a related person transaction policy</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that sets forth our procedures for the identification, review, consideration and approval or ratification of related person transactions. The policy will become effective upon the execution of the underwriting agreement for this offering. For purposes of our policy, a related person transaction is a transaction, arrangement or similar contractual relationship, or any series of similar transactions, arrangements or relationships, in which we and any related person are, were or will be participants and the amount involved in the transaction exceeds $120,000, with the exception of usual transactions concluded under normal conditions. A related person is any member of our board of directors, our senior management or any beneficial owner of more than 5% of any class of our ordinary shares, including any of their immediate family members and any entity owned or controlled by such persons.</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senior management must present information regarding the related person transaction to the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member of our board of directors and, to the extent feasible, significant shareholder to enable us to identify any existing or potential related-person transactions and to effectuate the terms of the policy.</w:t>
      </w:r>
    </w:p>
    <w:p>
      <w:pPr>
        <w:spacing w:after="0" w:line="131"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the written policy, but our board of directors evaluated and approved all transactions that were considered to be related party transactions under Australian law and the rules and regulations of the ASX at the time at which they were consummated.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September 30, 2020, for:</w:t>
      </w:r>
    </w:p>
    <w:p>
      <w:pPr>
        <w:spacing w:after="0" w:line="77" w:lineRule="exact"/>
        <w:rPr>
          <w:sz w:val="20"/>
          <w:szCs w:val="20"/>
          <w:color w:val="auto"/>
        </w:rPr>
      </w:pPr>
    </w:p>
    <w:p>
      <w:pPr>
        <w:ind w:left="760" w:hanging="212"/>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ordinary shares;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senior management;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senior management as a group.</w:t>
      </w:r>
    </w:p>
    <w:p>
      <w:pPr>
        <w:spacing w:after="0" w:line="185" w:lineRule="exact"/>
        <w:rPr>
          <w:sz w:val="20"/>
          <w:szCs w:val="20"/>
          <w:color w:val="auto"/>
        </w:rPr>
      </w:pPr>
    </w:p>
    <w:p>
      <w:pPr>
        <w:ind w:left="120" w:right="240" w:firstLine="440"/>
        <w:spacing w:after="0" w:line="275" w:lineRule="auto"/>
        <w:rPr>
          <w:sz w:val="20"/>
          <w:szCs w:val="20"/>
          <w:color w:val="auto"/>
        </w:rPr>
      </w:pPr>
      <w:r>
        <w:rPr>
          <w:rFonts w:ascii="Times New Roman" w:cs="Times New Roman" w:eastAsia="Times New Roman" w:hAnsi="Times New Roman"/>
          <w:sz w:val="18"/>
          <w:szCs w:val="18"/>
          <w:color w:val="auto"/>
        </w:rPr>
        <w:t>To our knowledge, as of September 30, 2020, approximately 371,334 ordinary shares, or 0.14% of our ordinary shares, were held of record by five residents of the United States.</w:t>
      </w:r>
    </w:p>
    <w:p>
      <w:pPr>
        <w:spacing w:after="0" w:line="106"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w:t>
      </w:r>
    </w:p>
    <w:p>
      <w:pPr>
        <w:spacing w:after="0" w:line="119" w:lineRule="exact"/>
        <w:rPr>
          <w:sz w:val="20"/>
          <w:szCs w:val="20"/>
          <w:color w:val="auto"/>
        </w:rPr>
      </w:pPr>
    </w:p>
    <w:p>
      <w:pPr>
        <w:ind w:left="120" w:right="120" w:firstLine="440"/>
        <w:spacing w:after="0" w:line="252" w:lineRule="auto"/>
        <w:rPr>
          <w:sz w:val="20"/>
          <w:szCs w:val="20"/>
          <w:color w:val="auto"/>
        </w:rPr>
      </w:pPr>
      <w:r>
        <w:rPr>
          <w:rFonts w:ascii="Times New Roman" w:cs="Times New Roman" w:eastAsia="Times New Roman" w:hAnsi="Times New Roman"/>
          <w:sz w:val="18"/>
          <w:szCs w:val="18"/>
          <w:color w:val="auto"/>
        </w:rPr>
        <w:t>Applicable percentage ownership before the offering is based on 269,157,769 ordinary shares outstanding as of September 30, 2020. Applicable percentage ownership after the offering is based on ordinary shares outstanding immediately after the closing of this offering (after giving effect to the sale and issuance of 9,300,000 ADSs representing 74,400,000 ordinary shares at an ADS-to-ordinary share ratio of 1-to-8), assuming no exercise by the underwriters of their option to purchase additional ADSs. In computing the number of shares beneficially owned by a person or entity and the percentage ownership of such person or entity, we deemed to be outstanding all shares subject to options held by the person or entity that are currently exercisable, or exercisable within 60 days of September 30, 2020. However, except as described above, we did not deem such shares outstanding for the purpose of computing the percentage ownership of any other person or entity. The information contained in the following table is not necessarily indicative of beneficial ownership for any other purpose, and the inclusion of any shares in the table does not constitute an admission of beneficial ownership of those shares. Each of our shareholders is entitled to one vote per ordinary share. None of the holders of our shares will have different voting rights from other holders of shares after the closing of this offering. We are not aware of any arrangement that may, at a subsequent date, result in a change of control of our company. For further information regarding options to purchase ordinary shares held by our directors and senior management, see “Management— Remuneration.”</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80" w:firstLine="440"/>
        <w:spacing w:after="0" w:line="275"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Opthea Limited, Suite 0403, Level 4, 650 Chapel Street, South Yarra, VIC 3141, Australia.</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8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3360" w:type="dxa"/>
            <w:vAlign w:val="bottom"/>
            <w:gridSpan w:val="4"/>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Percentage of Shares Beneficially Owned</w:t>
            </w:r>
          </w:p>
        </w:tc>
        <w:tc>
          <w:tcPr>
            <w:tcW w:w="0" w:type="dxa"/>
            <w:vAlign w:val="bottom"/>
          </w:tcPr>
          <w:p>
            <w:pPr>
              <w:spacing w:after="0"/>
              <w:rPr>
                <w:sz w:val="1"/>
                <w:szCs w:val="1"/>
                <w:color w:val="auto"/>
              </w:rPr>
            </w:pPr>
          </w:p>
        </w:tc>
      </w:tr>
      <w:tr>
        <w:trPr>
          <w:trHeight w:val="112"/>
        </w:trPr>
        <w:tc>
          <w:tcPr>
            <w:tcW w:w="15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8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4260" w:type="dxa"/>
            <w:vAlign w:val="bottom"/>
            <w:vMerge w:val="restart"/>
          </w:tcPr>
          <w:p>
            <w:pPr>
              <w:spacing w:after="0"/>
              <w:rPr>
                <w:sz w:val="12"/>
                <w:szCs w:val="12"/>
                <w:color w:val="auto"/>
              </w:rPr>
            </w:pPr>
          </w:p>
        </w:tc>
        <w:tc>
          <w:tcPr>
            <w:tcW w:w="188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20" w:type="dxa"/>
            <w:vAlign w:val="bottom"/>
            <w:tcBorders>
              <w:bottom w:val="single" w:sz="8" w:color="auto"/>
            </w:tcBorders>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188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2140" w:type="dxa"/>
            <w:vAlign w:val="bottom"/>
            <w:gridSpan w:val="2"/>
          </w:tcPr>
          <w:p>
            <w:pPr>
              <w:jc w:val="right"/>
              <w:ind w:right="1160"/>
              <w:spacing w:after="0"/>
              <w:rPr>
                <w:sz w:val="20"/>
                <w:szCs w:val="20"/>
                <w:color w:val="auto"/>
              </w:rPr>
            </w:pPr>
            <w:r>
              <w:rPr>
                <w:rFonts w:ascii="Times New Roman" w:cs="Times New Roman" w:eastAsia="Times New Roman" w:hAnsi="Times New Roman"/>
                <w:sz w:val="13"/>
                <w:szCs w:val="13"/>
                <w:b w:val="1"/>
                <w:bCs w:val="1"/>
                <w:color w:val="auto"/>
              </w:rPr>
              <w:t>Before Offering</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190"/>
        </w:trPr>
        <w:tc>
          <w:tcPr>
            <w:tcW w:w="57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Principal Shareholders</w:t>
            </w:r>
          </w:p>
        </w:tc>
        <w:tc>
          <w:tcPr>
            <w:tcW w:w="9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 affiliated with Regal Funds Management Pty Ltd.</w:t>
            </w:r>
            <w:r>
              <w:rPr>
                <w:rFonts w:ascii="Times New Roman" w:cs="Times New Roman" w:eastAsia="Times New Roman" w:hAnsi="Times New Roman"/>
                <w:sz w:val="11"/>
                <w:szCs w:val="11"/>
                <w:color w:val="auto"/>
              </w:rPr>
              <w:t>(1)</w:t>
            </w: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28,726,324</w:t>
            </w:r>
          </w:p>
        </w:tc>
        <w:tc>
          <w:tcPr>
            <w:tcW w:w="2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Baker Brothers Advisors L.P.</w:t>
            </w:r>
            <w:r>
              <w:rPr>
                <w:rFonts w:ascii="Times New Roman" w:cs="Times New Roman" w:eastAsia="Times New Roman" w:hAnsi="Times New Roman"/>
                <w:sz w:val="11"/>
                <w:szCs w:val="11"/>
                <w:color w:val="auto"/>
              </w:rPr>
              <w:t>(2)</w:t>
            </w:r>
          </w:p>
        </w:tc>
        <w:tc>
          <w:tcPr>
            <w:tcW w:w="18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26,526,759</w:t>
            </w:r>
          </w:p>
        </w:tc>
        <w:tc>
          <w:tcPr>
            <w:tcW w:w="21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the Liberman Family</w:t>
            </w:r>
            <w:r>
              <w:rPr>
                <w:rFonts w:ascii="Times New Roman" w:cs="Times New Roman" w:eastAsia="Times New Roman" w:hAnsi="Times New Roman"/>
                <w:sz w:val="11"/>
                <w:szCs w:val="11"/>
                <w:color w:val="auto"/>
              </w:rPr>
              <w:t>(3)</w:t>
            </w: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19,228,128</w:t>
            </w:r>
          </w:p>
        </w:tc>
        <w:tc>
          <w:tcPr>
            <w:tcW w:w="21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KiFin Ltd.</w:t>
            </w:r>
            <w:r>
              <w:rPr>
                <w:rFonts w:ascii="Times New Roman" w:cs="Times New Roman" w:eastAsia="Times New Roman" w:hAnsi="Times New Roman"/>
                <w:sz w:val="11"/>
                <w:szCs w:val="11"/>
                <w:color w:val="auto"/>
              </w:rPr>
              <w:t>(4)</w:t>
            </w:r>
          </w:p>
        </w:tc>
        <w:tc>
          <w:tcPr>
            <w:tcW w:w="18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16,275,227</w:t>
            </w:r>
          </w:p>
        </w:tc>
        <w:tc>
          <w:tcPr>
            <w:tcW w:w="21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6.0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Director Nominees and Senior Management</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Baldwin, Ph.D.</w:t>
            </w:r>
            <w:r>
              <w:rPr>
                <w:rFonts w:ascii="Times New Roman" w:cs="Times New Roman" w:eastAsia="Times New Roman" w:hAnsi="Times New Roman"/>
                <w:sz w:val="11"/>
                <w:szCs w:val="11"/>
                <w:color w:val="auto"/>
              </w:rPr>
              <w:t>(5)</w:t>
            </w:r>
          </w:p>
        </w:tc>
        <w:tc>
          <w:tcPr>
            <w:tcW w:w="18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7,987,723</w:t>
            </w:r>
          </w:p>
        </w:tc>
        <w:tc>
          <w:tcPr>
            <w:tcW w:w="21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2.9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Tonroe</w:t>
            </w:r>
            <w:r>
              <w:rPr>
                <w:rFonts w:ascii="Times New Roman" w:cs="Times New Roman" w:eastAsia="Times New Roman" w:hAnsi="Times New Roman"/>
                <w:sz w:val="11"/>
                <w:szCs w:val="11"/>
                <w:color w:val="auto"/>
              </w:rPr>
              <w:t>(6)</w:t>
            </w: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1,400,000</w:t>
            </w:r>
          </w:p>
        </w:tc>
        <w:tc>
          <w:tcPr>
            <w:tcW w:w="21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Kempler</w:t>
            </w:r>
            <w:r>
              <w:rPr>
                <w:rFonts w:ascii="Times New Roman" w:cs="Times New Roman" w:eastAsia="Times New Roman" w:hAnsi="Times New Roman"/>
                <w:sz w:val="11"/>
                <w:szCs w:val="11"/>
                <w:color w:val="auto"/>
              </w:rPr>
              <w:t>(7)</w:t>
            </w:r>
          </w:p>
        </w:tc>
        <w:tc>
          <w:tcPr>
            <w:tcW w:w="18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4,400,960</w:t>
            </w:r>
          </w:p>
        </w:tc>
        <w:tc>
          <w:tcPr>
            <w:tcW w:w="21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Gozlan</w:t>
            </w:r>
            <w:r>
              <w:rPr>
                <w:rFonts w:ascii="Times New Roman" w:cs="Times New Roman" w:eastAsia="Times New Roman" w:hAnsi="Times New Roman"/>
                <w:sz w:val="11"/>
                <w:szCs w:val="11"/>
                <w:color w:val="auto"/>
              </w:rPr>
              <w:t>(8)</w:t>
            </w: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500,000</w:t>
            </w:r>
          </w:p>
        </w:tc>
        <w:tc>
          <w:tcPr>
            <w:tcW w:w="21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Levin, DPhil, MB BChir</w:t>
            </w:r>
            <w:r>
              <w:rPr>
                <w:rFonts w:ascii="Times New Roman" w:cs="Times New Roman" w:eastAsia="Times New Roman" w:hAnsi="Times New Roman"/>
                <w:sz w:val="11"/>
                <w:szCs w:val="11"/>
                <w:color w:val="auto"/>
              </w:rPr>
              <w:t>(9)</w:t>
            </w:r>
          </w:p>
        </w:tc>
        <w:tc>
          <w:tcPr>
            <w:tcW w:w="18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Sistenich</w:t>
            </w:r>
            <w:r>
              <w:rPr>
                <w:rFonts w:ascii="Times New Roman" w:cs="Times New Roman" w:eastAsia="Times New Roman" w:hAnsi="Times New Roman"/>
                <w:sz w:val="11"/>
                <w:szCs w:val="11"/>
                <w:color w:val="auto"/>
              </w:rPr>
              <w:t>(10)</w:t>
            </w: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3,020,178</w:t>
            </w:r>
          </w:p>
        </w:tc>
        <w:tc>
          <w:tcPr>
            <w:tcW w:w="21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Spiegelman</w:t>
            </w:r>
            <w:r>
              <w:rPr>
                <w:rFonts w:ascii="Times New Roman" w:cs="Times New Roman" w:eastAsia="Times New Roman" w:hAnsi="Times New Roman"/>
                <w:sz w:val="11"/>
                <w:szCs w:val="11"/>
                <w:color w:val="auto"/>
              </w:rPr>
              <w:t>(11)</w:t>
            </w:r>
          </w:p>
        </w:tc>
        <w:tc>
          <w:tcPr>
            <w:tcW w:w="18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500,000</w:t>
            </w:r>
          </w:p>
        </w:tc>
        <w:tc>
          <w:tcPr>
            <w:tcW w:w="21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All directors, director nominees and senior management as a group</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(seven persons)</w:t>
            </w:r>
            <w:r>
              <w:rPr>
                <w:rFonts w:ascii="Times New Roman" w:cs="Times New Roman" w:eastAsia="Times New Roman" w:hAnsi="Times New Roman"/>
                <w:sz w:val="11"/>
                <w:szCs w:val="11"/>
                <w:color w:val="auto"/>
              </w:rPr>
              <w:t>(12)</w:t>
            </w: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17,808,861</w:t>
            </w:r>
          </w:p>
        </w:tc>
        <w:tc>
          <w:tcPr>
            <w:tcW w:w="2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6.3%</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7715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6" w:lineRule="exact"/>
        <w:rPr>
          <w:sz w:val="20"/>
          <w:szCs w:val="20"/>
          <w:color w:val="auto"/>
        </w:rPr>
      </w:pPr>
    </w:p>
    <w:p>
      <w:pPr>
        <w:ind w:left="660" w:hanging="544"/>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1" w:lineRule="exact"/>
        <w:rPr>
          <w:sz w:val="20"/>
          <w:szCs w:val="20"/>
          <w:color w:val="auto"/>
        </w:rPr>
      </w:pPr>
    </w:p>
    <w:p>
      <w:pPr>
        <w:ind w:left="660" w:right="100" w:hanging="544"/>
        <w:spacing w:after="0" w:line="250"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28,726,324 ordinary shares held by funds affiliated with Regal Funds Management Pty Ltd., referred to together as the Regal Funds. Regal Funds Management Pty Ltd. is the investment manager for each of such funds holding our ordinary shares. Philip King and Craig Collie are the Chief Investment Officer and portfolio manager, respectively, of Regal Funds Management Pty Ltd. and, as such, they may be deemed to have voting and dispositive power with respect to the ordinary shares held by the affiliated funds. Philip King and Craig Collie disclaim beneficial ownership of the ordinary shares held by the Regal Funds except to the extent of their pecuniary interest. The address for Regal Funds Management Pty Ltd. is Level 47, Gateway, 1 Macquarie Place, Sydney, NSW 2000, Australia.</w:t>
      </w:r>
    </w:p>
    <w:p>
      <w:pPr>
        <w:spacing w:after="0" w:line="2" w:lineRule="exact"/>
        <w:rPr>
          <w:rFonts w:ascii="Times New Roman" w:cs="Times New Roman" w:eastAsia="Times New Roman" w:hAnsi="Times New Roman"/>
          <w:sz w:val="18"/>
          <w:szCs w:val="18"/>
          <w:color w:val="auto"/>
        </w:rPr>
      </w:pPr>
    </w:p>
    <w:p>
      <w:pPr>
        <w:ind w:left="660" w:right="20" w:hanging="544"/>
        <w:spacing w:after="0" w:line="250"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2,166,666 ordinary shares held by 667, L.P. and (ii) 24,360,093 ordinary shares held by Baker Brothers Life Sciences, L.P. We refer to 667, L.P. and Baker Brothers Life Sciences, L.P. together as the Baker Entities. Baker Bros. Advisors LP is the investment advisor of the Baker Entities and has sole voting and dispositive power with respect to the ordinary shares held by the Baker Entities. Baker Bros. Advisors (GP) LLC is the sole general partner of Baker Bros. Advisors LP. The managing members of Baker Bros. Advisors (GP) LLC are Julian C. Baker and Felix J. Baker and, as such, they may be deemed to have voting and dispositive power with respect to the ordinary shares held by the Baker Entities. Julian C. Baker and Felix J. Baker disclaim beneficial ownership of the ordinary shares held by the Baker Entities except to the extent of their pecuniary interest. The address for the Baker Entities is 880 Washington Street, 3rd Floor, New York, New York 10014.</w:t>
      </w:r>
    </w:p>
    <w:p>
      <w:pPr>
        <w:spacing w:after="0" w:line="2" w:lineRule="exact"/>
        <w:rPr>
          <w:rFonts w:ascii="Times New Roman" w:cs="Times New Roman" w:eastAsia="Times New Roman" w:hAnsi="Times New Roman"/>
          <w:sz w:val="18"/>
          <w:szCs w:val="18"/>
          <w:color w:val="auto"/>
        </w:rPr>
      </w:pPr>
    </w:p>
    <w:p>
      <w:pPr>
        <w:ind w:left="660" w:right="100" w:hanging="544"/>
        <w:spacing w:after="0" w:line="250"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19,228,128 ordinary shares held by entities affiliated with the Liberman Family, including 13,520,540 ordinary shares held by Jagen Pty Ltd., for which Lawrence Gozlan, a member of our board of directors, serves as founder and Chief Investment Officer. Bori Liberman, Helen Liberman, Laini Liberman, Justin Liberman and Nic Liberman share voting and dispositive power with respect to the ordinary shares held by the entities affiliated with the Liberman Family. The address for the entities affiliated with the Liberman Family is 8 Oxford Street, South Yarra, VIC 3141, Australia.</w:t>
      </w:r>
    </w:p>
    <w:p>
      <w:pPr>
        <w:spacing w:after="0" w:line="1" w:lineRule="exact"/>
        <w:rPr>
          <w:rFonts w:ascii="Times New Roman" w:cs="Times New Roman" w:eastAsia="Times New Roman" w:hAnsi="Times New Roman"/>
          <w:sz w:val="18"/>
          <w:szCs w:val="18"/>
          <w:color w:val="auto"/>
        </w:rPr>
      </w:pPr>
    </w:p>
    <w:p>
      <w:pPr>
        <w:ind w:left="660" w:right="80" w:hanging="544"/>
        <w:spacing w:after="0" w:line="255"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16,275,227 ordinary shares held by KiFin Ltd. KiFin Ltd. is managed by its sole director, Guardian Corporate Services Limited, or GCSL. The directors of GCSL are Ritchie Linden, Conrad Rademeyer, Gregoire Lartigue, Abacus Managers Limited, Abacus Management Limited and Abacus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40" w:right="80"/>
        <w:spacing w:after="0" w:line="253" w:lineRule="auto"/>
        <w:rPr>
          <w:sz w:val="20"/>
          <w:szCs w:val="20"/>
          <w:color w:val="auto"/>
        </w:rPr>
      </w:pPr>
      <w:r>
        <w:rPr>
          <w:rFonts w:ascii="Times New Roman" w:cs="Times New Roman" w:eastAsia="Times New Roman" w:hAnsi="Times New Roman"/>
          <w:sz w:val="18"/>
          <w:szCs w:val="18"/>
          <w:color w:val="auto"/>
        </w:rPr>
        <w:t>Corporate Services Limited. Meade Malone and Rajiv Balleram are the two directors of the three Abacus entities acting as corporate directors of GCSL. The directors of GCSL have shared and equal voting rights with respect to decisions of GCSL, as sole director of KiFin Ltd., and as such may be deemed to have shared voting and dispositive power with respect to the ordinary shares held by KiFin Ltd. Each director of GCSL disclaims beneficial ownership of the ordinary shares held by KiFin Ltd. except to the extent of their pecuniary interest. The address for KiFin Ltd. is Geneva Place, 333 Waterfront Drive, Road Town, Tortola, British Virgin Islands.</w:t>
      </w:r>
    </w:p>
    <w:p>
      <w:pPr>
        <w:spacing w:after="0" w:line="1" w:lineRule="exact"/>
        <w:rPr>
          <w:sz w:val="20"/>
          <w:szCs w:val="20"/>
          <w:color w:val="auto"/>
        </w:rPr>
      </w:pPr>
    </w:p>
    <w:p>
      <w:pPr>
        <w:ind w:left="660" w:right="760" w:hanging="544"/>
        <w:spacing w:after="0" w:line="250"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987,723 ordinary shares beneficially owned and (ii) 7,000,000 ordinary shares issuable upon the exercise of options that are exercisable within 60 days of September 30, 2020.</w:t>
      </w:r>
    </w:p>
    <w:p>
      <w:pPr>
        <w:ind w:left="660" w:hanging="544"/>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1,400,000 ordinary shares issuable upon the exercise of options that are exercisable within 60 days of September 30, 2020.</w:t>
      </w:r>
    </w:p>
    <w:p>
      <w:pPr>
        <w:spacing w:after="0" w:line="9" w:lineRule="exact"/>
        <w:rPr>
          <w:rFonts w:ascii="Times New Roman" w:cs="Times New Roman" w:eastAsia="Times New Roman" w:hAnsi="Times New Roman"/>
          <w:sz w:val="18"/>
          <w:szCs w:val="18"/>
          <w:color w:val="auto"/>
        </w:rPr>
      </w:pPr>
    </w:p>
    <w:p>
      <w:pPr>
        <w:ind w:left="660" w:right="40" w:hanging="544"/>
        <w:spacing w:after="0" w:line="250"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900,960 ordinary shares directly held by Mr. Kempler and (ii) 3,500,000 ordinary shares issuable upon the exercise of options that are exercisable within 60 days of September 30, 2020. Mr. Kempler will retire from our board of directors effective as of October 12, 2020.</w:t>
      </w:r>
    </w:p>
    <w:p>
      <w:pPr>
        <w:jc w:val="both"/>
        <w:ind w:left="660" w:right="200" w:hanging="544"/>
        <w:spacing w:after="0" w:line="250"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Gozlan joined our board of directors in July 2020. Consists of 500,000 ordinary shares that will vest and become issuable upon the exercise of an option within 60 days of September 30, 2020, which option will be granted upon approval by our shareholders at our annual general meeting of shareholders for 2020 on October 12, 2020.</w:t>
      </w:r>
    </w:p>
    <w:p>
      <w:pPr>
        <w:spacing w:after="0" w:line="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Levin will join our board of directors as Chairperson effective as of October 12, 2020.</w:t>
      </w:r>
    </w:p>
    <w:p>
      <w:pPr>
        <w:spacing w:after="0" w:line="9" w:lineRule="exact"/>
        <w:rPr>
          <w:rFonts w:ascii="Times New Roman" w:cs="Times New Roman" w:eastAsia="Times New Roman" w:hAnsi="Times New Roman"/>
          <w:sz w:val="18"/>
          <w:szCs w:val="18"/>
          <w:color w:val="auto"/>
        </w:rPr>
      </w:pPr>
    </w:p>
    <w:p>
      <w:pPr>
        <w:ind w:left="660" w:hanging="544"/>
        <w:spacing w:after="0" w:line="250"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520,178 ordinary shares directly held by Mr. Sistenich and (ii) 2,500,000 ordinary shares issuable upon the exercise of options that are exercisable within 60 days of September 30, 2020.</w:t>
      </w:r>
    </w:p>
    <w:p>
      <w:pPr>
        <w:jc w:val="both"/>
        <w:ind w:left="660" w:right="180" w:hanging="544"/>
        <w:spacing w:after="0" w:line="250"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Spiegelman joined our board of directors in September 2020. Consists of 500,000 ordinary shares that will vest and become issuable upon the exercise of an option within 60 days of September 30, 2020, which option will be granted upon approval by our shareholders at our annual general meeting of shareholders for 2020 on October 12, 2020.</w:t>
      </w:r>
    </w:p>
    <w:p>
      <w:pPr>
        <w:spacing w:after="0" w:line="1" w:lineRule="exact"/>
        <w:rPr>
          <w:rFonts w:ascii="Times New Roman" w:cs="Times New Roman" w:eastAsia="Times New Roman" w:hAnsi="Times New Roman"/>
          <w:sz w:val="18"/>
          <w:szCs w:val="18"/>
          <w:color w:val="auto"/>
        </w:rPr>
      </w:pPr>
    </w:p>
    <w:p>
      <w:pPr>
        <w:ind w:left="660" w:right="540" w:hanging="544"/>
        <w:spacing w:after="0" w:line="260"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2,408,861 ordinary shares beneficially owned and (ii) 15,400,000 ordinary shares issuable upon the exercise of options that are exercisable within 60 days of September 30, 2020.</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79"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The following description of our ordinary shares is only a summary. We encourage you to read our Constitution, which is included as an exhibit to this registration statement, of which this prospectus forms a part.</w:t>
      </w:r>
    </w:p>
    <w:p>
      <w:pPr>
        <w:spacing w:after="0" w:line="106" w:lineRule="exact"/>
        <w:rPr>
          <w:sz w:val="20"/>
          <w:szCs w:val="20"/>
          <w:color w:val="auto"/>
        </w:rPr>
      </w:pPr>
    </w:p>
    <w:p>
      <w:pPr>
        <w:jc w:val="both"/>
        <w:ind w:left="120" w:right="320" w:firstLine="440"/>
        <w:spacing w:after="0" w:line="262" w:lineRule="auto"/>
        <w:rPr>
          <w:sz w:val="20"/>
          <w:szCs w:val="20"/>
          <w:color w:val="auto"/>
        </w:rPr>
      </w:pPr>
      <w:r>
        <w:rPr>
          <w:rFonts w:ascii="Times New Roman" w:cs="Times New Roman" w:eastAsia="Times New Roman" w:hAnsi="Times New Roman"/>
          <w:sz w:val="18"/>
          <w:szCs w:val="18"/>
          <w:color w:val="auto"/>
        </w:rPr>
        <w:t>We are a public company limited by shares incorporated under the Corporations Act by the Australian Securities and Investments Commission, or ASIC. Our corporate affairs are principally governed by our Constitution, the Corporations Act and the Australian Securities Exchange, or ASX, Listing Rules. Our ordinary shares trade on the ASX.</w:t>
      </w:r>
    </w:p>
    <w:p>
      <w:pPr>
        <w:spacing w:after="0" w:line="119" w:lineRule="exact"/>
        <w:rPr>
          <w:sz w:val="20"/>
          <w:szCs w:val="20"/>
          <w:color w:val="auto"/>
        </w:rPr>
      </w:pPr>
    </w:p>
    <w:p>
      <w:pPr>
        <w:ind w:left="120" w:right="40" w:firstLine="440"/>
        <w:spacing w:after="0" w:line="339" w:lineRule="auto"/>
        <w:rPr>
          <w:sz w:val="20"/>
          <w:szCs w:val="20"/>
          <w:color w:val="auto"/>
        </w:rPr>
      </w:pPr>
      <w:r>
        <w:rPr>
          <w:rFonts w:ascii="Times New Roman" w:cs="Times New Roman" w:eastAsia="Times New Roman" w:hAnsi="Times New Roman"/>
          <w:sz w:val="16"/>
          <w:szCs w:val="16"/>
          <w:color w:val="auto"/>
        </w:rPr>
        <w:t>The Australian law applicable to our Constitution is not significantly different than a U.S. company’s charter documents except we do not have a limit on our authorized share capital, the concept of par value is not recognized under Australian law and as further discussed under “—Our Constitution.”</w:t>
      </w:r>
    </w:p>
    <w:p>
      <w:pPr>
        <w:spacing w:after="0" w:line="61" w:lineRule="exact"/>
        <w:rPr>
          <w:sz w:val="20"/>
          <w:szCs w:val="20"/>
          <w:color w:val="auto"/>
        </w:rPr>
      </w:pPr>
    </w:p>
    <w:p>
      <w:pPr>
        <w:ind w:left="120" w:right="20" w:firstLine="440"/>
        <w:spacing w:after="0" w:line="296" w:lineRule="auto"/>
        <w:rPr>
          <w:sz w:val="20"/>
          <w:szCs w:val="20"/>
          <w:color w:val="auto"/>
        </w:rPr>
      </w:pPr>
      <w:r>
        <w:rPr>
          <w:rFonts w:ascii="Times New Roman" w:cs="Times New Roman" w:eastAsia="Times New Roman" w:hAnsi="Times New Roman"/>
          <w:sz w:val="16"/>
          <w:szCs w:val="16"/>
          <w:color w:val="auto"/>
        </w:rPr>
        <w:t>Subject to any restrictions on the issue of securities in our Constitution, the Corporations Act and the ASX Listing Rules and any other applicable law, we may from time to time issue shares and grant options on any terms, with the rights and restrictions and for the consideration that our board of directors determine. The rights and restrictions attaching to ordinary shares are derived through a combination of our Constitution, the common law applicable in Australia, the ASX Listing Rules, the Corporations Act and other applicable law. A general summary of some of the rights and restrictions attaching to our ordinary shares are summarized below. Each ordinary shareholder is entitled to receive notice of, and to be present, vote and speak at, general meetings.</w:t>
      </w:r>
    </w:p>
    <w:p>
      <w:pPr>
        <w:spacing w:after="0" w:line="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to Our Share Capital</w:t>
      </w:r>
    </w:p>
    <w:p>
      <w:pPr>
        <w:spacing w:after="0" w:line="79" w:lineRule="exact"/>
        <w:rPr>
          <w:sz w:val="20"/>
          <w:szCs w:val="20"/>
          <w:color w:val="auto"/>
        </w:rPr>
      </w:pPr>
    </w:p>
    <w:p>
      <w:pPr>
        <w:ind w:left="120" w:right="400" w:firstLine="440"/>
        <w:spacing w:after="0" w:line="275" w:lineRule="auto"/>
        <w:rPr>
          <w:sz w:val="20"/>
          <w:szCs w:val="20"/>
          <w:color w:val="auto"/>
        </w:rPr>
      </w:pPr>
      <w:r>
        <w:rPr>
          <w:rFonts w:ascii="Times New Roman" w:cs="Times New Roman" w:eastAsia="Times New Roman" w:hAnsi="Times New Roman"/>
          <w:sz w:val="18"/>
          <w:szCs w:val="18"/>
          <w:color w:val="auto"/>
        </w:rPr>
        <w:t>As of June 30, 2020, we had (i) 269,157,769 ordinary shares outstanding and (ii) outstanding options to purchase 18,044,000 ordinary shares at a weighted-average exercise price of A$0.68 per share.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From July 1, 2017, through the date of this prospectus, the following events have changed the number of our issued and outstanding ordinary shares:</w:t>
      </w:r>
    </w:p>
    <w:p>
      <w:pPr>
        <w:spacing w:after="0" w:line="100" w:lineRule="exact"/>
        <w:rPr>
          <w:sz w:val="20"/>
          <w:szCs w:val="20"/>
          <w:color w:val="auto"/>
        </w:rPr>
      </w:pPr>
    </w:p>
    <w:p>
      <w:pPr>
        <w:ind w:left="760" w:hanging="212"/>
        <w:spacing w:after="0"/>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we issued 18,867,930 ordinary shares to institutional shareholders at an issue price of A$2.65 per share.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the following ordinary shares upon the exercise of options over the following periods:</w:t>
      </w:r>
    </w:p>
    <w:p>
      <w:pPr>
        <w:spacing w:after="0" w:line="103" w:lineRule="exact"/>
        <w:rPr>
          <w:rFonts w:ascii="Times New Roman" w:cs="Times New Roman" w:eastAsia="Times New Roman" w:hAnsi="Times New Roman"/>
          <w:sz w:val="18"/>
          <w:szCs w:val="18"/>
          <w:color w:val="auto"/>
        </w:rPr>
      </w:pPr>
    </w:p>
    <w:p>
      <w:pPr>
        <w:ind w:left="1540" w:right="380" w:hanging="439"/>
        <w:spacing w:after="0" w:line="275" w:lineRule="auto"/>
        <w:tabs>
          <w:tab w:leader="none" w:pos="15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2017 through June 30, 2018, 2,063,518 ordinary shares upon the exercise of options granted in connection with capital raise transactions;</w:t>
      </w:r>
    </w:p>
    <w:p>
      <w:pPr>
        <w:spacing w:after="0" w:line="25" w:lineRule="exact"/>
        <w:rPr>
          <w:rFonts w:ascii="Times New Roman" w:cs="Times New Roman" w:eastAsia="Times New Roman" w:hAnsi="Times New Roman"/>
          <w:sz w:val="18"/>
          <w:szCs w:val="18"/>
          <w:color w:val="auto"/>
        </w:rPr>
      </w:pPr>
    </w:p>
    <w:p>
      <w:pPr>
        <w:ind w:left="1540" w:right="300" w:hanging="439"/>
        <w:spacing w:after="0" w:line="275" w:lineRule="auto"/>
        <w:tabs>
          <w:tab w:leader="none" w:pos="15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2018 through June 30, 2019, 46,776,951 ordinary shares upon the exercise of options granted in connection with capital raise transactions; and</w:t>
      </w:r>
    </w:p>
    <w:p>
      <w:pPr>
        <w:spacing w:after="0" w:line="2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2019 through June 30, 2020, 875,000 ordinary shares upon the exercise of options granted to officers and employees.</w:t>
      </w:r>
    </w:p>
    <w:p>
      <w:pPr>
        <w:spacing w:after="0" w:line="18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to grant options to purchase 7,000,000 ordinary shares to certain of our non-employee directors under the NED Plan upon approval of such options by our shareholders, of which (i) options to purchase 4,000,000 shares are subject to approval at our annual general meeting of shareholders for 2020 on October 12, 2020, at which time an exercise price per ordinary share will be determined for such options, and (ii) an option to purchase 3,000,000 shares will be subject to approval at a future meeting of shareholders following the completion of this offering (see “Management—Remuneration of Non-Employee Directors”).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Constitution</w:t>
      </w:r>
    </w:p>
    <w:p>
      <w:pPr>
        <w:spacing w:after="0" w:line="79"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Our Constitution is similar in nature to the bylaws of a U.S. corporation. It does not provide for or prescribe any specific objectives or purposes of our company. Our Constitution is subject to the terms of the Corporations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360"/>
        <w:spacing w:after="0" w:line="275" w:lineRule="auto"/>
        <w:rPr>
          <w:sz w:val="20"/>
          <w:szCs w:val="20"/>
          <w:color w:val="auto"/>
        </w:rPr>
      </w:pPr>
      <w:r>
        <w:rPr>
          <w:rFonts w:ascii="Times New Roman" w:cs="Times New Roman" w:eastAsia="Times New Roman" w:hAnsi="Times New Roman"/>
          <w:sz w:val="18"/>
          <w:szCs w:val="18"/>
          <w:color w:val="auto"/>
        </w:rPr>
        <w:t>Act. It may be amended or repealed and replaced by special resolution of shareholders, which is a resolution passed by at least 75% of the votes cast by shareholders (in person or by proxy) entitled to vote on the resolution.</w:t>
      </w:r>
    </w:p>
    <w:p>
      <w:pPr>
        <w:spacing w:after="0" w:line="10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on file with the Securities and Exchange Commission.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w:t>
      </w:r>
    </w:p>
    <w:p>
      <w:pPr>
        <w:spacing w:after="0" w:line="1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and the ASX Listing Rules may require shareholder approval of any provision of related party benefits to our directors, unless a relevant exception applies.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Directors’ Compensation</w:t>
      </w:r>
    </w:p>
    <w:p>
      <w:pPr>
        <w:spacing w:after="0" w:line="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non-employee directors are paid remuneration for their services as directors. Subject to the ASX Listing Rules, non-employee directors as a whole may be paid or provided remuneration for their services a total amount or value not to exceed $500,000 per annum. Subject to the ASX Listing Rules, the aggregate, capped sum for non-employee directors’ remuneration is to be divided among the directors in such proportion as the directors themselves agree and in accordance with our Constitution. The capped sum remuneration for non-employee directors may not be increased except at a general meeting of shareholders and the particulars of the proposed increase are required to have been provided to shareholders in the notice convening the meeting. In addition, our board of directors may fix the remuneration of each executive director, which may comprise salary or commission on or participation in our profits (or comprising a combination of each) as our directors determine.</w:t>
      </w:r>
    </w:p>
    <w:p>
      <w:pPr>
        <w:spacing w:after="0" w:line="127"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Fees payable to our non-employee directors must be by way of a fixed sum and not by way of a commission on or a percentage of profits or operating revenue. Remuneration paid to our executive directors must also not include a commission or percentage of operating revenue.</w:t>
      </w:r>
    </w:p>
    <w:p>
      <w:pPr>
        <w:spacing w:after="0" w:line="106" w:lineRule="exact"/>
        <w:rPr>
          <w:sz w:val="20"/>
          <w:szCs w:val="20"/>
          <w:color w:val="auto"/>
        </w:rPr>
      </w:pPr>
    </w:p>
    <w:p>
      <w:pPr>
        <w:ind w:left="120" w:right="640" w:firstLine="440"/>
        <w:spacing w:after="0" w:line="275" w:lineRule="auto"/>
        <w:rPr>
          <w:sz w:val="20"/>
          <w:szCs w:val="20"/>
          <w:color w:val="auto"/>
        </w:rPr>
      </w:pPr>
      <w:r>
        <w:rPr>
          <w:rFonts w:ascii="Times New Roman" w:cs="Times New Roman" w:eastAsia="Times New Roman" w:hAnsi="Times New Roman"/>
          <w:sz w:val="18"/>
          <w:szCs w:val="18"/>
          <w:color w:val="auto"/>
        </w:rPr>
        <w:t>Pursuant to our Constitution, any director who performs extra services or makes any special exertions, whether in going or residing abroad or otherwise for any of the purposes of the Company, that director may be paid an additional sum for those services and exertions.</w:t>
      </w:r>
    </w:p>
    <w:p>
      <w:pPr>
        <w:spacing w:after="0" w:line="106" w:lineRule="exact"/>
        <w:rPr>
          <w:sz w:val="20"/>
          <w:szCs w:val="20"/>
          <w:color w:val="auto"/>
        </w:rPr>
      </w:pPr>
    </w:p>
    <w:p>
      <w:pPr>
        <w:ind w:left="120" w:right="260" w:firstLine="440"/>
        <w:spacing w:after="0" w:line="339" w:lineRule="auto"/>
        <w:rPr>
          <w:sz w:val="20"/>
          <w:szCs w:val="20"/>
          <w:color w:val="auto"/>
        </w:rPr>
      </w:pPr>
      <w:r>
        <w:rPr>
          <w:rFonts w:ascii="Times New Roman" w:cs="Times New Roman" w:eastAsia="Times New Roman" w:hAnsi="Times New Roman"/>
          <w:sz w:val="16"/>
          <w:szCs w:val="16"/>
          <w:color w:val="auto"/>
        </w:rPr>
        <w:t>In addition to other remuneration provided in our Constitution, all of our directors are entitled to be paid by us for all travelling and other expenses properly incurred by the directors in attending general meetings, board meetings, committee meetings or otherwise in connection with our business.</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In addition, in accordance with our Constitution, a director may be paid a retirement benefit as determined by our board of directors subject to the requirements of the Corporations Act.</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 Exercisable by Directors</w:t>
      </w:r>
    </w:p>
    <w:p>
      <w:pPr>
        <w:spacing w:after="0" w:line="8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our Constitution, the management and control of our business affairs are vested in our board of directors. Our board of directors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of directors deems appropriate.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our Constitution, one-third of our directors, other than the managing director, must retire from office at every annual general meeting. If the number of directors is not a multiple of three, then the number nearest, to but not exceeding, one-third must retire from office. The directors who retire in this manner are required to be the directors or director longest in office since last being elected. A director, other than the managing director, must retire from office at the conclusion of the third annual general meeting after which the director was elected. A retiring director remains in office until the end of the meeting and will be eligible for re-election at the meeting.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and Restrictions on Classes of Shares</w:t>
      </w:r>
    </w:p>
    <w:p>
      <w:pPr>
        <w:spacing w:after="0" w:line="81"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The rights attaching to our ordinary shares are detailed in our Constitution. Our Constitution provides that, subject to the Corporations Act, the ASX Listing Rules and our Constitution, our directors may issue shares with preferential, deferred or special rights, privileges or conditions or with any restrictions, whether in relation to dividends, voting, return of share capital, or otherwise as our board of directors may determine. Subject to the Corporations Act, the ASX Listing Rules and our Constitution (see “—Change of Control”), we may issue further shares on such terms and conditions as our board of directors resolve.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Our outstanding share capital consists of only one class of ordinary shares.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8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the Corporations Act, a company must not pay a dividend unless (a) the company’s assets exceed its liabilities immediately before the dividend is declared and the excess is sufficient for the payment of the dividend; (b) the payment of the dividend is fair and reasonable to the company’s shareholders as a whole; and (c) the payment of the dividend does not materially prejudice the company’s ability to pay its creditors. Subject to this requirement, our board of directors may from time to time determine to pay and declare dividends to shareholders. All dividends unclaimed for one year after the time for payment has passed may be invested or otherwise made use of by our board of directors for our benefit until claimed or until dealt with under any law relating to unclaimed moneys.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8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Under our Constitution, and subject to any voting exclusions imposed under the ASX Listing Rules (which typically exclude parties from voting on resolutions in which they have an interest), the rights and restrictions attaching to a class of shares, each shareholder has one vote on a show of hands at a meeting of the shareholders unless a poll is demanded under the Constitution or the Corporations Act. On a poll vote, each shareholder shall have one vote for each fully paid share and a fractional vote for each share held by that shareholder that is not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120"/>
        <w:spacing w:after="0" w:line="262" w:lineRule="auto"/>
        <w:rPr>
          <w:sz w:val="20"/>
          <w:szCs w:val="20"/>
          <w:color w:val="auto"/>
        </w:rPr>
      </w:pPr>
      <w:r>
        <w:rPr>
          <w:rFonts w:ascii="Times New Roman" w:cs="Times New Roman" w:eastAsia="Times New Roman" w:hAnsi="Times New Roman"/>
          <w:sz w:val="18"/>
          <w:szCs w:val="18"/>
          <w:color w:val="auto"/>
        </w:rPr>
        <w:t>fully paid, such fraction being equivalent to the proportion of the amount that has been paid to such date on that share. Shareholders may vote in person or by proxy, attorney or representative. Under Australian law, shareholders of a public company are generally not permitted to approve corporate matters by written consent. Our Constitution does not provide for cumulative voting.</w:t>
      </w:r>
    </w:p>
    <w:p>
      <w:pPr>
        <w:spacing w:after="0" w:line="119"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color w:val="auto"/>
        </w:rPr>
        <w:t>Under Australian law, an ordinary resolution is passed if a majority of the votes cast on the resolution (in person or by proxy) by members entitled to vote on the resolution are in favor of the resolution. Under Australian law, a special resolution is passed if at least 75% of the votes cast on the resolution (in person or by proxy) are in favor of the resolution.</w:t>
      </w:r>
    </w:p>
    <w:p>
      <w:pPr>
        <w:spacing w:after="0" w:line="119"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ADS holders may not directly vote at a meeting of the shareholders but may instruct the depositary to vote the number of deposited ordinary shares their ADSs represent.</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Share in Our Profits</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Pursuant to our Constitution, our shareholders are entitled to participate in our profits only by payment of dividends. Our board of directors may from time to time determine to pay dividends to the shareholders. However, any such dividend may only be payable in accordance with the requirements set out in the Corporations Act described above.</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to Share in the Surplus in the Event of Winding Up</w:t>
      </w:r>
    </w:p>
    <w:p>
      <w:pPr>
        <w:spacing w:after="0" w:line="81" w:lineRule="exact"/>
        <w:rPr>
          <w:sz w:val="20"/>
          <w:szCs w:val="20"/>
          <w:color w:val="auto"/>
        </w:rPr>
      </w:pPr>
    </w:p>
    <w:p>
      <w:pPr>
        <w:ind w:left="120" w:right="240" w:firstLine="440"/>
        <w:spacing w:after="0" w:line="275" w:lineRule="auto"/>
        <w:rPr>
          <w:sz w:val="20"/>
          <w:szCs w:val="20"/>
          <w:color w:val="auto"/>
        </w:rPr>
      </w:pPr>
      <w:r>
        <w:rPr>
          <w:rFonts w:ascii="Times New Roman" w:cs="Times New Roman" w:eastAsia="Times New Roman" w:hAnsi="Times New Roman"/>
          <w:sz w:val="18"/>
          <w:szCs w:val="18"/>
          <w:color w:val="auto"/>
        </w:rPr>
        <w:t>Our Constitution provides for the right of shareholders to participate in a surplus in the event of our winding up, subject to the rights attaching to a class of shares,.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Redemption Provision for Ordinary Shares</w:t>
      </w:r>
    </w:p>
    <w:p>
      <w:pPr>
        <w:spacing w:after="0" w:line="81" w:lineRule="exact"/>
        <w:rPr>
          <w:sz w:val="20"/>
          <w:szCs w:val="20"/>
          <w:color w:val="auto"/>
        </w:rPr>
      </w:pPr>
    </w:p>
    <w:p>
      <w:pPr>
        <w:jc w:val="both"/>
        <w:ind w:left="120" w:right="400" w:firstLine="440"/>
        <w:spacing w:after="0" w:line="310" w:lineRule="auto"/>
        <w:rPr>
          <w:sz w:val="20"/>
          <w:szCs w:val="20"/>
          <w:color w:val="auto"/>
        </w:rPr>
      </w:pPr>
      <w:r>
        <w:rPr>
          <w:rFonts w:ascii="Times New Roman" w:cs="Times New Roman" w:eastAsia="Times New Roman" w:hAnsi="Times New Roman"/>
          <w:sz w:val="16"/>
          <w:szCs w:val="16"/>
          <w:color w:val="auto"/>
        </w:rPr>
        <w:t>There are no redemption provisions in our Constitution in relation to ordinary shares. Under our Constitution, shares may be issued and allotted, which are liable to be redeemed. Under the Corporations Act, redeemable preference shares may only be redeemed if those preference shares are fully paid-up and payment in satisfaction of redemption is out of profits or the proceeds of a new issue of shares made for the purposes of the redemption.</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Variation or Cancellation of Share Rights</w:t>
      </w:r>
    </w:p>
    <w:p>
      <w:pPr>
        <w:spacing w:after="0" w:line="81"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8"/>
          <w:szCs w:val="18"/>
          <w:color w:val="auto"/>
        </w:rPr>
        <w:t>Subject to the Corporations Act, the ASX Listing Rules and the terms of issue of shares of that class, the rights and privileges attached to shares in a class of shares may only be varied or cancelled by a special resolution, together with either:</w:t>
      </w:r>
    </w:p>
    <w:p>
      <w:pPr>
        <w:spacing w:after="0" w:line="25" w:lineRule="exact"/>
        <w:rPr>
          <w:sz w:val="20"/>
          <w:szCs w:val="20"/>
          <w:color w:val="auto"/>
        </w:rPr>
      </w:pPr>
    </w:p>
    <w:p>
      <w:pPr>
        <w:ind w:left="760" w:hanging="212"/>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passed at a meeting of members holding shares in the class;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members with at least 75% of the shares in the class.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Directors May Make Calls</w:t>
      </w:r>
    </w:p>
    <w:p>
      <w:pPr>
        <w:spacing w:after="0" w:line="81"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Our Constitution provides that subject to compliance with the Corporations Act and the terms on which partly paid shares are issued, directors may make calls on the holders of the shares for any money unpaid on them.</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8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General meetings of shareholders may be called by our board of directors. Except as permitted under the Corporations Act, shareholders may not convene a meeting. The Corporations Act requires the directors to call and arrange to hold a general meeting on the request of shareholders with at least 5% of the votes that may be</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80"/>
          </w:cols>
          <w:pgMar w:left="320" w:top="455" w:right="49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cast at a general meeting. Notice of the proposed meeting of our shareholders is required at least 28 days prior to such meeting under the Corporations Act.</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Ownership Regulation</w:t>
      </w:r>
    </w:p>
    <w:p>
      <w:pPr>
        <w:spacing w:after="0" w:line="8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Our Constitution does not impose specific limitations on the rights of non-residents to own securities. However, acquisitions and proposed acquisitions of securities in Australian companies may be subject to review and approval by the Australian Federal Treasurer under the Foreign Acquisitions and Takeovers Act 1975 (Cth), or the FATA, which generally applies to acquisitions or proposed acquisitions:</w:t>
      </w:r>
    </w:p>
    <w:p>
      <w:pPr>
        <w:spacing w:after="0" w:line="38" w:lineRule="exact"/>
        <w:rPr>
          <w:sz w:val="20"/>
          <w:szCs w:val="20"/>
          <w:color w:val="auto"/>
        </w:rPr>
      </w:pPr>
    </w:p>
    <w:p>
      <w:pPr>
        <w:ind w:left="760" w:right="160" w:hanging="212"/>
        <w:spacing w:after="0" w:line="275"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person (as defined in the FATA) or associated foreign persons that would result in such persons having an interest in 20% or more of the issued shares of, or control of 20% or more of the voting power in, an Australian company; and</w:t>
      </w:r>
    </w:p>
    <w:p>
      <w:pPr>
        <w:spacing w:after="0" w:line="25" w:lineRule="exact"/>
        <w:rPr>
          <w:rFonts w:ascii="Times New Roman" w:cs="Times New Roman" w:eastAsia="Times New Roman" w:hAnsi="Times New Roman"/>
          <w:sz w:val="18"/>
          <w:szCs w:val="18"/>
          <w:color w:val="auto"/>
        </w:rPr>
      </w:pPr>
    </w:p>
    <w:p>
      <w:pPr>
        <w:ind w:left="760" w:right="60" w:hanging="212"/>
        <w:spacing w:after="0" w:line="262"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non-associated foreign persons that would result in such foreign persons having an aggregate interest in 40% or more of the issued shares of, or control of 40% or more of the voting power in, an Australian company, where the Australian company is valued above the monetary threshold prescribed by FATA.</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Due to the impacts of the COVID-19 pandemic, the monetary thresholds for foreign investment proposals covered by the FATA and its associated regulations have been reduced to zero. This regime may revert in the future to the previous regime, which, in general terms, provided that in respect of proposals for investment in non-sensitive sectors, no such review or approval under the FATA is required if the foreign acquirer is a U.S. entity or an entity from certain other countries and the value of the Australian target is less than A$1,192 million.</w:t>
      </w:r>
    </w:p>
    <w:p>
      <w:pPr>
        <w:spacing w:after="0" w:line="12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Australian Federal Treasurer may prevent a proposed acquisition in the above categories or impose conditions on such acquisition if the Treasurer is satisfied that the acquisition would be contrary to the national interest. If a foreign person acquires shares or an interest in shares in an Australian company in contravention of the FATA, the Australian Federal Treasurer may make a range of orders including an order the divestiture of such person’s shares or interest in shares in that Australian company.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w:t>
      </w:r>
    </w:p>
    <w:p>
      <w:pPr>
        <w:spacing w:after="0" w:line="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There are no specific provisions in our Constitution that require a shareholder to disclose ownership above a certain threshold. The Corporations Act, however, requires a shareholder to notify us and the ASX once it, together with its associates, acquires a 5% interest in our ordinary shares, at which point the shareholder will be considered to be a “substantial” shareholder. Further, once a shareholder owns (alone or together with associates) a 5% interest in us, such shareholder must notify us and the ASX of any increase or decrease of 1% or more in its holding of our ordinary shares, and must also notify us and the ASX on its ceasing to be a “substantial” shareholder.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Issues of Shares and Change in Capital</w:t>
      </w:r>
    </w:p>
    <w:p>
      <w:pPr>
        <w:spacing w:after="0" w:line="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our Constitution, the Corporations Act, the ASX Listing Rules and any other applicable law, we may at any time issue shares and give any person a call or option over any shares on any terms, with preferential, deferred or other special rights, privileges or conditions or with restrictions and for the consideration and other terms that the directors determine.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w:t>
      </w:r>
    </w:p>
    <w:p>
      <w:pPr>
        <w:spacing w:after="0" w:line="12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Subject to the requirements of our Constitution, the Corporations Act, the ASX Listing Rules and any other applicable law, including relevant shareholder approvals, we may consolidate or divide our share capital into a larger or smaller number by resolution, reduce our share capital in any manner (provided that the reduction is fair</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80"/>
        <w:spacing w:after="0" w:line="275" w:lineRule="auto"/>
        <w:rPr>
          <w:sz w:val="20"/>
          <w:szCs w:val="20"/>
          <w:color w:val="auto"/>
        </w:rPr>
      </w:pPr>
      <w:r>
        <w:rPr>
          <w:rFonts w:ascii="Times New Roman" w:cs="Times New Roman" w:eastAsia="Times New Roman" w:hAnsi="Times New Roman"/>
          <w:sz w:val="18"/>
          <w:szCs w:val="18"/>
          <w:color w:val="auto"/>
        </w:rPr>
        <w:t>and reasonable to our shareholders as a whole, does not materially prejudice our ability to pay creditors and obtains the necessary shareholder approval) or buy back our ordinary shares whether under an equal access buy-back or on a selective basis.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7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Takeovers of listed Australian public companies, including us, are regulated by the Corporations Act, which prohibits the acquisition of a “relevant interest” in issued voting shares in a listed company if the acquisition will lead to that person’s or someone else’s voting power in our company increasing from 20% or below to more than 20% or increasing from a starting point that is above 20% and below 90%, which we refer to as the Takeovers Prohibition, subject to a range of exceptions.</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Generally, a person will have a relevant interest in securities if the person:</w:t>
      </w:r>
    </w:p>
    <w:p>
      <w:pPr>
        <w:spacing w:after="0" w:line="77" w:lineRule="exact"/>
        <w:rPr>
          <w:sz w:val="20"/>
          <w:szCs w:val="20"/>
          <w:color w:val="auto"/>
        </w:rPr>
      </w:pPr>
    </w:p>
    <w:p>
      <w:pPr>
        <w:ind w:left="760" w:hanging="212"/>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holder of the securities (other than if the person holds those securities as a bare trustee);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to exercise, or control the exercise of, a right to vote attached to the securities;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power to dispose of, or control the exercise of a power to dispose of, the securities.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at a particular time,</w:t>
      </w:r>
    </w:p>
    <w:p>
      <w:pPr>
        <w:spacing w:after="0" w:line="77" w:lineRule="exact"/>
        <w:rPr>
          <w:sz w:val="20"/>
          <w:szCs w:val="20"/>
          <w:color w:val="auto"/>
        </w:rPr>
      </w:pPr>
    </w:p>
    <w:p>
      <w:pPr>
        <w:ind w:left="760" w:hanging="212"/>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has a relevant interest in issued securities;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(whether before or after acquiring the relevant interest) has:</w:t>
      </w:r>
    </w:p>
    <w:p>
      <w:pPr>
        <w:spacing w:after="0" w:line="103"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or enters into an agreement with another person with respect to the securities;</w:t>
      </w:r>
    </w:p>
    <w:p>
      <w:pPr>
        <w:spacing w:after="0" w:line="103" w:lineRule="exact"/>
        <w:rPr>
          <w:rFonts w:ascii="Times New Roman" w:cs="Times New Roman" w:eastAsia="Times New Roman" w:hAnsi="Times New Roman"/>
          <w:sz w:val="18"/>
          <w:szCs w:val="18"/>
          <w:color w:val="auto"/>
        </w:rPr>
      </w:pPr>
    </w:p>
    <w:p>
      <w:pPr>
        <w:ind w:left="1540" w:right="340" w:hanging="439"/>
        <w:spacing w:after="0" w:line="325" w:lineRule="auto"/>
        <w:tabs>
          <w:tab w:leader="none" w:pos="154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given or gives another person an enforceable right, or has been or is given an enforceable right by another person, in relation to the securities (whether the right is enforceable presently or in the future and whether or not on the fulfillment of a condition); or</w:t>
      </w:r>
    </w:p>
    <w:p>
      <w:pPr>
        <w:spacing w:after="0" w:line="1" w:lineRule="exact"/>
        <w:rPr>
          <w:rFonts w:ascii="Times New Roman" w:cs="Times New Roman" w:eastAsia="Times New Roman" w:hAnsi="Times New Roman"/>
          <w:sz w:val="16"/>
          <w:szCs w:val="16"/>
          <w:color w:val="auto"/>
        </w:rPr>
      </w:pPr>
    </w:p>
    <w:p>
      <w:pPr>
        <w:ind w:left="1540" w:hanging="439"/>
        <w:spacing w:after="0"/>
        <w:tabs>
          <w:tab w:leader="none" w:pos="15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or grants an option to, or has been or is granted an option by, another person with respect to the securities;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person would have a relevant interest in the securities if the agreement were performed, the right enforced or the option exercised,</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then the other person is taken to have a relevant interest in the relevant securities.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a number of exceptions to the Takeover Prohibition. In general terms, some of the more significant exceptions include:</w:t>
      </w:r>
    </w:p>
    <w:p>
      <w:pPr>
        <w:spacing w:after="0" w:line="77" w:lineRule="exact"/>
        <w:rPr>
          <w:sz w:val="20"/>
          <w:szCs w:val="20"/>
          <w:color w:val="auto"/>
        </w:rPr>
      </w:pPr>
    </w:p>
    <w:p>
      <w:pPr>
        <w:ind w:left="760" w:hanging="212"/>
        <w:spacing w:after="0"/>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acceptance of an offer under a formal takeover bid;</w:t>
      </w:r>
    </w:p>
    <w:p>
      <w:pPr>
        <w:spacing w:after="0" w:line="103"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is conducted on market by or on behalf of the bidder during the bid period for a full takeover bid that is unconditional or only conditional on certain ‘prescribed’ matters set out in the Corporations Act;</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has been previously approved by our shareholders by resolution passed at general meeting;</w:t>
      </w:r>
    </w:p>
    <w:p>
      <w:pPr>
        <w:spacing w:after="0" w:line="103" w:lineRule="exact"/>
        <w:rPr>
          <w:rFonts w:ascii="Times New Roman" w:cs="Times New Roman" w:eastAsia="Times New Roman" w:hAnsi="Times New Roman"/>
          <w:sz w:val="18"/>
          <w:szCs w:val="18"/>
          <w:color w:val="auto"/>
        </w:rPr>
      </w:pPr>
    </w:p>
    <w:p>
      <w:pPr>
        <w:ind w:left="760" w:right="20" w:hanging="212"/>
        <w:spacing w:after="0" w:line="262" w:lineRule="auto"/>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 person if, throughout the six months before the acquisition, that person or any other person has had voting power in our company of at least 19% and, as a result of the acquisition, none of the relevant persons would have voting power in our company more than three percentage points higher than they had six months before the acquisition;</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issue of securities under a rights issue;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issue of securities under a dividend reinvestment scheme or bonus share plan;</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60"/>
          </w:cols>
          <w:pgMar w:left="320" w:top="455" w:right="51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issue of securities under certain underwriting arrangements;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issue of securities through a will or through operation of law;</w:t>
      </w:r>
    </w:p>
    <w:p>
      <w:pPr>
        <w:spacing w:after="0" w:line="103" w:lineRule="exact"/>
        <w:rPr>
          <w:rFonts w:ascii="Times New Roman" w:cs="Times New Roman" w:eastAsia="Times New Roman" w:hAnsi="Times New Roman"/>
          <w:sz w:val="18"/>
          <w:szCs w:val="18"/>
          <w:color w:val="auto"/>
        </w:rPr>
      </w:pPr>
    </w:p>
    <w:p>
      <w:pPr>
        <w:ind w:left="760" w:right="20" w:hanging="212"/>
        <w:spacing w:after="0" w:line="275" w:lineRule="auto"/>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that arises through the acquisition of a relevant interest in another listed company which is listed on a prescribed financial market or a financial market approved by ASIC;</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arising from an auction of forfeited shares conducted on-market;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arising through a compromise, arrangement, liquidation or buy-back.</w:t>
      </w:r>
    </w:p>
    <w:p>
      <w:pPr>
        <w:spacing w:after="0" w:line="185" w:lineRule="exact"/>
        <w:rPr>
          <w:sz w:val="20"/>
          <w:szCs w:val="20"/>
          <w:color w:val="auto"/>
        </w:rPr>
      </w:pPr>
    </w:p>
    <w:p>
      <w:pPr>
        <w:ind w:left="120" w:right="140" w:firstLine="440"/>
        <w:spacing w:after="0" w:line="310" w:lineRule="auto"/>
        <w:rPr>
          <w:sz w:val="20"/>
          <w:szCs w:val="20"/>
          <w:color w:val="auto"/>
        </w:rPr>
      </w:pPr>
      <w:r>
        <w:rPr>
          <w:rFonts w:ascii="Times New Roman" w:cs="Times New Roman" w:eastAsia="Times New Roman" w:hAnsi="Times New Roman"/>
          <w:sz w:val="16"/>
          <w:szCs w:val="16"/>
          <w:color w:val="auto"/>
        </w:rPr>
        <w:t>Breaches of the takeovers provisions of the Corporations Act are criminal offenses. ASIC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 Prohibition provided in the Corporations Act.</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Access to and Inspection of Documents</w:t>
      </w:r>
    </w:p>
    <w:p>
      <w:pPr>
        <w:spacing w:after="0" w:line="79"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Inspection of our records is governed by our Constitution and the Corporations Act. Any member of the Company has the right to inspect or obtain copies of our share register on the payment of a prescribed fee. Our books containing the minutes of general meetings will be kept at our registered office and will be open to inspection of members at all times when the office is required to be open to the public. Other corporate records, including minutes of directors’ meetings, financial records and other documents, are not open for inspection by shareholders (who are not directors). Where a shareholder is acting in good faith and an inspection is deemed to be made for a proper purpose, a shareholder may apply to the court to make an order for inspection of our books.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Name; Formation; Registered Office</w:t>
      </w:r>
    </w:p>
    <w:p>
      <w:pPr>
        <w:spacing w:after="0" w:line="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were incorporated under the laws of Australia in 1984 under the name Circadian Technologies Limited. In 1985, we completed an initial public offering of our ordinary shares and the listing of our ordinary shares on the Australian Securities Exchange, or the ASX. In December 2015, we changed the name of our company to Opthea Limited. Our headquarters and registered offices are located at Suite 0403, Level 4, 650 Chapel Street, South Yarra, VIC 3141, Australia. Our agent for service of process in the United States is Corporation Service Company, located at 1180 Avenue of the Americas, Suite 210, New York, New York 10036. Our website address is www.opthea.com. The reference to our website is an inactive textual reference only and information contained in, or that can be assessed through, our website is not part of this prospectus.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79" w:lineRule="exact"/>
        <w:rPr>
          <w:sz w:val="20"/>
          <w:szCs w:val="20"/>
          <w:color w:val="auto"/>
        </w:rPr>
      </w:pPr>
    </w:p>
    <w:p>
      <w:pPr>
        <w:ind w:left="120" w:right="240" w:firstLine="440"/>
        <w:spacing w:after="0" w:line="275" w:lineRule="auto"/>
        <w:rPr>
          <w:sz w:val="20"/>
          <w:szCs w:val="20"/>
          <w:color w:val="auto"/>
        </w:rPr>
      </w:pPr>
      <w:r>
        <w:rPr>
          <w:rFonts w:ascii="Times New Roman" w:cs="Times New Roman" w:eastAsia="Times New Roman" w:hAnsi="Times New Roman"/>
          <w:sz w:val="18"/>
          <w:szCs w:val="18"/>
          <w:color w:val="auto"/>
        </w:rPr>
        <w:t>We have applied to have the ADSs listed on the Nasdaq Global Select Market under the symbol “OPT.” Our ordinary shares are listed on the ASX under the symbol “OPT.”</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7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the closing of this offering, the transfer agent and registrar for the ADSs will be National Australia Bank Ltd. Computershare Investor Services Pty Limited is our transfer agent and registrar for our ordinary shares and currently maintains our share register for our ordinary shares. The share register reflects only record owners of our ordinary shares. Holders of the ADSs will not be treated as one of our shareholders and their names will therefore not be entered in our share register. The depositary, the custodian or their nominees will be the holder of the shares underlying the ADSs. Holders of the ADSs have a right to receive the ordinary shares underlying their ADSs. See “Description of American Depositary Shares.”</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80"/>
          </w:cols>
          <w:pgMar w:left="320" w:top="455" w:right="49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7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American Depositary Shares, or ADSs. Each ADS will represent eight ordinary Shares (or a right to receive eight ordinary shares) deposited with HSBC Bank Australia Limited, as custodian for the depositary in Australia.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25" w:lineRule="exact"/>
        <w:rPr>
          <w:sz w:val="20"/>
          <w:szCs w:val="20"/>
          <w:color w:val="auto"/>
        </w:rPr>
      </w:pPr>
    </w:p>
    <w:p>
      <w:pPr>
        <w:jc w:val="both"/>
        <w:ind w:left="120" w:firstLine="440"/>
        <w:spacing w:after="0" w:line="293" w:lineRule="auto"/>
        <w:rPr>
          <w:sz w:val="20"/>
          <w:szCs w:val="20"/>
          <w:color w:val="auto"/>
        </w:rPr>
      </w:pPr>
      <w:r>
        <w:rPr>
          <w:rFonts w:ascii="Times New Roman" w:cs="Times New Roman" w:eastAsia="Times New Roman" w:hAnsi="Times New Roman"/>
          <w:sz w:val="16"/>
          <w:szCs w:val="16"/>
          <w:color w:val="auto"/>
        </w:rPr>
        <w:t>In June 2011, we sponsored a Level I American Depositary Receipt, or ADR, facility and filed a registration statement on Form F-6 with the SEC to issue ADSs to requesting holders of our ordinary shares, which ADSs could be traded on the over-the-counter market in the United States. Under this Level I facility, ADSs were issued under an existing deposit agreement with The Bank of New York Mellon as depositary. In connection with this offering, we are amending the terms of the existing ADR facility and the related deposit agreement, including to change the ADS-to-ordinary share ratio from 1-to-5 to 1-to-8, which will take effect prior to the execution of the underwriting agreement for this offering, and have filed a new registration statement on Form F-6 (File No. 333-249327) relating to the existing ADSs and the ADSs offered and sold in this offering as well as the amended and restated deposit agreement.</w:t>
      </w:r>
    </w:p>
    <w:p>
      <w:pPr>
        <w:spacing w:after="0" w:line="9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You may hold ADSs either (A) directly (i) by having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Registered holders of uncertificated ADSs will receive statements from the depositary confirming their holdings.</w:t>
      </w:r>
    </w:p>
    <w:p>
      <w:pPr>
        <w:spacing w:after="0" w:line="15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an ADS holder, we will not treat you as one of our shareholders and you will not have shareholder rights. Australian law governs shareholder rights. The depositary will be the holder of the shares underlying your ADSs. As a registered holder of ADSs, you will have ADS holder rights. The amended and restated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22" w:lineRule="exact"/>
        <w:rPr>
          <w:sz w:val="20"/>
          <w:szCs w:val="20"/>
          <w:color w:val="auto"/>
        </w:rPr>
      </w:pPr>
    </w:p>
    <w:p>
      <w:pPr>
        <w:ind w:left="120" w:right="200" w:firstLine="440"/>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ADR. For directions on how to obtain copies of those documents, see “Where You Can Find More Information.”</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81"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15" w:lineRule="exact"/>
        <w:rPr>
          <w:sz w:val="20"/>
          <w:szCs w:val="20"/>
          <w:color w:val="auto"/>
        </w:rPr>
      </w:pPr>
    </w:p>
    <w:p>
      <w:pPr>
        <w:ind w:left="120" w:right="320" w:firstLine="4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After completion of this offering, we do not expect to declare or pay any cash dividends or cash distributions on our ordinary shares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foreseeable future. The depositary will convert any cash dividend or</w:t>
      </w:r>
    </w:p>
    <w:p>
      <w:pPr>
        <w:spacing w:after="0" w:line="1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240"/>
        <w:spacing w:after="0" w:line="258" w:lineRule="auto"/>
        <w:rPr>
          <w:sz w:val="20"/>
          <w:szCs w:val="20"/>
          <w:color w:val="auto"/>
        </w:rPr>
      </w:pPr>
      <w:r>
        <w:rPr>
          <w:rFonts w:ascii="Times New Roman" w:cs="Times New Roman" w:eastAsia="Times New Roman" w:hAnsi="Times New Roman"/>
          <w:sz w:val="18"/>
          <w:szCs w:val="18"/>
          <w:color w:val="auto"/>
        </w:rPr>
        <w:t>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2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Before making a distribution, any withholding taxes, or other governmental charges that must be paid will be deducted. See “Material United States Federal Income and Australian Tax Considerations.” The depositary will distribute only whole U.S. dollars and cents and will round fractional cents to the nearest whole cent. </w:t>
      </w:r>
      <w:r>
        <w:rPr>
          <w:rFonts w:ascii="Times New Roman" w:cs="Times New Roman" w:eastAsia="Times New Roman" w:hAnsi="Times New Roman"/>
          <w:sz w:val="18"/>
          <w:szCs w:val="18"/>
          <w:i w:val="1"/>
          <w:iCs w:val="1"/>
          <w:color w:val="auto"/>
        </w:rPr>
        <w:t>If the exchange rates fluctuate during a time when the depositary cannot convert the foreign currency, you may lose some of the value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distribution.</w:t>
      </w:r>
    </w:p>
    <w:p>
      <w:pPr>
        <w:spacing w:after="0" w:line="118"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depositary may distribute additional ADSs representing any shares we distribute as a dividend or free distribution. The depositary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20" w:lineRule="exact"/>
        <w:rPr>
          <w:sz w:val="20"/>
          <w:szCs w:val="20"/>
          <w:color w:val="auto"/>
        </w:rPr>
      </w:pPr>
    </w:p>
    <w:p>
      <w:pPr>
        <w:ind w:left="120" w:right="80" w:firstLine="440"/>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Rights to purchase additional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If we offer holders of our securities any rights to subscribe for additional shares or any other rights,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unexercised. </w:t>
      </w:r>
      <w:r>
        <w:rPr>
          <w:rFonts w:ascii="Times New Roman" w:cs="Times New Roman" w:eastAsia="Times New Roman" w:hAnsi="Times New Roman"/>
          <w:sz w:val="16"/>
          <w:szCs w:val="16"/>
          <w:i w:val="1"/>
          <w:iCs w:val="1"/>
          <w:color w:val="auto"/>
        </w:rPr>
        <w:t>In that case, you will receive no value for them.</w:t>
      </w:r>
      <w:r>
        <w:rPr>
          <w:rFonts w:ascii="Times New Roman" w:cs="Times New Roman" w:eastAsia="Times New Roman" w:hAnsi="Times New Roman"/>
          <w:sz w:val="16"/>
          <w:szCs w:val="16"/>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9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Other Distributions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depositary will send to ADS holders anything else we distribute on deposited securities by any means it thinks is legal,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25"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 w:cs="Times New Roman" w:eastAsia="Times New Roman" w:hAnsi="Times New Roman"/>
          <w:sz w:val="18"/>
          <w:szCs w:val="18"/>
          <w:i w:val="1"/>
          <w:iCs w:val="1"/>
          <w:color w:val="auto"/>
        </w:rPr>
        <w:t>This means that you may not receive the distributions we make on our shares 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for them if it is illegal or impractical for us to make them available to you</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81"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deposits shares or evidence of rights to receive shares with the custodian. Upon payment of its fees and expenses and of any taxes or charges, such as stamp</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40"/>
        <w:spacing w:after="0" w:line="275" w:lineRule="auto"/>
        <w:rPr>
          <w:sz w:val="20"/>
          <w:szCs w:val="20"/>
          <w:color w:val="auto"/>
        </w:rPr>
      </w:pPr>
      <w:r>
        <w:rPr>
          <w:rFonts w:ascii="Times New Roman" w:cs="Times New Roman" w:eastAsia="Times New Roman" w:hAnsi="Times New Roman"/>
          <w:sz w:val="18"/>
          <w:szCs w:val="18"/>
          <w:color w:val="auto"/>
        </w:rPr>
        <w:t>taxes or stock transfer taxes or fees, the depositary will register the appropriate number of ADSs in the names you request and will deliver the ADSs to or upon the order of the person or persons that made the deposit.</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8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8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Commonwealth of Australia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 In any event, the depositary will not exercise any discretion in voting deposited securities and it will only vote or attempt to vote as instructed.</w:t>
      </w:r>
    </w:p>
    <w:p>
      <w:pPr>
        <w:spacing w:after="0" w:line="131" w:lineRule="exact"/>
        <w:rPr>
          <w:sz w:val="20"/>
          <w:szCs w:val="20"/>
          <w:color w:val="auto"/>
        </w:rPr>
      </w:pPr>
    </w:p>
    <w:p>
      <w:pPr>
        <w:jc w:val="both"/>
        <w:ind w:left="120" w:right="120" w:firstLine="440"/>
        <w:spacing w:after="0" w:line="310" w:lineRule="auto"/>
        <w:rPr>
          <w:sz w:val="20"/>
          <w:szCs w:val="20"/>
          <w:color w:val="auto"/>
        </w:rPr>
      </w:pPr>
      <w:r>
        <w:rPr>
          <w:rFonts w:ascii="Times New Roman" w:cs="Times New Roman" w:eastAsia="Times New Roman" w:hAnsi="Times New Roman"/>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Times New Roman" w:cs="Times New Roman" w:eastAsia="Times New Roman" w:hAnsi="Times New Roman"/>
          <w:sz w:val="16"/>
          <w:szCs w:val="16"/>
          <w:i w:val="1"/>
          <w:iCs w:val="1"/>
          <w:color w:val="auto"/>
        </w:rPr>
        <w:t>This means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 you may not be able to exercise voting rights and there may be nothing you can do if your shares are not voted as you requested.</w:t>
      </w:r>
    </w:p>
    <w:p>
      <w:pPr>
        <w:spacing w:after="0" w:line="84"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8"/>
          <w:szCs w:val="18"/>
          <w:i w:val="1"/>
          <w:iCs w:val="1"/>
          <w:color w:val="auto"/>
        </w:rPr>
        <w:t>Except by instructing the depositary as described above, you will not be able to exercise voting rights unless you surrender your ADSs and withdraw the shares. However, you may not know about the meeting enough in advance to withdraw the shares.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79"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8"/>
          <w:szCs w:val="18"/>
          <w:color w:val="auto"/>
        </w:rPr>
        <w:t>Pursuant to the terms of the deposit agreement, the persons depositing or withdrawing ordinary shares or holders of ADSs will be required to pay the following fees:</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79"/>
        </w:trPr>
        <w:tc>
          <w:tcPr>
            <w:tcW w:w="70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3"/>
                <w:szCs w:val="13"/>
                <w:b w:val="1"/>
                <w:bCs w:val="1"/>
                <w:color w:val="auto"/>
              </w:rPr>
              <w:t>Persons depositing or withdrawing shares or ADS holders must pay:</w:t>
            </w:r>
          </w:p>
        </w:tc>
        <w:tc>
          <w:tcPr>
            <w:tcW w:w="100" w:type="dxa"/>
            <w:vAlign w:val="bottom"/>
            <w:tcBorders>
              <w:bottom w:val="single" w:sz="8" w:color="CCEEFF"/>
            </w:tcBorders>
          </w:tcPr>
          <w:p>
            <w:pPr>
              <w:spacing w:after="0"/>
              <w:rPr>
                <w:sz w:val="15"/>
                <w:szCs w:val="15"/>
                <w:color w:val="auto"/>
              </w:rPr>
            </w:pPr>
          </w:p>
        </w:tc>
        <w:tc>
          <w:tcPr>
            <w:tcW w:w="38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3"/>
                <w:szCs w:val="13"/>
                <w:b w:val="1"/>
                <w:bCs w:val="1"/>
                <w:color w:val="auto"/>
              </w:rPr>
              <w:t>For:</w:t>
            </w:r>
          </w:p>
        </w:tc>
      </w:tr>
      <w:tr>
        <w:trPr>
          <w:trHeight w:val="195"/>
        </w:trPr>
        <w:tc>
          <w:tcPr>
            <w:tcW w:w="70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US$5.00 (or less) per 100 ADSs (or portion of 100 ADSs)</w:t>
            </w:r>
          </w:p>
        </w:tc>
        <w:tc>
          <w:tcPr>
            <w:tcW w:w="1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Issuance of ADSs, including issuances resulting from</w:t>
            </w:r>
          </w:p>
        </w:tc>
      </w:tr>
      <w:tr>
        <w:trPr>
          <w:trHeight w:val="228"/>
        </w:trPr>
        <w:tc>
          <w:tcPr>
            <w:tcW w:w="706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 distribution of shares or rights or other property</w:t>
            </w:r>
          </w:p>
        </w:tc>
      </w:tr>
      <w:tr>
        <w:trPr>
          <w:trHeight w:val="271"/>
        </w:trPr>
        <w:tc>
          <w:tcPr>
            <w:tcW w:w="706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Cancellation of ADSs for the purpose of withdrawal,</w:t>
            </w:r>
          </w:p>
        </w:tc>
      </w:tr>
      <w:tr>
        <w:trPr>
          <w:trHeight w:val="244"/>
        </w:trPr>
        <w:tc>
          <w:tcPr>
            <w:tcW w:w="7060" w:type="dxa"/>
            <w:vAlign w:val="bottom"/>
            <w:shd w:val="clear" w:color="auto" w:fill="CCEEFF"/>
          </w:tcPr>
          <w:p>
            <w:pPr>
              <w:spacing w:after="0"/>
              <w:rPr>
                <w:sz w:val="21"/>
                <w:szCs w:val="21"/>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including if the deposit agreement terminates</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US$0.05 (or less) per ADS</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Any cash distribution to ADS holders</w:t>
            </w:r>
          </w:p>
        </w:tc>
      </w:tr>
      <w:tr>
        <w:trPr>
          <w:trHeight w:val="202"/>
        </w:trPr>
        <w:tc>
          <w:tcPr>
            <w:tcW w:w="70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7"/>
              </w:rPr>
              <w:t>A fee equivalent to the fee that would be payable if securities distributed to you had been shares and</w:t>
            </w:r>
          </w:p>
        </w:tc>
        <w:tc>
          <w:tcPr>
            <w:tcW w:w="3960" w:type="dxa"/>
            <w:vAlign w:val="bottom"/>
            <w:gridSpan w:val="2"/>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Distribution of securities distributed to holders of</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shares had been deposited for issuance of ADSs</w:t>
            </w: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deposited securities (including rights) that are</w:t>
            </w:r>
          </w:p>
        </w:tc>
      </w:tr>
      <w:tr>
        <w:trPr>
          <w:trHeight w:val="230"/>
        </w:trPr>
        <w:tc>
          <w:tcPr>
            <w:tcW w:w="706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distributed by the depositary to ADS holders</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US$0.05 (or less) per ADS per calendar year</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Depositary services</w:t>
            </w:r>
          </w:p>
        </w:tc>
      </w:tr>
      <w:tr>
        <w:trPr>
          <w:trHeight w:val="202"/>
        </w:trPr>
        <w:tc>
          <w:tcPr>
            <w:tcW w:w="70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Registration or transfer fees</w:t>
            </w:r>
          </w:p>
        </w:tc>
        <w:tc>
          <w:tcPr>
            <w:tcW w:w="3960" w:type="dxa"/>
            <w:vAlign w:val="bottom"/>
            <w:gridSpan w:val="2"/>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Transfer and registration of shares on our share</w:t>
            </w:r>
          </w:p>
        </w:tc>
      </w:tr>
      <w:tr>
        <w:trPr>
          <w:trHeight w:val="216"/>
        </w:trPr>
        <w:tc>
          <w:tcPr>
            <w:tcW w:w="70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register to or from the name of the depositary or its</w:t>
            </w:r>
          </w:p>
        </w:tc>
      </w:tr>
      <w:tr>
        <w:trPr>
          <w:trHeight w:val="230"/>
        </w:trPr>
        <w:tc>
          <w:tcPr>
            <w:tcW w:w="706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agent when you deposit or withdraw shares</w:t>
            </w:r>
          </w:p>
        </w:tc>
      </w:tr>
      <w:tr>
        <w:trPr>
          <w:trHeight w:val="202"/>
        </w:trPr>
        <w:tc>
          <w:tcPr>
            <w:tcW w:w="7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Expenses of the depositary</w:t>
            </w:r>
          </w:p>
        </w:tc>
        <w:tc>
          <w:tcPr>
            <w:tcW w:w="396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color w:val="auto"/>
                <w:w w:val="98"/>
              </w:rPr>
              <w:t>Cable (including SWIFT) and facsimile transmissions</w:t>
            </w:r>
          </w:p>
        </w:tc>
      </w:tr>
      <w:tr>
        <w:trPr>
          <w:trHeight w:val="216"/>
        </w:trPr>
        <w:tc>
          <w:tcPr>
            <w:tcW w:w="70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(when expressly provided in the deposit agreement)</w:t>
            </w:r>
          </w:p>
        </w:tc>
      </w:tr>
      <w:tr>
        <w:trPr>
          <w:trHeight w:val="236"/>
        </w:trPr>
        <w:tc>
          <w:tcPr>
            <w:tcW w:w="706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Converting foreign currency to U.S. dollars</w:t>
            </w:r>
          </w:p>
        </w:tc>
      </w:tr>
      <w:tr>
        <w:trPr>
          <w:trHeight w:val="20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 pay on any ADSs or</w:t>
            </w: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 necessary</w:t>
            </w:r>
          </w:p>
        </w:tc>
      </w:tr>
      <w:tr>
        <w:trPr>
          <w:trHeight w:val="23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underlying ADSs, such as stock transfer taxes, stamp duty or withholding taxes</w:t>
            </w:r>
          </w:p>
        </w:tc>
        <w:tc>
          <w:tcPr>
            <w:tcW w:w="10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r>
      <w:tr>
        <w:trPr>
          <w:trHeight w:val="228"/>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necessary</w:t>
            </w:r>
          </w:p>
        </w:tc>
      </w:tr>
    </w:tbl>
    <w:p>
      <w:pPr>
        <w:spacing w:after="0" w:line="12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27"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60"/>
        <w:spacing w:after="0" w:line="275" w:lineRule="auto"/>
        <w:rPr>
          <w:sz w:val="20"/>
          <w:szCs w:val="20"/>
          <w:color w:val="auto"/>
        </w:rPr>
      </w:pPr>
      <w:r>
        <w:rPr>
          <w:rFonts w:ascii="Times New Roman" w:cs="Times New Roman" w:eastAsia="Times New Roman" w:hAnsi="Times New Roman"/>
          <w:sz w:val="18"/>
          <w:szCs w:val="18"/>
          <w:color w:val="auto"/>
        </w:rPr>
        <w:t>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06"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United States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 Your obligation to pay taxes and indemnify us and the depository against any tax claims will survive the transfer or surrender of your ADSs, the withdrawal of the deposited ordinary shares as well as the termination of the deposit agreement.</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and Exchange Offers; Redemption, Replacement or Cancellation of Deposited Securities</w:t>
      </w:r>
    </w:p>
    <w:p>
      <w:pPr>
        <w:spacing w:after="0" w:line="79"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06" w:lineRule="exact"/>
        <w:rPr>
          <w:sz w:val="20"/>
          <w:szCs w:val="20"/>
          <w:color w:val="auto"/>
        </w:rPr>
      </w:pPr>
    </w:p>
    <w:p>
      <w:pPr>
        <w:jc w:val="both"/>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spacing w:after="0" w:line="275" w:lineRule="auto"/>
        <w:rPr>
          <w:sz w:val="20"/>
          <w:szCs w:val="20"/>
          <w:color w:val="auto"/>
        </w:rPr>
      </w:pPr>
      <w:r>
        <w:rPr>
          <w:rFonts w:ascii="Times New Roman" w:cs="Times New Roman" w:eastAsia="Times New Roman" w:hAnsi="Times New Roman"/>
          <w:sz w:val="18"/>
          <w:szCs w:val="18"/>
          <w:color w:val="auto"/>
        </w:rPr>
        <w:t>securities because those securities could not be distributed to ADS holders or for any other reason, the depositary may instead sell the replacement securities and distribute the net proceeds upon surrender of the ADSs.</w:t>
      </w:r>
    </w:p>
    <w:p>
      <w:pPr>
        <w:spacing w:after="0" w:line="106"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19"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8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 w:cs="Times New Roman" w:eastAsia="Times New Roman" w:hAnsi="Times New Roman"/>
          <w:sz w:val="18"/>
          <w:szCs w:val="18"/>
          <w:i w:val="1"/>
          <w:iCs w:val="1"/>
          <w:color w:val="auto"/>
        </w:rPr>
        <w:t>At the time an amendment becomes effective, you are considered, by continuing to hold your ADSs,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 to the amendment and to be bound by the ADRs and the deposit agreement as amended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81" w:lineRule="exact"/>
        <w:rPr>
          <w:sz w:val="20"/>
          <w:szCs w:val="20"/>
          <w:color w:val="auto"/>
        </w:rPr>
      </w:pPr>
    </w:p>
    <w:p>
      <w:pPr>
        <w:ind w:left="120" w:right="460" w:firstLine="440"/>
        <w:spacing w:after="0" w:line="275" w:lineRule="auto"/>
        <w:rPr>
          <w:sz w:val="20"/>
          <w:szCs w:val="20"/>
          <w:color w:val="auto"/>
        </w:rPr>
      </w:pPr>
      <w:r>
        <w:rPr>
          <w:rFonts w:ascii="Times New Roman" w:cs="Times New Roman" w:eastAsia="Times New Roman" w:hAnsi="Times New Roman"/>
          <w:sz w:val="18"/>
          <w:szCs w:val="18"/>
          <w:color w:val="auto"/>
        </w:rPr>
        <w:t>The depositary will initiate termination of the deposit agreement if we instruct it to do so. The depositary may initiate termination of the deposit agreement if</w:t>
      </w:r>
    </w:p>
    <w:p>
      <w:pPr>
        <w:spacing w:after="0" w:line="25" w:lineRule="exact"/>
        <w:rPr>
          <w:sz w:val="20"/>
          <w:szCs w:val="20"/>
          <w:color w:val="auto"/>
        </w:rPr>
      </w:pPr>
    </w:p>
    <w:p>
      <w:pPr>
        <w:ind w:left="980" w:right="800" w:hanging="216"/>
        <w:spacing w:after="0" w:line="275" w:lineRule="auto"/>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have passed since the depositary told us it wants to resign but a successor depositary has not been appointed and accepted its appointment;</w:t>
      </w:r>
    </w:p>
    <w:p>
      <w:pPr>
        <w:spacing w:after="0" w:line="25" w:lineRule="exact"/>
        <w:rPr>
          <w:rFonts w:ascii="Times New Roman" w:cs="Times New Roman" w:eastAsia="Times New Roman" w:hAnsi="Times New Roman"/>
          <w:sz w:val="18"/>
          <w:szCs w:val="18"/>
          <w:color w:val="auto"/>
        </w:rPr>
      </w:pPr>
    </w:p>
    <w:p>
      <w:pPr>
        <w:ind w:left="980" w:hanging="216"/>
        <w:spacing w:after="0" w:line="275" w:lineRule="auto"/>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25" w:lineRule="exact"/>
        <w:rPr>
          <w:rFonts w:ascii="Times New Roman" w:cs="Times New Roman" w:eastAsia="Times New Roman" w:hAnsi="Times New Roman"/>
          <w:sz w:val="18"/>
          <w:szCs w:val="18"/>
          <w:color w:val="auto"/>
        </w:rPr>
      </w:pPr>
    </w:p>
    <w:p>
      <w:pPr>
        <w:ind w:left="980" w:right="520" w:hanging="216"/>
        <w:spacing w:after="0" w:line="275" w:lineRule="auto"/>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our shares from an exchange outside the United States on which they were listed and do not list the shares on another exchange outside the United States;</w:t>
      </w:r>
    </w:p>
    <w:p>
      <w:pPr>
        <w:spacing w:after="0" w:line="25"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reason to believe the ADSs have become, or will become, ineligible for registration on Form F-6 under the Securities Act;</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appear to be insolvent or enter insolvency proceedings;</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the value of the deposited securities has been distributed either in cash or in the form of securities;</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deposited securities underlying the ADSs or the underlying deposited securities have become apparently worthless; or</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replacement of deposited securities.</w:t>
      </w:r>
    </w:p>
    <w:p>
      <w:pPr>
        <w:spacing w:after="0" w:line="18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22" w:lineRule="exact"/>
        <w:rPr>
          <w:sz w:val="20"/>
          <w:szCs w:val="20"/>
          <w:color w:val="auto"/>
        </w:rPr>
      </w:pPr>
    </w:p>
    <w:p>
      <w:pPr>
        <w:ind w:left="120" w:right="320" w:firstLine="440"/>
        <w:spacing w:after="0" w:line="275" w:lineRule="auto"/>
        <w:rPr>
          <w:sz w:val="20"/>
          <w:szCs w:val="20"/>
          <w:color w:val="auto"/>
        </w:rPr>
      </w:pPr>
      <w:r>
        <w:rPr>
          <w:rFonts w:ascii="Times New Roman" w:cs="Times New Roman" w:eastAsia="Times New Roman" w:hAnsi="Times New Roman"/>
          <w:sz w:val="18"/>
          <w:szCs w:val="18"/>
          <w:color w:val="auto"/>
        </w:rPr>
        <w:t>After the termination date and before the depositary sells, ADS holders can still surrender their ADSs and receive delivery of deposited securities, except that the depositary may refuse to accept a surrender for the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ADSs</w:t>
      </w:r>
    </w:p>
    <w:p>
      <w:pPr>
        <w:spacing w:after="0" w:line="81" w:lineRule="exact"/>
        <w:rPr>
          <w:sz w:val="20"/>
          <w:szCs w:val="20"/>
          <w:color w:val="auto"/>
        </w:rPr>
      </w:pPr>
    </w:p>
    <w:p>
      <w:pPr>
        <w:ind w:left="120" w:right="700" w:firstLine="440"/>
        <w:spacing w:after="0" w:line="275"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106" w:lineRule="exact"/>
        <w:rPr>
          <w:sz w:val="20"/>
          <w:szCs w:val="20"/>
          <w:color w:val="auto"/>
        </w:rPr>
      </w:pPr>
    </w:p>
    <w:p>
      <w:pPr>
        <w:ind w:left="760" w:hanging="212"/>
        <w:spacing w:after="0" w:line="275"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25" w:lineRule="exact"/>
        <w:rPr>
          <w:rFonts w:ascii="Times New Roman" w:cs="Times New Roman" w:eastAsia="Times New Roman" w:hAnsi="Times New Roman"/>
          <w:sz w:val="18"/>
          <w:szCs w:val="18"/>
          <w:color w:val="auto"/>
        </w:rPr>
      </w:pPr>
    </w:p>
    <w:p>
      <w:pPr>
        <w:ind w:left="760" w:right="320" w:hanging="212"/>
        <w:spacing w:after="0" w:line="275"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or it exercises discretion permitted under the deposit agreement;</w:t>
      </w:r>
    </w:p>
    <w:p>
      <w:pPr>
        <w:spacing w:after="0" w:line="103" w:lineRule="exact"/>
        <w:rPr>
          <w:rFonts w:ascii="Times New Roman" w:cs="Times New Roman" w:eastAsia="Times New Roman" w:hAnsi="Times New Roman"/>
          <w:sz w:val="18"/>
          <w:szCs w:val="18"/>
          <w:color w:val="auto"/>
        </w:rPr>
      </w:pPr>
    </w:p>
    <w:p>
      <w:pPr>
        <w:ind w:left="760" w:right="20" w:hanging="212"/>
        <w:spacing w:after="0" w:line="262"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37"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or on behalf of any other person;</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or it believes in good faith to be genuine and to have been signed or presented by the proper person;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acts or omissions of any securities depository, clearing agency or settlement system; and</w:t>
      </w:r>
    </w:p>
    <w:p>
      <w:pPr>
        <w:spacing w:after="0" w:line="103" w:lineRule="exact"/>
        <w:rPr>
          <w:rFonts w:ascii="Times New Roman" w:cs="Times New Roman" w:eastAsia="Times New Roman" w:hAnsi="Times New Roman"/>
          <w:sz w:val="18"/>
          <w:szCs w:val="18"/>
          <w:color w:val="auto"/>
        </w:rPr>
      </w:pPr>
    </w:p>
    <w:p>
      <w:pPr>
        <w:ind w:left="760" w:right="60" w:hanging="212"/>
        <w:spacing w:after="0" w:line="262"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79"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ADSs, make a distribution on ADSs, or permit withdrawal of shares, the depositary may require:</w:t>
      </w:r>
    </w:p>
    <w:p>
      <w:pPr>
        <w:spacing w:after="0" w:line="25" w:lineRule="exact"/>
        <w:rPr>
          <w:sz w:val="20"/>
          <w:szCs w:val="20"/>
          <w:color w:val="auto"/>
        </w:rPr>
      </w:pPr>
    </w:p>
    <w:p>
      <w:pPr>
        <w:ind w:left="760" w:right="180" w:hanging="212"/>
        <w:spacing w:after="0" w:line="275"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shares or other deposited securities;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103" w:lineRule="exact"/>
        <w:rPr>
          <w:rFonts w:ascii="Times New Roman" w:cs="Times New Roman" w:eastAsia="Times New Roman" w:hAnsi="Times New Roman"/>
          <w:sz w:val="18"/>
          <w:szCs w:val="18"/>
          <w:color w:val="auto"/>
        </w:rPr>
      </w:pPr>
    </w:p>
    <w:p>
      <w:pPr>
        <w:ind w:left="760" w:right="740" w:hanging="212"/>
        <w:spacing w:after="0" w:line="275"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106"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ADS holders have the right to cancel their ADSs and withdraw the underlying shares at any time except:</w:t>
      </w:r>
    </w:p>
    <w:p>
      <w:pPr>
        <w:spacing w:after="0" w:line="77" w:lineRule="exact"/>
        <w:rPr>
          <w:sz w:val="20"/>
          <w:szCs w:val="20"/>
          <w:color w:val="auto"/>
        </w:rPr>
      </w:pPr>
    </w:p>
    <w:p>
      <w:pPr>
        <w:ind w:left="760" w:right="460" w:hanging="212"/>
        <w:spacing w:after="0" w:line="275"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103" w:lineRule="exact"/>
        <w:rPr>
          <w:rFonts w:ascii="Times New Roman" w:cs="Times New Roman" w:eastAsia="Times New Roman" w:hAnsi="Times New Roman"/>
          <w:sz w:val="18"/>
          <w:szCs w:val="18"/>
          <w:color w:val="auto"/>
        </w:rPr>
      </w:pPr>
    </w:p>
    <w:p>
      <w:pPr>
        <w:ind w:left="760" w:right="40" w:hanging="212"/>
        <w:spacing w:after="0" w:line="275"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shares or other deposited securities.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5"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w:t>
      </w:r>
    </w:p>
    <w:p>
      <w:pPr>
        <w:spacing w:after="0" w:line="7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22"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color w:val="auto"/>
        </w:rPr>
        <w:t>Each holder of ADSs may be required from time to time to provide certain information, including proof of taxpayer status, residence and beneficial ownership (as applicable), from time to time and in a timely manner as we, the depositary or the custodian may deem necessary or proper to fulfill obligations under applicable law.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7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will not, by agreeing to the terms of the deposit agreement, be deemed to have waived our or the depositary’s compliance with U.S. federal securities laws or the rules and regulations promulgated thereunder.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AND AMERICAN DEPOSITARY SHARES ELIGIBLE FOR FUTURE SALE</w:t>
      </w:r>
    </w:p>
    <w:p>
      <w:pPr>
        <w:spacing w:after="0" w:line="16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Our ordinary shares have been trading on the ASX since 1985, and certain ADSs have been traded on the over-the-counter market in the United States since June 2011 through our existing sponsored Level I ADR facility with The Bank of New York Mellon, as depositary. While we have applied to list the ADSs on Nasdaq, we cannot assure you that an active trading market for the ADSs will develop.</w:t>
      </w:r>
    </w:p>
    <w:p>
      <w:pPr>
        <w:spacing w:after="0" w:line="119" w:lineRule="exact"/>
        <w:rPr>
          <w:sz w:val="20"/>
          <w:szCs w:val="20"/>
          <w:color w:val="auto"/>
        </w:rPr>
      </w:pPr>
    </w:p>
    <w:p>
      <w:pPr>
        <w:ind w:left="120" w:right="100" w:firstLine="440"/>
        <w:spacing w:after="0" w:line="290" w:lineRule="auto"/>
        <w:rPr>
          <w:sz w:val="20"/>
          <w:szCs w:val="20"/>
          <w:color w:val="auto"/>
        </w:rPr>
      </w:pPr>
      <w:r>
        <w:rPr>
          <w:rFonts w:ascii="Times New Roman" w:cs="Times New Roman" w:eastAsia="Times New Roman" w:hAnsi="Times New Roman"/>
          <w:sz w:val="16"/>
          <w:szCs w:val="16"/>
          <w:color w:val="auto"/>
        </w:rPr>
        <w:t>Upon completion of this offering, we will have 9,309,221 ADSs outstanding (including 9,221 ADSs that were outstanding prior to this offering) representing 74,473,468 ordinary shares, or approximately 21.7% of our ordinary shares in issue and outstanding. In addition, we will have 269,084,001 ordinary shares not represented by ADSs in issue and outstanding. If the underwriters exercise their option to purchase 1,395,000 additional ADSs in full, we will have 10,704,221 ADSs outstanding, representing 85,633,768 ordinary shares, or approximately 24.1% of our ordinary shares in issue and outstanding. All of the ADSs sold in this offering will be freely tradable without restrictions or further registration under the Securities Act, except for any ADSs sold to our “affiliates,” as that term is defined under Rule 144 under the Securities Act. The ordinary shares held by existing shareholders are “restricted securities,” as that term is defined in Rule 144 under the Securities Act. Restricted securities may be sold in the United States only if registered with the SEC or if their resale qualifies for exemption from registration described below under Rule 144 or Rule 701 promulgated under the Securities Act.</w:t>
      </w:r>
    </w:p>
    <w:p>
      <w:pPr>
        <w:spacing w:after="0" w:line="9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Future sales of ADSs in the U.S. public market after this offering, and the availability of ADSs for future sale, could adversely affect the market price of the ADSs prevailing from time to time. As described below, a significant number of currently outstanding ordinary shares will not be available for sale shortly after this offering due to contractual restrictions on transfers of ordinary shares and ADSs. However, sales of substantial amounts of ADSs or ordinary shares, or the perception that these sales could occur, could adversely affect prevailing market prices for the ADSs and could impair our future ability to raise equity capital.</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7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6"/>
          <w:szCs w:val="16"/>
          <w:color w:val="auto"/>
        </w:rPr>
        <w:t>In general, a person who has beneficially owned restricted ordinary shares for at least six months would be entitled to sell their securities pursuant to Rule 144 under the Securities Act provided that (1) such person is not deemed to have been one of our affiliates at the time of, or at any time during the</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90 days preceding, a sale and (2) we have been subject to the Exchange Act periodic reporting requirements for at least 90 days before the sale. Persons who have beneficially owned restricted ordinary shares for at least six months, but who are our affiliates at the time of, or at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46" w:lineRule="exact"/>
        <w:rPr>
          <w:sz w:val="20"/>
          <w:szCs w:val="20"/>
          <w:color w:val="auto"/>
        </w:rPr>
      </w:pPr>
    </w:p>
    <w:p>
      <w:pPr>
        <w:ind w:left="760" w:right="700" w:hanging="212"/>
        <w:spacing w:after="0" w:line="275" w:lineRule="auto"/>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number of ordinary shares (including ordinary shares in the form of ADSs) then outstanding, which will equal approximately 3,435,578 ordinary shares immediately after the closing of this offering; and</w:t>
      </w:r>
    </w:p>
    <w:p>
      <w:pPr>
        <w:spacing w:after="0" w:line="25" w:lineRule="exact"/>
        <w:rPr>
          <w:rFonts w:ascii="Times New Roman" w:cs="Times New Roman" w:eastAsia="Times New Roman" w:hAnsi="Times New Roman"/>
          <w:sz w:val="18"/>
          <w:szCs w:val="18"/>
          <w:color w:val="auto"/>
        </w:rPr>
      </w:pPr>
    </w:p>
    <w:p>
      <w:pPr>
        <w:ind w:left="760" w:right="660" w:hanging="212"/>
        <w:spacing w:after="0" w:line="275" w:lineRule="auto"/>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(including ordinary shares in the form of ADSs) during the four calendar weeks preceding the filing of a notice on Form 144 with respect to the sale;</w:t>
      </w:r>
    </w:p>
    <w:p>
      <w:pPr>
        <w:spacing w:after="0" w:line="106"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 Non-affiliate resales of restricted shares under Rule 144 also are subject to the availability of current public information about us until a period of one year has elapsed since the securities were acquired from the issuer or an affiliate of the issuer.</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79"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Rule 701 under the Securities Act permits resales of shares in reliance upon Rule 144 but without compliance with certain restrictions of Rule 144, including the holding period requirement. Most of our employees, senior management or directors who purchased shares under a written compensatory plan or contract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60"/>
        <w:spacing w:after="0" w:line="275" w:lineRule="auto"/>
        <w:rPr>
          <w:sz w:val="20"/>
          <w:szCs w:val="20"/>
          <w:color w:val="auto"/>
        </w:rPr>
      </w:pPr>
      <w:r>
        <w:rPr>
          <w:rFonts w:ascii="Times New Roman" w:cs="Times New Roman" w:eastAsia="Times New Roman" w:hAnsi="Times New Roman"/>
          <w:sz w:val="18"/>
          <w:szCs w:val="18"/>
          <w:color w:val="auto"/>
        </w:rPr>
        <w:t>may be entitled to rely on the resale provisions of Rule 701, but all holders of Rule 701 shares are required to wait until 90 days after the date of this prospectus before selling their shares subject also to Australian law.</w:t>
      </w:r>
    </w:p>
    <w:p>
      <w:pPr>
        <w:spacing w:after="0" w:line="106"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79"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6"/>
          <w:szCs w:val="16"/>
          <w:color w:val="auto"/>
        </w:rPr>
        <w:t>We and our officers and directors have agreed that, without the prior written consent of Citigroup Global Markets Inc. and SVB Leerink LLC, or, collectively, the Representatives, on behalf of the underwriters, we and they will not, during the period ending 90 days after the date of this prospectus</w:t>
      </w:r>
    </w:p>
    <w:p>
      <w:pPr>
        <w:spacing w:after="0" w:line="1" w:lineRule="exact"/>
        <w:rPr>
          <w:sz w:val="20"/>
          <w:szCs w:val="20"/>
          <w:color w:val="auto"/>
        </w:rPr>
      </w:pPr>
    </w:p>
    <w:p>
      <w:pPr>
        <w:ind w:left="120" w:hanging="4"/>
        <w:spacing w:after="0" w:line="252" w:lineRule="auto"/>
        <w:tabs>
          <w:tab w:leader="none" w:pos="33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ADSs or any securities convertible into or exercisable or exchangeable for our ordinary shares or ADSs or (ii) enter into any swap or other arrangement that transfers to another, in whole or in part, any of the economic consequences of ownership of the ordinary shares or ADSs. In addition, we have agreed that, without the prior written consent of the Representatives on behalf of the underwriters, we will not, during the restricted period, file any registration statement with the SEC relating to the offering of any ordinary shares or ADSs or any securities convertible into or exercisable or exchangeable for ordinary shares or ADSs. The restrictions described in this paragraph are subject to certain exceptions. See “Underwriting.”</w:t>
      </w:r>
    </w:p>
    <w:p>
      <w:pPr>
        <w:spacing w:after="0" w:line="127"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ordinary shares, ADSs and other securities subject to the lock-up agreements described above in whole or in part at any time.</w:t>
      </w:r>
    </w:p>
    <w:p>
      <w:pPr>
        <w:spacing w:after="0" w:line="106" w:lineRule="exact"/>
        <w:rPr>
          <w:sz w:val="20"/>
          <w:szCs w:val="20"/>
          <w:color w:val="auto"/>
        </w:rPr>
      </w:pPr>
    </w:p>
    <w:p>
      <w:pPr>
        <w:ind w:left="120" w:right="940" w:firstLine="440"/>
        <w:spacing w:after="0" w:line="262" w:lineRule="auto"/>
        <w:rPr>
          <w:sz w:val="20"/>
          <w:szCs w:val="20"/>
          <w:color w:val="auto"/>
        </w:rPr>
      </w:pPr>
      <w:r>
        <w:rPr>
          <w:rFonts w:ascii="Times New Roman" w:cs="Times New Roman" w:eastAsia="Times New Roman" w:hAnsi="Times New Roman"/>
          <w:sz w:val="18"/>
          <w:szCs w:val="18"/>
          <w:color w:val="auto"/>
        </w:rPr>
        <w:t>We do not currently expect any release of ordinary shares or ADSs subject to lock-up agreements prior to the expiration of the applicable lock-up periods. Upon the expiration of the applicable lock-up periods, substantially all of the ordinary shares and ADSs subject to such lock-up restrictions will become eligible for sale, subject to the limitations described above.</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00"/>
          </w:cols>
          <w:pgMar w:left="320" w:top="455" w:right="57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AND AUSTRALIAN TAX CONSIDERATIONS</w:t>
      </w:r>
    </w:p>
    <w:p>
      <w:pPr>
        <w:spacing w:after="0" w:line="158"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of the material Australian and U.S. federal income tax consequences of an investment in the ADSs or ordinary shares is based upon laws and relevant interpretations thereof in effect as of the date of this prospectus, all of which are subject to change, possibly with retroactive effect. This summary does not deal with all possible tax consequences relating to an investment in the ADSs or ordinary shares, such as the tax consequences under U.S. state, local and other tax laws other than U.S. federal income tax laws and certain Australian tax laws.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describes material United States federal income tax considerations relating to the acquisition, ownership and disposition of our ordinary shares or ADSs by a U.S. holder (as defined below). This summary addresses these tax considerations only for U.S. holders that are initial purchasers of our ordinary shares or ADSs pursuant to this offering and that will hold such ordinary shares or ADSs as capital assets (generally, property held for investment). This summary does not address all U.S. federal income tax matters that may be relevant to a particular U.S. holder. This summary does not address tax considerations applicable to a holder of our ordinary shares or ADSs that may be subject to special tax rules including, without limitation, the following:</w:t>
      </w:r>
    </w:p>
    <w:p>
      <w:pPr>
        <w:spacing w:after="0" w:line="44" w:lineRule="exact"/>
        <w:rPr>
          <w:sz w:val="20"/>
          <w:szCs w:val="20"/>
          <w:color w:val="auto"/>
        </w:rPr>
      </w:pPr>
    </w:p>
    <w:p>
      <w:pPr>
        <w:ind w:left="760" w:hanging="212"/>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currencies, commodities, or notional principal contracts;</w:t>
      </w:r>
    </w:p>
    <w:p>
      <w:pPr>
        <w:spacing w:after="0" w:line="103" w:lineRule="exact"/>
        <w:rPr>
          <w:rFonts w:ascii="Times New Roman" w:cs="Times New Roman" w:eastAsia="Times New Roman" w:hAnsi="Times New Roman"/>
          <w:sz w:val="18"/>
          <w:szCs w:val="18"/>
          <w:color w:val="auto"/>
        </w:rPr>
      </w:pPr>
    </w:p>
    <w:p>
      <w:pPr>
        <w:ind w:left="760" w:right="240" w:hanging="212"/>
        <w:spacing w:after="0" w:line="275"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Code (as defined below), respectively;</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103" w:lineRule="exact"/>
        <w:rPr>
          <w:rFonts w:ascii="Times New Roman" w:cs="Times New Roman" w:eastAsia="Times New Roman" w:hAnsi="Times New Roman"/>
          <w:sz w:val="18"/>
          <w:szCs w:val="18"/>
          <w:color w:val="auto"/>
        </w:rPr>
      </w:pPr>
    </w:p>
    <w:p>
      <w:pPr>
        <w:ind w:left="760" w:right="260" w:hanging="212"/>
        <w:spacing w:after="0" w:line="275"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ordinary shares or ADSs as part of a “hedging,” “integrated,” “wash sale” or “conversion” transaction or as a position in a “straddle” for U.S. federal income tax purposes;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partnerships for U.S. federal income tax purposes;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our ordinary shares or ADSs as compensation;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Section 451(b) of the Code;</w:t>
      </w:r>
    </w:p>
    <w:p>
      <w:pPr>
        <w:spacing w:after="0" w:line="103" w:lineRule="exact"/>
        <w:rPr>
          <w:rFonts w:ascii="Times New Roman" w:cs="Times New Roman" w:eastAsia="Times New Roman" w:hAnsi="Times New Roman"/>
          <w:sz w:val="18"/>
          <w:szCs w:val="18"/>
          <w:color w:val="auto"/>
        </w:rPr>
      </w:pPr>
    </w:p>
    <w:p>
      <w:pPr>
        <w:ind w:left="760" w:right="740" w:hanging="212"/>
        <w:spacing w:after="0" w:line="275"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acquiring our ordinary shares or ADSs in connection with a trade or business conducted outside of the United States, including a permanent establishment or a fixed base in Australia;</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directly, indirectly, or through attribution 10% or more of the voting power or value of our ordinary shares or ADSs;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U.S. dollar.</w:t>
      </w:r>
    </w:p>
    <w:p>
      <w:pPr>
        <w:spacing w:after="0" w:line="185"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8"/>
          <w:szCs w:val="18"/>
          <w:color w:val="auto"/>
        </w:rPr>
        <w:t>Holders of our ordinary shares or ADSs who fall within one of the categories above are advised to consult their tax advisor regarding the specific tax consequences which may apply to their particular situation.</w:t>
      </w:r>
    </w:p>
    <w:p>
      <w:pPr>
        <w:spacing w:after="0" w:line="106"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For the purposes of this description, a “U.S. holder” is a beneficial owner of our ordinary shares or ADSs that is (or is treated as), for U.S. federal income tax purposes:</w:t>
      </w:r>
    </w:p>
    <w:p>
      <w:pPr>
        <w:spacing w:after="0" w:line="25" w:lineRule="exact"/>
        <w:rPr>
          <w:sz w:val="20"/>
          <w:szCs w:val="20"/>
          <w:color w:val="auto"/>
        </w:rPr>
      </w:pPr>
    </w:p>
    <w:p>
      <w:pPr>
        <w:ind w:left="760" w:hanging="212"/>
        <w:spacing w:after="0"/>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03" w:lineRule="exact"/>
        <w:rPr>
          <w:rFonts w:ascii="Times New Roman" w:cs="Times New Roman" w:eastAsia="Times New Roman" w:hAnsi="Times New Roman"/>
          <w:sz w:val="18"/>
          <w:szCs w:val="18"/>
          <w:color w:val="auto"/>
        </w:rPr>
      </w:pPr>
    </w:p>
    <w:p>
      <w:pPr>
        <w:ind w:left="760" w:right="560" w:hanging="212"/>
        <w:spacing w:after="0" w:line="275" w:lineRule="auto"/>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340" w:hanging="212"/>
        <w:spacing w:after="0" w:line="262" w:lineRule="auto"/>
        <w:tabs>
          <w:tab w:leader="none" w:pos="7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its administration and one or more U.S. persons have the authority to control all of the substantial decisions of such trust, or if such trust has a valid election in effect under applicable U.S. Treasury Regulations to be treated as a U.S. person.</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our ordinary shares or ADSs, the tax consequences relating to an investment in our ordinary shares or ADSs will depend in part upon the status of the partner and the activities of the partnership. Such a partner or partnership should consult its tax advisor regarding the specific tax considerations of acquiring, owning and disposing of our ordinary shares or ADSs in its particular circumstances.</w:t>
      </w:r>
    </w:p>
    <w:p>
      <w:pPr>
        <w:spacing w:after="0" w:line="120" w:lineRule="exact"/>
        <w:rPr>
          <w:sz w:val="20"/>
          <w:szCs w:val="20"/>
          <w:color w:val="auto"/>
        </w:rPr>
      </w:pPr>
    </w:p>
    <w:p>
      <w:pPr>
        <w:ind w:left="120" w:right="120" w:firstLine="440"/>
        <w:spacing w:after="0" w:line="264" w:lineRule="auto"/>
        <w:rPr>
          <w:sz w:val="20"/>
          <w:szCs w:val="20"/>
          <w:color w:val="auto"/>
        </w:rPr>
      </w:pPr>
      <w:r>
        <w:rPr>
          <w:rFonts w:ascii="Times New Roman" w:cs="Times New Roman" w:eastAsia="Times New Roman" w:hAnsi="Times New Roman"/>
          <w:sz w:val="18"/>
          <w:szCs w:val="18"/>
          <w:b w:val="1"/>
          <w:bCs w:val="1"/>
          <w:color w:val="auto"/>
        </w:rPr>
        <w:t>Persons considering an investment in our ordinary shares or ADSs should consult their own tax advisors as to the particular tax consequences applicable to them relating to the acquisition, ownership and disposition of our ordinary shares or ADSs, including the applicability of U.S. federal, state and local tax laws, Australian tax laws and other non-U.S. tax laws.</w:t>
      </w:r>
    </w:p>
    <w:p>
      <w:pPr>
        <w:spacing w:after="0" w:line="115" w:lineRule="exact"/>
        <w:rPr>
          <w:sz w:val="20"/>
          <w:szCs w:val="20"/>
          <w:color w:val="auto"/>
        </w:rPr>
      </w:pPr>
    </w:p>
    <w:p>
      <w:pPr>
        <w:ind w:left="120" w:right="400" w:firstLine="440"/>
        <w:spacing w:after="0" w:line="275" w:lineRule="auto"/>
        <w:rPr>
          <w:sz w:val="20"/>
          <w:szCs w:val="20"/>
          <w:color w:val="auto"/>
        </w:rPr>
      </w:pPr>
      <w:r>
        <w:rPr>
          <w:rFonts w:ascii="Times New Roman" w:cs="Times New Roman" w:eastAsia="Times New Roman" w:hAnsi="Times New Roman"/>
          <w:sz w:val="18"/>
          <w:szCs w:val="18"/>
          <w:color w:val="auto"/>
        </w:rPr>
        <w:t>This description does not address the U.S. federal estate, gift, or alternative minimum tax considerations, or any U.S. state, local, or non-U.S. tax considerations of the acquisition, ownership and disposition of our ordinary shares or ADSs.</w:t>
      </w:r>
    </w:p>
    <w:p>
      <w:pPr>
        <w:spacing w:after="0" w:line="10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description is based on the U.S. Internal Revenue Code of 1986, as amended, or the Code, existing, proposed and temporary U.S. Treasury Regulations promulgated thereunder and administrative and judicial interpretations thereof, in each case as in effect and available on the date hereof. All the foregoing is subject to change, which change could apply retroactively, and to differing interpretations, all of which could affect the tax considerations described below. There can be no assurances that the U.S. Internal Revenue Service, or the IRS, will not take a position concerning the tax consequences of the acquisition, ownership and disposition of our ordinary shares or ADSs or that such a position would not be sustained by a court. We have not obtained, nor do we intend to obtain, a ruling with respect to the U.S. federal income tax considerations in the purchase, ownership or disposition of our ordinary shares or ADSs. Accordingly, holders should consult their own tax advisors concerning the U.S. federal, state, local and non-U.S. tax consequences of acquiring, owning and disposing of our ordinary shares or ADSs in their particular circumstances.</w:t>
      </w:r>
    </w:p>
    <w:p>
      <w:pPr>
        <w:spacing w:after="0" w:line="13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In general, and taking into account the earlier assumptions, for U.S. federal income tax purposes, a U.S. holder holding ADSs will be treated as the owner of the ordinary shares represented by the ADSs. Exchanges of ordinary shares for ADSs, and ADSs for ordinary shares, generally will not be subject to U.S. federal income tax.</w:t>
      </w:r>
    </w:p>
    <w:p>
      <w:pPr>
        <w:spacing w:after="0" w:line="115"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United States Federal Income Tax Consequences If We Are Not a PFIC</w:t>
      </w:r>
      <w:r>
        <w:rPr>
          <w:rFonts w:ascii="Times New Roman" w:cs="Times New Roman" w:eastAsia="Times New Roman" w:hAnsi="Times New Roman"/>
          <w:sz w:val="18"/>
          <w:szCs w:val="18"/>
          <w:color w:val="auto"/>
        </w:rPr>
        <w:t>. The description of the U.S. federal income tax consequences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distributions and the sale or other taxable exchange of our ordinary shares or ADSs, described in the following two sections “—Distributions” and “—Sale, Exchange or Other Taxable Disposition,” apply only if we are not a PFIC in the relevant year and our stock is not subject to the rules described above under “—Passive Foreign Investment Company Considerations.”</w:t>
      </w:r>
    </w:p>
    <w:p>
      <w:pPr>
        <w:spacing w:after="0" w:line="11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Distributions</w:t>
      </w:r>
      <w:r>
        <w:rPr>
          <w:rFonts w:ascii="Times New Roman" w:cs="Times New Roman" w:eastAsia="Times New Roman" w:hAnsi="Times New Roman"/>
          <w:sz w:val="18"/>
          <w:szCs w:val="18"/>
          <w:color w:val="auto"/>
        </w:rPr>
        <w:t>. As described above under the heading “—Dividend Policy,” we do not expect to make any distributions in respect of our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or ADSs. Subject to the discussion under “—Passive Foreign Investment Company Considerations,” below, the gross amount of any distribution (including any amounts withheld in respect of foreign tax) actually or constructively received by a U.S. holder with respect to our ordinary shares or ADSs will generally be taxable to the U.S. holder as a dividend to the extent of the U.S. holder’s pro rata share of our current or accumulated earnings and profits as determined under U.S. federal income tax principles. Distributions in excess of earnings and profits will generally be non-taxable to the U.S. holder to the extent of, and will be applied against and reduce, the U.S. holder’s adjusted tax basis in our ordinary shares or ADSs. Distributions in excess of earnings and profits and such adjusted tax basis will generally be taxable to the U.S. holder as either long-term or short-term capital gain depending upon whether the U.S. holder</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85" w:lineRule="auto"/>
        <w:rPr>
          <w:sz w:val="20"/>
          <w:szCs w:val="20"/>
          <w:color w:val="auto"/>
        </w:rPr>
      </w:pPr>
      <w:r>
        <w:rPr>
          <w:rFonts w:ascii="Times New Roman" w:cs="Times New Roman" w:eastAsia="Times New Roman" w:hAnsi="Times New Roman"/>
          <w:sz w:val="16"/>
          <w:szCs w:val="16"/>
          <w:color w:val="auto"/>
        </w:rPr>
        <w:t>has held our ordinary shares or ADSs for more than one year as of the time such distribution is received.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Non-corporate U.S. holders may qualify for the preferential rates of taxation with respect to dividends on our ordinary shares or ADSs applicable to long-term capital gains (i.e., gains from the sale of capital assets held for more than one year) and qualified dividend income (as discussed below) if we are a “qualified foreign corporation” and certain other requirements (discussed below) are met.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ADSs which are readily tradable on an established securities market in the United States. We have applied to list the ADSs on Nasdaq, which is an established securities market in the United States, and we expect the ADSs to be readily tradable on Nasdaq. There can be no assurance that the ADSs will be considered readily tradable on an established securities market in the United States in later years. In addition, the Company, which is incorporated under the laws of Australia, believes that it qualifies as a resident of Australia for purposes of, and is eligible for the benefits of, the Convention between the Government of the United States of America and the Government of Australia for the Avoidance of Double Taxation and the Prevention of Fiscal Evasion with Respect to Taxes on Income, signed on August 6, 1982, as amended and currently in force, or the U.S.-Australia Tax Treaty, although there can be no assurance in this regard. Further, the IRS has determined that the U.S.-Australia Tax Treaty is satisfactory for purposes of the qualified dividend rules and that it includes an exchange-of-information program. Therefore, subject to the discussion under “—Passive Foreign Investment Company Considerations,” below, such dividends will generally be “qualified dividend income” in the hands of individual U.S. holders, provided that a holding period requirement (more than 60 days of ownership, without protection from the risk of loss, during the 121-day period beginning 60 days before the ex-dividend date) and certain other requirements are met. The dividends will not be eligible for the dividends-received deduction generally allowed to corporate U.S. holders.</w:t>
      </w:r>
    </w:p>
    <w:p>
      <w:pPr>
        <w:spacing w:after="0" w:line="200" w:lineRule="exact"/>
        <w:rPr>
          <w:sz w:val="20"/>
          <w:szCs w:val="20"/>
          <w:color w:val="auto"/>
        </w:rPr>
      </w:pPr>
    </w:p>
    <w:p>
      <w:pPr>
        <w:spacing w:after="0" w:line="33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generally may claim the amount of any Australian withholding tax as either a deduction from gross income or a credit against its U.S. federal income tax liability. The foreign tax credit is subject to numerous complex limitations that must be determined and applied on an individual basis. Generally, the credit cannot exceed the proportionate share of a U.S. holder’s U.S. federal income tax liability that such U.S. holder’s taxable income from foreign sources bears to such U.S. holder’s worldwide taxable income. In applying this limitation, a U.S. holder’s various items of income and deduction must be classified, under complex rules, as either “foreign source” or “U.S. source.” This limitation is calculated separately with respect to specific categories of income. The amount of a distribution with respect to the ADSs that is treated as a “dividend” may be lower for U.S. federal income tax purposes than it is for Australian income tax purposes, potentially resulting in a reduced foreign tax credit for the U.S. holder. In addition, the creditability of foreign taxes could be affected by actions taken by intermediaries in the chain of ownership between the holders of our ordinary shares or ADSs and our company if, as a result of such actions, the holders of our ordinary shares or ADSs are not properly treated as beneficial owners of the underlying ordinary shares. Each U.S. holder should consult its own tax advisors regarding the foreign tax credit rules.</w:t>
      </w:r>
    </w:p>
    <w:p>
      <w:pPr>
        <w:spacing w:after="0" w:line="12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general, the amount of a distribution paid to a U.S. holder in a foreign currency will be the U.S. dollar value of the foreign currency calculated by reference to the spot exchange rate on the day the depositary receives the distribution, in the case of the ADSs, or on the day the distribution is received by the U.S. holder, in the case of ordinary shares,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Sale, Exchange or Other Taxable Disposition</w:t>
      </w:r>
      <w:r>
        <w:rPr>
          <w:rFonts w:ascii="Times New Roman" w:cs="Times New Roman" w:eastAsia="Times New Roman" w:hAnsi="Times New Roman"/>
          <w:sz w:val="16"/>
          <w:szCs w:val="16"/>
          <w:color w:val="auto"/>
        </w:rPr>
        <w:t>. A U.S. holder will generally recognize gain or loss for U.S. federal income tax purposes upon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sale, exchange or other taxable disposition of our ordinary shares or ADSs in an amount equal to the difference between the U.S. dollar value of the amount realized from such sale or exchange and the U.S. holder’s adjusted tax basis in those ordinary shares or ADSs, determined in U.S. dollars. Subject to the discussion under “—Passive Foreign Investment Company Considerations” below, this gain or loss will generally be a capital gain or loss. The adjusted tax basis in our ordinary shares or ADSs generally will be equal to the cost of such ordinary shares or ADSs. Capital gain from the sale, exchange or other taxable disposition of our ordinary shares or ADSs by a non-corporate U.S. holder is generally eligible for a preferential rate of taxation applicable to capital gains, if the non-corporate U.S. holder’s holding period determined at the time of such sale, exchange or other taxable disposition for such ordinary shares or ADSs exceeds one year (i.e., such gain is long-term taxable gain). The deductibility of capital losses for U.S. federal income tax purposes is subject to limitations. Any such gain or loss that a U.S. holder recognizes generally will be treated as U.S. source gain or loss for foreign tax credit limitation purposes.</w:t>
      </w:r>
    </w:p>
    <w:p>
      <w:pPr>
        <w:spacing w:after="0" w:line="103"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An accrual basis taxpayer, however, may elect the same treatment required of cash basis taxpayers with respect to purchases and sales of our ordinary shares or ADSs that are traded on an established securities market, provided the election is applied consistently from year to year. Such election may not be changed without the consent of the IRS. For an accrual basis taxpayer who does not make such election, units of foreign currency paid or received are 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121" w:lineRule="exact"/>
        <w:rPr>
          <w:sz w:val="20"/>
          <w:szCs w:val="20"/>
          <w:color w:val="auto"/>
        </w:rPr>
      </w:pPr>
    </w:p>
    <w:p>
      <w:pPr>
        <w:ind w:left="120" w:right="80" w:firstLine="4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Medicare Tax</w:t>
      </w:r>
      <w:r>
        <w:rPr>
          <w:rFonts w:ascii="Times New Roman" w:cs="Times New Roman" w:eastAsia="Times New Roman" w:hAnsi="Times New Roman"/>
          <w:sz w:val="18"/>
          <w:szCs w:val="18"/>
          <w:color w:val="auto"/>
        </w:rPr>
        <w:t>. Certain U.S. holders that are individuals, estates or trusts are subject to a 3.8% tax on all or a portion of their “net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which may include all or a portion of their dividend income and net gains from the disposition of our ordinary shares or ADSs. Each U.S. holder that is an individual, estate or trust is urged to consult its tax advisors regarding the applicability of the Medicare tax to its income and gains in respect of its investment in our ordinary shares or ADSs.</w:t>
      </w:r>
    </w:p>
    <w:p>
      <w:pPr>
        <w:spacing w:after="0" w:line="116" w:lineRule="exact"/>
        <w:rPr>
          <w:sz w:val="20"/>
          <w:szCs w:val="20"/>
          <w:color w:val="auto"/>
        </w:rPr>
      </w:pPr>
    </w:p>
    <w:p>
      <w:pPr>
        <w:jc w:val="both"/>
        <w:ind w:left="120" w:right="260" w:firstLine="4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r>
        <w:rPr>
          <w:rFonts w:ascii="Times New Roman" w:cs="Times New Roman" w:eastAsia="Times New Roman" w:hAnsi="Times New Roman"/>
          <w:sz w:val="18"/>
          <w:szCs w:val="18"/>
          <w:color w:val="auto"/>
        </w:rPr>
        <w:t>. If we are classified as a PFIC in any taxable year, a U.S. holder will be subject to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rules generally intended to reduce or eliminate any benefits from the deferral of U.S. federal income tax that a U.S. holder could derive from investing in a non-U.S. company that does not distribute all of its earnings on a current basis.</w:t>
      </w:r>
    </w:p>
    <w:p>
      <w:pPr>
        <w:spacing w:after="0" w:line="11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classified as a PFIC for U.S. federal income tax purposes in any taxable year in which, after applying certain look-through rules with respect to the income and assets of our subsidiaries, either: (1) at least 75% of the gross income is “passive income” or (2) at least 50% of the average quarterly value of our total gross assets (which would generally be measured by fair market value of our assets, and for which purpose the total value of our assets may be determined in part by the market value of the ADSs and our ordinary shares, which are subject to change) is attributable to assets that produce “passive income” or are held for the production of “passive income.”</w:t>
      </w:r>
    </w:p>
    <w:p>
      <w:pPr>
        <w:spacing w:after="0" w:line="1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or ADSs. If a non-U.S. corporation owns directly or indirectly at least 25% by value of the stock of another corporation or the partnership interests in a partnership, the non-U.S. corporation is treated for purposes of the PFIC tests as owning its proportionate share of the assets of the other corporation or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partnership and as receiving directly its proportionate share of the other corporation’s or partnership’s income. The determination of whether we are a PFIC is a fact-intensive determination made on an annual basis and the applicable law is subject to varying interpretation. If we are classified as a PFIC in any taxable year during which a U.S. holder owns our ordinary shares or ADSs, such U.S. holder will be subject to special tax rules discussed below and could suffer adverse tax consequences.</w:t>
      </w:r>
    </w:p>
    <w:p>
      <w:pPr>
        <w:spacing w:after="0" w:line="12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The market value of our assets may be determined in large part by reference to the market price of the ADSs and our ordinary shares, which is likely to fluctuate after this offering. Therefore, fluctuations in the market price of our ordinary shares or ADSs may result in our being a PFIC for any taxable year. In addition, the composition of our income and assets will be affected by how, and how quickly, we use the cash proceeds from this offering in our business. Whether we are a PFIC for any taxable year will depend on the nature and composition of our income, assets, activities and market capitalization in each year, and because this is a factual determination made annually after the end of each taxable year, there can be no assurance that we will not be considered a PFIC in any taxable year. We believe that we were not characterized as a PFIC in our taxable year ended June 30, 2019. Based on the nature and composition of our income, assets, activities and market capitalization for our taxable year ended June 30, 2020, we believe that we would not be classified as a PFIC for our taxable year ended June 30, 2020; however, there can be no assurance that we will not be considered a PFIC in any past, current or future taxable year. As a result, our PFIC status may change from year to year. Our status as a PFIC will depend on the composition of our income (including whether we receive certain grants or subsidies and whether such amounts will constitute gross income for purposes of the PFIC income test) and the composition and value of our assets, which may be determined in large part by reference to the market value of the ADSs and our ordinary shares, which may be volatile, from time to time. Our status may also depend, in part, on how quickly we utilize the cash proceeds from this offering in our business. Our U.S. counsel expresses no opinion regarding our conclusions or our expectations regarding our PFIC status.</w:t>
      </w:r>
    </w:p>
    <w:p>
      <w:pPr>
        <w:spacing w:after="0" w:line="326" w:lineRule="exact"/>
        <w:rPr>
          <w:sz w:val="20"/>
          <w:szCs w:val="20"/>
          <w:color w:val="auto"/>
        </w:rPr>
      </w:pPr>
    </w:p>
    <w:p>
      <w:pPr>
        <w:ind w:left="120" w:right="60" w:firstLine="440"/>
        <w:spacing w:after="0" w:line="288" w:lineRule="auto"/>
        <w:rPr>
          <w:sz w:val="20"/>
          <w:szCs w:val="20"/>
          <w:color w:val="auto"/>
        </w:rPr>
      </w:pPr>
      <w:r>
        <w:rPr>
          <w:rFonts w:ascii="Times New Roman" w:cs="Times New Roman" w:eastAsia="Times New Roman" w:hAnsi="Times New Roman"/>
          <w:sz w:val="16"/>
          <w:szCs w:val="16"/>
          <w:color w:val="auto"/>
        </w:rPr>
        <w:t>If we are classified as a PFIC in any year with respect to which a U.S. holder owns our ordinary shares or ADSs, we will continue to be treated as a PFIC with respect to such U.S. holder in all succeeding years during which the U.S. holder owns the ordinary shares or ADSs, regardless of whether we continue to meet the tests described above unless we cease to be a PFIC and the U.S. holder has made a “deemed sale” election under the PFIC rules or is eligible to make and makes a mark-to-market election (as described below), with respect to all taxable years during such U.S. holder’s holding period in which we are a PFIC. If the “deemed sale” election is made, a U.S. holder will be deemed to have sold the ordinary shares or ADSs the U.S. holder holds at their fair market value as of the date of such deemed sale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ordinary shares or ADSs. U.S. holders should consult their tax advisors as to the possibility and consequences of making a deemed sale election if such election becomes available.</w:t>
      </w:r>
    </w:p>
    <w:p>
      <w:pPr>
        <w:spacing w:after="0" w:line="10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are a PFIC, and you are a U.S. holder that does not make one of the elections described above (and below in further detail), a special tax regime will apply to both (a) any “excess distribution” by us to you (generally, your ratable portion of distributions in any year, other than the taxable year in which your holding period in the shares or ADSs begins, which are greater than 125% of the average annual distribution received by you in the shorter of the three preceding years or the portion of your holding period for our ordinary shares or ADSs that preceded the year of the distribution) and (b) any gain realized on the sale or other disposition of our ordinary shares or ADSs.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8"/>
          <w:szCs w:val="18"/>
          <w:color w:val="auto"/>
        </w:rPr>
        <w:t>generally applicable to underpayments of tax had been imposed on the taxes deemed to have been payable in those years. In addition, dividend distributions made to you will not qualify for the lower rates of taxation applicable to qualified dividends discussed above under “Distributions.”</w:t>
      </w:r>
    </w:p>
    <w:p>
      <w:pPr>
        <w:spacing w:after="0" w:line="106"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Certain elections may alleviate some of the adverse consequences of PFIC status and would result in an alternative treatment of our ordinary shares or ADSs. If a U.S. holder makes a mark-to-market election, the U.S. holder generally will recognize as ordinary income any excess of the fair market value of our ordinary shares or ADSs at the end of each taxable year over their adjusted tax basis, and will recognize an ordinary loss in respect of any excess of the adjusted tax basis of our ordinary shares or ADSs over their fair market value at the end of the taxable year (but only to the extent of the net amount of income previously included as a result of the mark-to-market election). If a U.S. holder makes the election, the U.S. holder’s tax basis in our ordinary shares or ADSs will be adjusted to reflect these income or loss amounts. Any gain recognized on the sale or other disposition of our ordinary shares or ADSs in a year in which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or ADSs are “regularly traded” on a “qualified exchange.” Our ordinary shares or ADSs will be treated as “regularly traded” in any calendar year in which more than a de minimis quantity of our ordinary shares or ADSs are traded on a qualified exchange on at least 15 days during each calendar quarter (subject to the rule that trades that have as one of their principal purposes the meeting of the trading requirement are disregarded). Nasdaq is a qualified exchange for this purpose and, consequently, if the ADSs are regularly traded, the mark-to-market election will be available to a U.S. holder. It should be noted that it is intended that only the ADSs and not our ordinary shares will be listed on Nasdaq. Consequently, our ordinary shares may not be marketable if the ASX (where our ordinary shares are currently listed) does not meet the applicable requirements. U.S. holders should consult their tax advisors regarding the availability of the mark-to-market election for ordinary shares that are not represented by ADSs.</w:t>
      </w:r>
    </w:p>
    <w:p>
      <w:pPr>
        <w:spacing w:after="0" w:line="3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However, a mark-to-market election generally cannot be made for equity interests in any lower-tier PFICs that we own, unless shares of such lower-tier PFIC are themselves “marketable.”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We do not currently intend to provide the information necessary for U.S. holders to make qualified electing fund elections if we were treated as a PFIC for any taxable year. U.S. holders should consult their tax advisors to determine whether any of the other elections described above would be available and if so, what the consequences of the alternative treatments would be in their particular circumstances.</w:t>
      </w:r>
    </w:p>
    <w:p>
      <w:pPr>
        <w:spacing w:after="0" w:line="119"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If we are determined to be a PFIC, the general tax treatment for U.S. holders described in this section would apply to indirect distributions and gains deemed to be realized by U.S. holders in respect of any of our subsidiaries that also may be determined to be PFICs. U.S. holders should consult their tax advisors regarding the application of the PFIC rules to our subsidiaries.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a U.S. holder owns our ordinary shares or ADSs during any taxable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20"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8"/>
          <w:szCs w:val="18"/>
          <w:b w:val="1"/>
          <w:bCs w:val="1"/>
          <w:color w:val="auto"/>
        </w:rPr>
        <w:t>The U.S. federal income tax rules relating to PFICs are complex. Prospective U.S. investors are urged to consult their own tax advisors with respect to the acquisition, ownership and disposition of our ordinary</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8"/>
          <w:szCs w:val="18"/>
          <w:b w:val="1"/>
          <w:bCs w:val="1"/>
          <w:color w:val="auto"/>
        </w:rPr>
        <w:t>shares or ADSs, the consequences to them of an investment in a PFIC, any elections available with respect to our ordinary shares or ADSs and the IRS information reporting obligations with respect to the acquisition, ownership and disposition of our ordinary shares or ADSs.</w:t>
      </w:r>
    </w:p>
    <w:p>
      <w:pPr>
        <w:spacing w:after="0" w:line="10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 U.S. holders generally will be subject to information reporting requirements with respect to dividends on our ordinary shares or ADSs and on the proceeds from the sale, exchange or disposition of our ordinary shares or ADSs that are paid within the United States or through U.S.-related financial intermediaries, unless the U.S. holder is an “exempt recipient.” In addition, U.S. holders may be subject to backup withholding on such payments, unless the U.S. holder provides a taxpayer identification number and a duly executed IRS</w:t>
      </w:r>
    </w:p>
    <w:p>
      <w:pPr>
        <w:spacing w:after="0" w:line="1" w:lineRule="exact"/>
        <w:rPr>
          <w:sz w:val="20"/>
          <w:szCs w:val="20"/>
          <w:color w:val="auto"/>
        </w:rPr>
      </w:pPr>
    </w:p>
    <w:p>
      <w:pPr>
        <w:ind w:left="120" w:right="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20" w:lineRule="exact"/>
        <w:rPr>
          <w:sz w:val="20"/>
          <w:szCs w:val="20"/>
          <w:color w:val="auto"/>
        </w:rPr>
      </w:pPr>
    </w:p>
    <w:p>
      <w:pPr>
        <w:ind w:left="120" w:right="160" w:firstLine="4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Certain Reporting Requirements With Respect to Payments of Offer Price</w:t>
      </w:r>
      <w:r>
        <w:rPr>
          <w:rFonts w:ascii="Times New Roman" w:cs="Times New Roman" w:eastAsia="Times New Roman" w:hAnsi="Times New Roman"/>
          <w:sz w:val="18"/>
          <w:szCs w:val="18"/>
          <w:color w:val="auto"/>
        </w:rPr>
        <w:t>. U.S. holders paying more than $100,000 for our ordinary shares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ADSs generally may be required to file IRS Form 926 reporting the payment of the offer price for our ordinary shares or ADSs to us. Substantial penalties may be imposed upon a U.S. holder that fails to comply. Each U.S. holder should consult its own tax advisor as to the possible obligation to file IRS Form 926.</w:t>
      </w:r>
    </w:p>
    <w:p>
      <w:pPr>
        <w:spacing w:after="0" w:line="116" w:lineRule="exact"/>
        <w:rPr>
          <w:sz w:val="20"/>
          <w:szCs w:val="20"/>
          <w:color w:val="auto"/>
        </w:rPr>
      </w:pPr>
    </w:p>
    <w:p>
      <w:pPr>
        <w:ind w:left="120" w:right="180" w:firstLine="4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Foreign Asset Reporting</w:t>
      </w:r>
      <w:r>
        <w:rPr>
          <w:rFonts w:ascii="Times New Roman" w:cs="Times New Roman" w:eastAsia="Times New Roman" w:hAnsi="Times New Roman"/>
          <w:sz w:val="18"/>
          <w:szCs w:val="18"/>
          <w:color w:val="auto"/>
        </w:rPr>
        <w:t>. Certain individual U.S. holders are required to report information relating to an interest in our ordinary shares or ADSs,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 or ADSs.</w:t>
      </w:r>
    </w:p>
    <w:p>
      <w:pPr>
        <w:spacing w:after="0" w:line="118" w:lineRule="exact"/>
        <w:rPr>
          <w:sz w:val="20"/>
          <w:szCs w:val="20"/>
          <w:color w:val="auto"/>
        </w:rPr>
      </w:pPr>
    </w:p>
    <w:p>
      <w:pPr>
        <w:ind w:left="120" w:right="180" w:firstLine="440"/>
        <w:spacing w:after="0" w:line="296" w:lineRule="auto"/>
        <w:rPr>
          <w:sz w:val="20"/>
          <w:szCs w:val="20"/>
          <w:color w:val="auto"/>
        </w:rPr>
      </w:pPr>
      <w:r>
        <w:rPr>
          <w:rFonts w:ascii="Times New Roman" w:cs="Times New Roman" w:eastAsia="Times New Roman" w:hAnsi="Times New Roman"/>
          <w:sz w:val="16"/>
          <w:szCs w:val="16"/>
          <w:b w:val="1"/>
          <w:bCs w:val="1"/>
          <w:color w:val="auto"/>
        </w:rPr>
        <w:t>THE DISCUSSION ABOVE IS A SUMMARY OF THE U.S. FEDERAL INCOME TAX CONSEQUENCES OF AN INVESTMENT IN OUR ORDINARY SHARES OR ADSs AND IS BASED UPON LAWS AND RELEVANT INTERPRETATIONS THEREOF IN EFFECT AS OF THE DATE OF THIS PROSPECTUS, ALL OF WHICH ARE SUBJECT TO CHANGE, POSSIBLY WITH RETROACTIVE EFFECT. EACH PROSPECTIVE INVESTOR IS URGED TO CONSULT ITS OWN TAX ADVISOR ABOUT THE TAX CONSEQUENCES TO IT OF AN INVESTMENT IN OUR ORDINARY SHARES OR ADSs IN LIGHT OF THE INVESTOR’S OWN CIRCUMSTANCES.</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Australian Tax Considerations</w:t>
      </w:r>
    </w:p>
    <w:p>
      <w:pPr>
        <w:spacing w:after="0" w:line="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this section, we discuss the material Australian income tax, stamp duty and goods and services tax considerations related to the acquisition, ownership and disposal by the absolute beneficial owners of the ADSs or ordinary shares represented by ADSs. It is based upon existing Australian tax law as of the date of this registration statement, which is subject to change, possibly retrospectively. This discussion does not address all aspects of Australian tax law which may be important to particular investors in light of their individual investment circumstances, such as ADSs or shares held by investors subject to special tax rules (for example, financial institutions, insurance companies or tax exempt organizations). In addition, this summary does not discuss any non-Australian or state tax considerations, other than stamp duty and goods and services tax.</w:t>
      </w:r>
    </w:p>
    <w:p>
      <w:pPr>
        <w:spacing w:after="0" w:line="1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Prospective investors are urged to consult their tax advisors regarding the Australian and non-Australian income and other tax considerations of the acquisition, ownership and disposition of the ADSs or shares. This summary is based upon the premise that the holder of an ADS is not an Australian tax resident and is not carrying on business in Australia through a permanent establishment (referred to as a “Non-Australian Holder” in this summary). This summary is also based on the assumption that a Non-Australian Holder is “absolutely entitled” to the ordinary shares represented by an ADS (see “—Nature of ADSs for Australian Taxation Purposes” below).</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Nature of ADSs for Australian Taxation Purposes</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Non-Australian Holders of ADSs should obtain specialist Australian tax advice regarding their rights and obligations under the deposit agreement with the depositary, including whether the deposit arrangement constitutes a “bare trust” resulting in the holders of an ADS being “absolutely entitled” to the underlying shares represented by the ADS for Australian taxation purposes. Apart from certain aspects of the Australian tax legislation (for example, the Australian capital gains tax and withholding tax provisions, which are discussed below), there is no express legislative basis for disregarding “bare trusts” for Australian tax purposes generally.</w:t>
      </w:r>
    </w:p>
    <w:p>
      <w:pPr>
        <w:spacing w:after="0" w:line="1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summary proceeds on the assumption that the deposit arrangement constitutes a bare trust, which results in holders of ADSs being “absolutely entitled” to the underlying shares. On this basis, holders of ADSs can be treated as the owners of the underlying ordinary shares for Australian capital gains tax purposes. Dividends paid on the underlying ordinary shares will also be treated as dividends derived by the holders of ADSs as the persons presently entitled to those dividends.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8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Australia operates a dividend imputation system under which dividends may be declared to be “franked” to the extent they are paid out of company profits that have been subject to income tax. Fully franked dividends are not subject to dividend withholding tax. To the extent that they are unfranked, dividends payable to Non-Australian Holders will be subject to dividend withholding tax except to the extent they are declared to be “conduit foreign income”, or CFI. Dividend withholding tax will be imposed at 30%, unless a shareholder is a resident of a country with which Australia has a double taxation treaty and qualifies for the benefits of the treaty. Under the provisions of the current Double Taxation Convention between Australia and the United States, the Australian tax withheld on unfranked dividends that are not declared to be CFI paid by us to which a resident of the United States is beneficially entitled is limited to 15%.</w:t>
      </w:r>
    </w:p>
    <w:p>
      <w:pPr>
        <w:spacing w:after="0" w:line="127"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Under the Double Taxation Convention between Australia and the United States, if a U.S. resident company that is a Non-Australian Holder directly owns a 10% or more voting interests, the Australian tax withheld on unfranked dividends that are not declared to be CFI paid by us to which the company is beneficially entitled is limited to 5%.</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Character of ADSs or Shares for Australian Taxation Purposes</w:t>
      </w:r>
    </w:p>
    <w:p>
      <w:pPr>
        <w:spacing w:after="0" w:line="81"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The Australian tax treatment of a sale or disposal of the ADSs or underlying shares will depend on whether they are held on revenue or capital account. ADSs may be held on revenue rather than capital account, for example, where they are held by share traders or any profit arises from a profit-making undertaking or scheme entered into by the holder. Non-Australian Holders of ADSs should obtain specialist Australian tax advice regarding the characterization of any gain or loss on a sale or disposal of the ADSs or underlying shares as revenue or capital in nature.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on Sales or other Dispositions of Shares or ADSs—Capital Gains Tax</w:t>
      </w:r>
    </w:p>
    <w:p>
      <w:pPr>
        <w:spacing w:after="0" w:line="8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Non-Australian Holders who are treated as the owners of the underlying shares on the basis that they are absolutely entitled to those shares will not be subject to Australian capital gains tax on the gain made on a sale or other disposal of ordinary shares, provided the shares are not “taxable Australian property.” Taxable Australian property includes “indirect Australian real property interests,” which are interests in a company where:</w:t>
      </w:r>
    </w:p>
    <w:p>
      <w:pPr>
        <w:spacing w:after="0" w:line="38" w:lineRule="exact"/>
        <w:rPr>
          <w:sz w:val="20"/>
          <w:szCs w:val="20"/>
          <w:color w:val="auto"/>
        </w:rPr>
      </w:pPr>
    </w:p>
    <w:p>
      <w:pPr>
        <w:ind w:left="760" w:right="460" w:hanging="212"/>
        <w:spacing w:after="0" w:line="275" w:lineRule="auto"/>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Non-Australian Holders, together with associates, hold 10% or more of our issued shares, at the time of disposal or for a 12 month period during the two years prior to disposal; and</w:t>
      </w:r>
    </w:p>
    <w:p>
      <w:pPr>
        <w:spacing w:after="0" w:line="25" w:lineRule="exact"/>
        <w:rPr>
          <w:rFonts w:ascii="Times New Roman" w:cs="Times New Roman" w:eastAsia="Times New Roman" w:hAnsi="Times New Roman"/>
          <w:sz w:val="18"/>
          <w:szCs w:val="18"/>
          <w:color w:val="auto"/>
        </w:rPr>
      </w:pPr>
    </w:p>
    <w:p>
      <w:pPr>
        <w:ind w:left="760" w:right="540" w:hanging="212"/>
        <w:spacing w:after="0" w:line="275" w:lineRule="auto"/>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held directly or indirectly, determined by reference to market value, consists of Australian real property (which includes land and leasehold interests) or Australian mining, quarrying or prospecting rights at the time of disposal.</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Australian capital gains tax applies to net capital gains at a taxpayer’s marginal tax rates. Net capital gains are calculated after reduction for capital losses, which may only be offset against capital gains.</w:t>
      </w:r>
    </w:p>
    <w:p>
      <w:pPr>
        <w:spacing w:after="0" w:line="106"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color w:val="auto"/>
        </w:rPr>
        <w:t>If a Non-Australian Holder of ADSs was not absolutely entitled to the underlying shares, and the ADSs were held on capital account, the same principles would apply in determining whether a gain on the sale or disposal of the ADSs would be subject to Australian capital gains tax. That is, a Non-Australian Holder should not be subject to Australian capital gains tax provided the ADSs are not taxable Australian property.</w:t>
      </w:r>
    </w:p>
    <w:p>
      <w:pPr>
        <w:spacing w:after="0" w:line="119" w:lineRule="exact"/>
        <w:rPr>
          <w:sz w:val="20"/>
          <w:szCs w:val="20"/>
          <w:color w:val="auto"/>
        </w:rPr>
      </w:pPr>
    </w:p>
    <w:p>
      <w:pPr>
        <w:ind w:left="120" w:right="460" w:firstLine="440"/>
        <w:spacing w:after="0" w:line="275" w:lineRule="auto"/>
        <w:rPr>
          <w:sz w:val="20"/>
          <w:szCs w:val="20"/>
          <w:color w:val="auto"/>
        </w:rPr>
      </w:pPr>
      <w:r>
        <w:rPr>
          <w:rFonts w:ascii="Times New Roman" w:cs="Times New Roman" w:eastAsia="Times New Roman" w:hAnsi="Times New Roman"/>
          <w:sz w:val="18"/>
          <w:szCs w:val="18"/>
          <w:color w:val="auto"/>
        </w:rPr>
        <w:t>The 50% capital gains tax discount is not available to Non-Australian Holders on gains from assets acquired after May 8, 2012 where they were non-Australian residents during the entire holding period. Companies are not entitled to a capital gains tax discount.</w:t>
      </w:r>
    </w:p>
    <w:p>
      <w:pPr>
        <w:spacing w:after="0" w:line="10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Broadly, where there is a disposal of “taxable Australian property,” which includes indirect Australian real property interests, the purchaser will be required to withhold and remit to the Australian Taxation Office, or the ATO, 12.5% of the proceeds from the sale. A transaction is excluded from the withholding requirements in certain circumstances, including where the transaction is an on-market transaction conducted on an approved stock exchange, a securities lending arrangement, or the transaction is conducted using a broker operated crossing system. There may also be an 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on Sales or other Dispositions of ADSs—Revenue Account</w:t>
      </w:r>
    </w:p>
    <w:p>
      <w:pPr>
        <w:spacing w:after="0" w:line="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Non-Australian Holders who hold their ADSs on revenue account may have the gains made on the sale or other disposal of the ADSs included in their assessable income under the ordinary income provisions of the income tax law, if the gains are sourced in Australia. In the case of gains which are ordinary income, there are no express provisions which treat holders of ADSs as the owners of the underlying shares where they are absolutely entitled to those shares under a bare trust.</w:t>
      </w:r>
    </w:p>
    <w:p>
      <w:pPr>
        <w:spacing w:after="0" w:line="12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Non-Australian Holders assessable under these ordinary income provisions in respect of gains made on ADSs held on revenue account would be assessed for such gains at the Australian tax rates for non-Australian residents, which start at a marginal rate of 32.5% for individuals and would be required to file an Australian tax return. Some relief from Australian income tax may be available to a Non-Australian Holder who is resident of a country with which Australia has a double taxation treaty, qualifies for the benefits of the treaty and does not, for example, derive the gain in carrying on business through a permanent establishment in Australia.</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the extent an amount would be included in a Non-Australian Holder’s assessable income under both the capital gains tax provisions and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ordinary income provisions, the capital gain amount may be reduced, so that the holder may not be subject to double Australian tax on any part of the gain.</w:t>
      </w:r>
    </w:p>
    <w:p>
      <w:pPr>
        <w:spacing w:after="0" w:line="168"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The statements under “—Tax on Sales or Other Dispositions of Shares—Capital Gains Tax” regarding a purchaser being required to withhold 12.5% tax on the acquisition of certain taxable Australian property are also relevant where the disposal of the ADSs by a Non-Australian Holder is likely to generate gains on revenue account, rather than a capital gain.</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Dual Residency</w:t>
      </w:r>
    </w:p>
    <w:p>
      <w:pPr>
        <w:spacing w:after="0" w:line="8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a holder of ADSs is a resident of both Australia and the United States under those countries’ domestic taxation laws, that holder may be subject to tax as an Australian resident. If, however, the holder is determined to be a U.S. resident for the purposes of the Double Taxation Convention between the United States and Australia and qualifies for the benefit of that treaty, the Australian tax may be subject to limitation by the Double Taxation Convention. Holders should obtain specialist taxation advice in these circumstances.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81" w:lineRule="exact"/>
        <w:rPr>
          <w:sz w:val="20"/>
          <w:szCs w:val="20"/>
          <w:color w:val="auto"/>
        </w:rPr>
      </w:pPr>
    </w:p>
    <w:p>
      <w:pPr>
        <w:ind w:left="120" w:right="580" w:firstLine="440"/>
        <w:spacing w:after="0" w:line="275" w:lineRule="auto"/>
        <w:rPr>
          <w:sz w:val="20"/>
          <w:szCs w:val="20"/>
          <w:color w:val="auto"/>
        </w:rPr>
      </w:pPr>
      <w:r>
        <w:rPr>
          <w:rFonts w:ascii="Times New Roman" w:cs="Times New Roman" w:eastAsia="Times New Roman" w:hAnsi="Times New Roman"/>
          <w:sz w:val="18"/>
          <w:szCs w:val="18"/>
          <w:color w:val="auto"/>
        </w:rPr>
        <w:t>No Australian stamp duty is payable by Australian residents or non-Australian residents on the issue, transfer and/or surrender of the ADSs or ordinary shares, provided that the securities issued, transferred and/or surrendered do not represent 90% or more of our issued shares.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Australian Death Duty</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Australia does not have estate or death duties. As a general rule, no capital gains tax liability is realized upon the inheritance of a deceased person’s shares. The disposal of inherited shares by beneficiaries may, however, give rise to a capital gains tax liability if the gain falls within the scope of Australia’s jurisdiction to tax.</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Australian goods and services tax will be payable on the supply of the ADSs or ordinary shares.</w:t>
      </w:r>
    </w:p>
    <w:p>
      <w:pPr>
        <w:spacing w:after="0" w:line="156"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THE DISCUSSION ABOVE IS A SUMMARY OF THE AUSTRALIAN TAX CONSEQUENCES OF AN INVESTMENT IN OUR ORDINARY SHARES OR ADSs AND IS BASED UPON LAWS AND RELEVANT INTERPRETATIONS THEREOF IN EFFECT AS OF THE DATE OF THIS PROSPECTUS, ALL OF WHICH ARE SUBJECT TO CHANGE, POSSIBLY WITH RETROACTIVE EFFECT. EACH PROSPECTIVE INVESTOR IS URGED TO CONSULT ITS OWN TAX ADVISOR ABOUT THE TAX CONSEQUENCES TO IT OF AN INVESTMENT IN OUR ORDINARY SHARES OR ADSs IN LIGHT OF THE INVESTOR’S OWN CIRCUMSTANCES.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160" w:lineRule="exact"/>
        <w:rPr>
          <w:sz w:val="20"/>
          <w:szCs w:val="20"/>
          <w:color w:val="auto"/>
        </w:rPr>
      </w:pPr>
    </w:p>
    <w:p>
      <w:pPr>
        <w:ind w:left="120" w:right="640" w:firstLine="440"/>
        <w:spacing w:after="0" w:line="275" w:lineRule="auto"/>
        <w:rPr>
          <w:sz w:val="20"/>
          <w:szCs w:val="20"/>
          <w:color w:val="auto"/>
        </w:rPr>
      </w:pPr>
      <w:r>
        <w:rPr>
          <w:rFonts w:ascii="Times New Roman" w:cs="Times New Roman" w:eastAsia="Times New Roman" w:hAnsi="Times New Roman"/>
          <w:sz w:val="18"/>
          <w:szCs w:val="18"/>
          <w:color w:val="auto"/>
        </w:rPr>
        <w:t>We are a public limited company incorporated under the laws of Australia. Certain of our directors are non-residents of the United States and substantially all of their assets are located outside the United States. As a result, it may not be possible or practicable for you to:</w:t>
      </w:r>
    </w:p>
    <w:p>
      <w:pPr>
        <w:spacing w:after="0" w:line="25" w:lineRule="exact"/>
        <w:rPr>
          <w:sz w:val="20"/>
          <w:szCs w:val="20"/>
          <w:color w:val="auto"/>
        </w:rPr>
      </w:pPr>
    </w:p>
    <w:p>
      <w:pPr>
        <w:ind w:left="760" w:hanging="212"/>
        <w:spacing w:after="0"/>
        <w:tabs>
          <w:tab w:leader="none" w:pos="7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service of process within the United States upon our non-U.S. resident directors or on us;</w:t>
      </w:r>
    </w:p>
    <w:p>
      <w:pPr>
        <w:spacing w:after="0" w:line="103" w:lineRule="exact"/>
        <w:rPr>
          <w:rFonts w:ascii="Times New Roman" w:cs="Times New Roman" w:eastAsia="Times New Roman" w:hAnsi="Times New Roman"/>
          <w:sz w:val="18"/>
          <w:szCs w:val="18"/>
          <w:color w:val="auto"/>
        </w:rPr>
      </w:pPr>
    </w:p>
    <w:p>
      <w:pPr>
        <w:ind w:left="760" w:right="100" w:hanging="212"/>
        <w:spacing w:after="0" w:line="275" w:lineRule="auto"/>
        <w:tabs>
          <w:tab w:leader="none" w:pos="7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the United States courts in any action, including actions under the civil liability provisions of U.S. securities laws;</w:t>
      </w:r>
    </w:p>
    <w:p>
      <w:pPr>
        <w:spacing w:after="0" w:line="25" w:lineRule="exact"/>
        <w:rPr>
          <w:rFonts w:ascii="Times New Roman" w:cs="Times New Roman" w:eastAsia="Times New Roman" w:hAnsi="Times New Roman"/>
          <w:sz w:val="18"/>
          <w:szCs w:val="18"/>
          <w:color w:val="auto"/>
        </w:rPr>
      </w:pPr>
    </w:p>
    <w:p>
      <w:pPr>
        <w:ind w:left="760" w:right="200" w:hanging="212"/>
        <w:spacing w:after="0" w:line="275" w:lineRule="auto"/>
        <w:tabs>
          <w:tab w:leader="none" w:pos="7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courts of jurisdictions outside the United States in any action, including actions under the civil liability provisions of U.S. securities laws; or</w:t>
      </w:r>
    </w:p>
    <w:p>
      <w:pPr>
        <w:spacing w:after="0" w:line="25" w:lineRule="exact"/>
        <w:rPr>
          <w:rFonts w:ascii="Times New Roman" w:cs="Times New Roman" w:eastAsia="Times New Roman" w:hAnsi="Times New Roman"/>
          <w:sz w:val="18"/>
          <w:szCs w:val="18"/>
          <w:color w:val="auto"/>
        </w:rPr>
      </w:pPr>
    </w:p>
    <w:p>
      <w:pPr>
        <w:ind w:left="760" w:right="160" w:hanging="212"/>
        <w:spacing w:after="0" w:line="275" w:lineRule="auto"/>
        <w:tabs>
          <w:tab w:leader="none" w:pos="7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an original action in an Australian court to enforce liabilities against our non-U.S. resident directors or us based solely upon U.S. securities laws.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You may also have difficulties enforcing in courts outside the United States judgments that are obtained in U.S. courts against any of our non-U.S.</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resident directors or us, including actions under the civil liability provisions of the U.S. securities laws.</w:t>
      </w:r>
    </w:p>
    <w:p>
      <w:pPr>
        <w:spacing w:after="0" w:line="14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With that noted, 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 The disclosure in this section is not based on the opinion of counsel.</w:t>
      </w:r>
    </w:p>
    <w:p>
      <w:pPr>
        <w:spacing w:after="0" w:line="119"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We have appointed Corporation Service Company as our agent to receive service of process with respect to any action brought against us under the federal securities laws of the United States.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0"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Citigroup Global Markets Inc. and SVB Leerink LLC are acting as book-running managers of this offering and as representatives of the underwriters named below. Subject to the terms and conditions stated in the underwriting agreement dated the date of this prospectus, the underwriters named below have severally agreed to purchase, and we have agreed to sell to them, the number of ADSs indicated below:</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Underwriter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0" w:type="dxa"/>
            <w:vAlign w:val="bottom"/>
          </w:tcPr>
          <w:p>
            <w:pPr>
              <w:spacing w:after="0"/>
              <w:rPr>
                <w:sz w:val="1"/>
                <w:szCs w:val="1"/>
                <w:color w:val="auto"/>
              </w:rPr>
            </w:pPr>
          </w:p>
        </w:tc>
      </w:tr>
      <w:tr>
        <w:trPr>
          <w:trHeight w:val="152"/>
        </w:trPr>
        <w:tc>
          <w:tcPr>
            <w:tcW w:w="10020" w:type="dxa"/>
            <w:vAlign w:val="bottom"/>
            <w:gridSpan w:val="2"/>
            <w:vMerge w:val="continue"/>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ADSs</w:t>
            </w: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9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Citigroup Global Markets Inc.</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SVB Leerink LLC</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ADSs included in this offering are subject to approval of legal matters by counsel and to other conditions. The underwriters are obligated to purchase all of the ADSs (other than those covered by the over-allotment option described below) if they purchase any.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ADSs sold by the underwriters to the public will initially be offered at the initial public offering price set forth on the cover of this prospectus. Any</w:t>
      </w:r>
    </w:p>
    <w:p>
      <w:pPr>
        <w:spacing w:after="0" w:line="44"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ADSs sold by the underwriters to securities dealers may be sold at a discount from the initial public offering price not to exceed $ per ADS. After the initial public offering of the ADSs, if all the ADSs are not sold at the initial public offering price, the underwriters may change the offering price and the other selling terms. The representatives have advised us that the underwriters do not intend to make sales to discretionary accounts.</w:t>
      </w:r>
    </w:p>
    <w:p>
      <w:pPr>
        <w:spacing w:after="0" w:line="124"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The address of Citigroup Global Markets Inc. is 390 Greenwich Street, New York, New York 10013, the address of SVB Leerink LLC is One Federal Street, 37th Floor, Boston, Massachusetts 02110, the address of Oppenheimer &amp; Co. Inc. is 85 Broad Street, 26th Floor, New York, New York 10004, and the address of Truist Securities, Inc. is 3333 Peachtree Road NE, 9th floor, Atlanta, Georgia 30326.</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the underwriters sell more ADSs than the total number set forth in the table above, we have granted to the underwriters an option, exercisable for 30 days from the date of this prospectus, to purchase up to 1,395,000 additional ADSs at the initial public offering price less the underwriting discount. The underwriters may exercise the option solely for the purpose of covering over-allotments, if any, in connection with this offering. To the extent the option is exercised, each underwriter must purchase a number of additional ADSs approximately proportionate to that underwriter’s initial purchase commitment set forth in the table above. Any ADSs issued or sold under the option will be issued and sold on the same terms and conditions as the other ADSs that are the subject of this offering.</w:t>
      </w:r>
    </w:p>
    <w:p>
      <w:pPr>
        <w:spacing w:after="0" w:line="1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and our officers and directors have agreed that, subject to specified limited exceptions, for a period of 90 days from the date of this prospectus, we and they will not, without the prior written consent of Citigroup Global Markets Inc. and SVB Leerink LLC, offer, sell, contract to sell, pledge or otherwise dispose of, including the filing of a registration statement in respect of, or hedge any ordinary shares or ADSs or any securities convertible into, or exercisable or exchangeable for, our ordinary shares or ADSs, collectively referred to as lock-up securities. Citigroup Global Markets Inc. and SVB Leerink LLC in their sole discretion may release any of the securities subject to these lock-up agreements at any time, which, in the case of officers and directors, shall be with notice.</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The lock-up restrictions relating to our officers and directors described in the immediately preceding paragraph are subject to specified exceptions, including the following:</w:t>
      </w:r>
    </w:p>
    <w:p>
      <w:pPr>
        <w:spacing w:after="0" w:line="25" w:lineRule="exact"/>
        <w:rPr>
          <w:sz w:val="20"/>
          <w:szCs w:val="20"/>
          <w:color w:val="auto"/>
        </w:rPr>
      </w:pPr>
    </w:p>
    <w:p>
      <w:pPr>
        <w:ind w:left="1320" w:right="80" w:hanging="435"/>
        <w:spacing w:after="0" w:line="310" w:lineRule="auto"/>
        <w:tabs>
          <w:tab w:leader="none" w:pos="13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lock-up securities (i) as a bona fide gift or gifts, (ii) by will, other testamentary document or intestacy or (iii) to any immediate family member of the lock-up party or to any trust or other legal entity for the benefit of the lock-up party or immediate family of the lock-up party, or if the lock-up party is a trust, to a trustor or beneficiary of the trust or to the estate of a beneficiary of such trust,</w:t>
      </w:r>
    </w:p>
    <w:p>
      <w:pPr>
        <w:spacing w:after="0" w:line="2" w:lineRule="exact"/>
        <w:rPr>
          <w:rFonts w:ascii="Times New Roman" w:cs="Times New Roman" w:eastAsia="Times New Roman" w:hAnsi="Times New Roman"/>
          <w:sz w:val="16"/>
          <w:szCs w:val="16"/>
          <w:color w:val="auto"/>
        </w:rPr>
      </w:pPr>
    </w:p>
    <w:p>
      <w:pPr>
        <w:ind w:left="1320" w:right="380" w:hanging="435"/>
        <w:spacing w:after="0" w:line="275" w:lineRule="auto"/>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to a partnership, limited liability company or other entity of which lock-up party and the lock-up party’s immediate family are the legal and beneficial owner of all of the outstanding equity securities or similar interests;</w:t>
      </w:r>
    </w:p>
    <w:p>
      <w:pPr>
        <w:spacing w:after="0" w:line="25" w:lineRule="exact"/>
        <w:rPr>
          <w:rFonts w:ascii="Times New Roman" w:cs="Times New Roman" w:eastAsia="Times New Roman" w:hAnsi="Times New Roman"/>
          <w:sz w:val="18"/>
          <w:szCs w:val="18"/>
          <w:color w:val="auto"/>
        </w:rPr>
      </w:pPr>
    </w:p>
    <w:p>
      <w:pPr>
        <w:ind w:left="1320" w:right="480" w:hanging="435"/>
        <w:spacing w:after="0" w:line="275" w:lineRule="auto"/>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to a corporation, member, partner, partnership, limited liability company, trust or other entity that is an affiliate of the lock-up party;</w:t>
      </w:r>
    </w:p>
    <w:p>
      <w:pPr>
        <w:spacing w:after="0" w:line="25" w:lineRule="exact"/>
        <w:rPr>
          <w:rFonts w:ascii="Times New Roman" w:cs="Times New Roman" w:eastAsia="Times New Roman" w:hAnsi="Times New Roman"/>
          <w:sz w:val="18"/>
          <w:szCs w:val="18"/>
          <w:color w:val="auto"/>
        </w:rPr>
      </w:pPr>
    </w:p>
    <w:p>
      <w:pPr>
        <w:ind w:left="1320" w:right="120" w:hanging="435"/>
        <w:spacing w:after="0" w:line="325" w:lineRule="auto"/>
        <w:tabs>
          <w:tab w:leader="none" w:pos="13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lock-up securities to any investment fund or other entity controlled or managed by the lock-up party or its affiliates (including where the lock-up party is a partnership, to a successor partnership or fund, or any other funds managed by such partnership);</w:t>
      </w:r>
    </w:p>
    <w:p>
      <w:pPr>
        <w:spacing w:after="0" w:line="1" w:lineRule="exact"/>
        <w:rPr>
          <w:rFonts w:ascii="Times New Roman" w:cs="Times New Roman" w:eastAsia="Times New Roman" w:hAnsi="Times New Roman"/>
          <w:sz w:val="16"/>
          <w:szCs w:val="16"/>
          <w:color w:val="auto"/>
        </w:rPr>
      </w:pPr>
    </w:p>
    <w:p>
      <w:pPr>
        <w:ind w:left="1320" w:right="500" w:hanging="435"/>
        <w:spacing w:after="0" w:line="275" w:lineRule="auto"/>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to a nominee or custodian of a person or entity to whom a disposition or transfer would be permissible above;</w:t>
      </w:r>
    </w:p>
    <w:p>
      <w:pPr>
        <w:spacing w:after="0" w:line="25" w:lineRule="exact"/>
        <w:rPr>
          <w:rFonts w:ascii="Times New Roman" w:cs="Times New Roman" w:eastAsia="Times New Roman" w:hAnsi="Times New Roman"/>
          <w:sz w:val="18"/>
          <w:szCs w:val="18"/>
          <w:color w:val="auto"/>
        </w:rPr>
      </w:pPr>
    </w:p>
    <w:p>
      <w:pPr>
        <w:ind w:left="1320" w:right="120" w:hanging="435"/>
        <w:spacing w:after="0" w:line="275" w:lineRule="auto"/>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by operation of law, pursuant to a qualified domestic order, divorce settlement, divorce decree or separation agreement or other final court order;</w:t>
      </w:r>
    </w:p>
    <w:p>
      <w:pPr>
        <w:spacing w:after="0" w:line="25"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to us upon death, disability, termination of employment or cessation of services;</w:t>
      </w:r>
    </w:p>
    <w:p>
      <w:pPr>
        <w:spacing w:after="0" w:line="76"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acquired in open market transactions after the closing of this offering;</w:t>
      </w:r>
    </w:p>
    <w:p>
      <w:pPr>
        <w:spacing w:after="0" w:line="76" w:lineRule="exact"/>
        <w:rPr>
          <w:rFonts w:ascii="Times New Roman" w:cs="Times New Roman" w:eastAsia="Times New Roman" w:hAnsi="Times New Roman"/>
          <w:sz w:val="18"/>
          <w:szCs w:val="18"/>
          <w:color w:val="auto"/>
        </w:rPr>
      </w:pPr>
    </w:p>
    <w:p>
      <w:pPr>
        <w:ind w:left="1320" w:right="160" w:hanging="435"/>
        <w:spacing w:after="0" w:line="310" w:lineRule="auto"/>
        <w:tabs>
          <w:tab w:leader="none" w:pos="13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ordinary shares or ADSs to us in connection with the vesting, settlement, or exercise of options and other equity awards to purchase ordinary shares or ADSs (including, in each case, by way of “net” or “cashless” exercise), including for the payment of exercise price and tax withholdings or remittance payments due as a result of the vesting, settlement, or exercise of such equity awards;</w:t>
      </w:r>
    </w:p>
    <w:p>
      <w:pPr>
        <w:spacing w:after="0" w:line="2" w:lineRule="exact"/>
        <w:rPr>
          <w:rFonts w:ascii="Times New Roman" w:cs="Times New Roman" w:eastAsia="Times New Roman" w:hAnsi="Times New Roman"/>
          <w:sz w:val="16"/>
          <w:szCs w:val="16"/>
          <w:color w:val="auto"/>
        </w:rPr>
      </w:pPr>
    </w:p>
    <w:p>
      <w:pPr>
        <w:ind w:left="1320" w:hanging="435"/>
        <w:spacing w:after="0" w:line="258" w:lineRule="auto"/>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pursuant to a bona fide third-party tender offer, merger, consolidation or other similar transaction (including a takeover bid under Chapter 6 of the Corporations Act 2001 (Cth) and a scheme of arrangement implemented under Part 5.1 of the scheme of arrangement under the Corporations Act 2001 (Cth)) that is approved by our board of directors and made to all holders of our share capital involving a change of control;</w:t>
      </w:r>
    </w:p>
    <w:p>
      <w:pPr>
        <w:spacing w:after="0" w:line="41" w:lineRule="exact"/>
        <w:rPr>
          <w:rFonts w:ascii="Times New Roman" w:cs="Times New Roman" w:eastAsia="Times New Roman" w:hAnsi="Times New Roman"/>
          <w:sz w:val="18"/>
          <w:szCs w:val="18"/>
          <w:color w:val="auto"/>
        </w:rPr>
      </w:pPr>
    </w:p>
    <w:p>
      <w:pPr>
        <w:ind w:left="1320" w:right="140" w:hanging="435"/>
        <w:spacing w:after="0" w:line="325" w:lineRule="auto"/>
        <w:tabs>
          <w:tab w:leader="none" w:pos="13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from us of shares of common stock in connection with the exercise of options or other rights granted under an equity incentive plan or other equity award plan or program or pursuant to an individual award agreement between us and the lock-up party; or</w:t>
      </w:r>
    </w:p>
    <w:p>
      <w:pPr>
        <w:spacing w:after="0" w:line="1" w:lineRule="exact"/>
        <w:rPr>
          <w:rFonts w:ascii="Times New Roman" w:cs="Times New Roman" w:eastAsia="Times New Roman" w:hAnsi="Times New Roman"/>
          <w:sz w:val="16"/>
          <w:szCs w:val="16"/>
          <w:color w:val="auto"/>
        </w:rPr>
      </w:pPr>
    </w:p>
    <w:p>
      <w:pPr>
        <w:ind w:left="1320" w:right="120" w:hanging="435"/>
        <w:spacing w:after="0" w:line="262" w:lineRule="auto"/>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or to a similar effect permitted under the rules and regulations of the Australian Securities Exchange for the transfer of shares of common stock, provided that such plan does not provide for the transfer of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79" w:lineRule="exact"/>
        <w:rPr>
          <w:sz w:val="20"/>
          <w:szCs w:val="20"/>
          <w:color w:val="auto"/>
        </w:rPr>
      </w:pPr>
    </w:p>
    <w:p>
      <w:pPr>
        <w:ind w:left="760" w:right="420" w:hanging="212"/>
        <w:spacing w:after="0" w:line="275" w:lineRule="auto"/>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(a) through (f) above, each donee, trustee, distributee or transferee shall sign and deliver a lock-up agreement;</w:t>
      </w:r>
    </w:p>
    <w:p>
      <w:pPr>
        <w:spacing w:after="0" w:line="25" w:lineRule="exact"/>
        <w:rPr>
          <w:rFonts w:ascii="Times New Roman" w:cs="Times New Roman" w:eastAsia="Times New Roman" w:hAnsi="Times New Roman"/>
          <w:sz w:val="18"/>
          <w:szCs w:val="18"/>
          <w:color w:val="auto"/>
        </w:rPr>
      </w:pPr>
    </w:p>
    <w:p>
      <w:pPr>
        <w:ind w:left="760" w:right="220" w:hanging="212"/>
        <w:spacing w:after="0" w:line="275" w:lineRule="auto"/>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 (h) above, no filing under the Exchange Act or other public announcement would be required or be voluntarily made;</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840" w:hanging="212"/>
        <w:spacing w:after="0" w:line="275"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(a) through (k), any filing under the Exchange Act or other public report or announcement would clearly indicate the nature and conditions of the transfer or distribution; and</w:t>
      </w:r>
    </w:p>
    <w:p>
      <w:pPr>
        <w:spacing w:after="0" w:line="25" w:lineRule="exact"/>
        <w:rPr>
          <w:rFonts w:ascii="Times New Roman" w:cs="Times New Roman" w:eastAsia="Times New Roman" w:hAnsi="Times New Roman"/>
          <w:sz w:val="18"/>
          <w:szCs w:val="18"/>
          <w:color w:val="auto"/>
        </w:rPr>
      </w:pPr>
    </w:p>
    <w:p>
      <w:pPr>
        <w:ind w:left="760" w:right="80" w:hanging="212"/>
        <w:spacing w:after="0" w:line="275"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(a) through (e) above, such transfer or distribution would not involve a disposition for value.</w:t>
      </w:r>
    </w:p>
    <w:p>
      <w:pPr>
        <w:spacing w:after="0" w:line="106" w:lineRule="exact"/>
        <w:rPr>
          <w:sz w:val="20"/>
          <w:szCs w:val="20"/>
          <w:color w:val="auto"/>
        </w:rPr>
      </w:pPr>
    </w:p>
    <w:p>
      <w:pPr>
        <w:ind w:left="120" w:right="280" w:firstLine="440"/>
        <w:spacing w:after="0" w:line="253"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the ADSs in the United States. Our ordinary shares have been trading on the Australian Securities Exchange, or the ASX, since April 1985 under the symbol “OPT.” The initial public offering price for the ADSs will be determined by negotiations between us and the representatives and will be based, in part, on the prevailing price of our ordinary shares on the ASX. Among the factors considered in determining the initial public offering price will be our stage of development,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We cannot assure you, however, that the price at which the ADSs will sell in the public market after this offering will not be lower than the initial public offering price or that an active trading market in our shares of ADSs will develop and continue after this offering.</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for listing of the ADSs listed on the Nasdaq Global Select Market under the symbol “OPT.”</w:t>
      </w:r>
    </w:p>
    <w:p>
      <w:pPr>
        <w:spacing w:after="0" w:line="158"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The following table shows the per ADS and total underwriting discounts and commissions that we are to pay to the underwriters and proceeds to us, before estimated offering expenses, in connection with this offering. These amounts are shown assuming both no exercise and full exercise of the underwriters’ over-allotment option:</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8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5"/>
        </w:trPr>
        <w:tc>
          <w:tcPr>
            <w:tcW w:w="8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top w:val="single" w:sz="8" w:color="auto"/>
            </w:tcBorders>
          </w:tcPr>
          <w:p>
            <w:pPr>
              <w:jc w:val="right"/>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No</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10"/>
                <w:szCs w:val="10"/>
                <w:color w:val="auto"/>
              </w:rPr>
            </w:pPr>
          </w:p>
        </w:tc>
      </w:tr>
      <w:tr>
        <w:trPr>
          <w:trHeight w:val="165"/>
        </w:trPr>
        <w:tc>
          <w:tcPr>
            <w:tcW w:w="8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 ADS</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3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exercise</w:t>
            </w:r>
          </w:p>
        </w:tc>
      </w:tr>
      <w:tr>
        <w:trPr>
          <w:trHeight w:val="209"/>
        </w:trPr>
        <w:tc>
          <w:tcPr>
            <w:tcW w:w="8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80" w:type="dxa"/>
            <w:vAlign w:val="bottom"/>
            <w:tcBorders>
              <w:top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6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8"/>
                <w:szCs w:val="18"/>
                <w:color w:val="auto"/>
              </w:rPr>
            </w:pPr>
          </w:p>
        </w:tc>
        <w:tc>
          <w:tcPr>
            <w:tcW w:w="680" w:type="dxa"/>
            <w:vAlign w:val="bottom"/>
          </w:tcPr>
          <w:p>
            <w:pPr>
              <w:jc w:val="right"/>
              <w:ind w:right="5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0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68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0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We estimate that expenses payable by us in connection with this offering, exclusive of underwriting discounts, will be approximately $2.9 million. We have also agreed to reimburse the underwriters for expenses in an amount up to $30,000 relating to the clearance of this offering with the Financial Industry Regulatory Authority, Inc.</w:t>
      </w:r>
    </w:p>
    <w:p>
      <w:pPr>
        <w:spacing w:after="0" w:line="119" w:lineRule="exact"/>
        <w:rPr>
          <w:sz w:val="20"/>
          <w:szCs w:val="20"/>
          <w:color w:val="auto"/>
        </w:rPr>
      </w:pPr>
    </w:p>
    <w:p>
      <w:pPr>
        <w:ind w:left="120" w:right="540" w:firstLine="440"/>
        <w:spacing w:after="0" w:line="262"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ADSs in the open market. Purchases and sales in the open market may include short sales, purchases to cover short positions, which may include purchases pursuant to the underwriters’ over-allotment option, and other transactions that would stabilize, maintain or otherwise affect the price of the ADSs.</w:t>
      </w:r>
    </w:p>
    <w:p>
      <w:pPr>
        <w:spacing w:after="0" w:line="38" w:lineRule="exact"/>
        <w:rPr>
          <w:sz w:val="20"/>
          <w:szCs w:val="20"/>
          <w:color w:val="auto"/>
        </w:rPr>
      </w:pPr>
    </w:p>
    <w:p>
      <w:pPr>
        <w:ind w:left="760" w:hanging="212"/>
        <w:spacing w:after="0"/>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ADSs than they are required to purchase in this offering:</w:t>
      </w:r>
    </w:p>
    <w:p>
      <w:pPr>
        <w:spacing w:after="0" w:line="103" w:lineRule="exact"/>
        <w:rPr>
          <w:rFonts w:ascii="Times New Roman" w:cs="Times New Roman" w:eastAsia="Times New Roman" w:hAnsi="Times New Roman"/>
          <w:sz w:val="18"/>
          <w:szCs w:val="18"/>
          <w:color w:val="auto"/>
        </w:rPr>
      </w:pPr>
    </w:p>
    <w:p>
      <w:pPr>
        <w:ind w:left="1540" w:right="540" w:hanging="439"/>
        <w:spacing w:after="0" w:line="275" w:lineRule="auto"/>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short sales are sales of ADSs in an amount up to the number of ADSs represented by the underwriters’ over-allotment option.</w:t>
      </w:r>
    </w:p>
    <w:p>
      <w:pPr>
        <w:spacing w:after="0" w:line="25" w:lineRule="exact"/>
        <w:rPr>
          <w:rFonts w:ascii="Times New Roman" w:cs="Times New Roman" w:eastAsia="Times New Roman" w:hAnsi="Times New Roman"/>
          <w:sz w:val="18"/>
          <w:szCs w:val="18"/>
          <w:color w:val="auto"/>
        </w:rPr>
      </w:pPr>
    </w:p>
    <w:p>
      <w:pPr>
        <w:ind w:left="1540" w:right="200" w:hanging="439"/>
        <w:spacing w:after="0" w:line="275" w:lineRule="auto"/>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“Naked” short sales are sales of ADSs in an amount in excess of the number of ADSs represented by the underwriters’ over-allotment option.</w:t>
      </w:r>
    </w:p>
    <w:p>
      <w:pPr>
        <w:spacing w:after="0" w:line="25" w:lineRule="exact"/>
        <w:rPr>
          <w:rFonts w:ascii="Times New Roman" w:cs="Times New Roman" w:eastAsia="Times New Roman" w:hAnsi="Times New Roman"/>
          <w:sz w:val="18"/>
          <w:szCs w:val="18"/>
          <w:color w:val="auto"/>
        </w:rPr>
      </w:pPr>
    </w:p>
    <w:p>
      <w:pPr>
        <w:ind w:left="760" w:right="80" w:hanging="212"/>
        <w:spacing w:after="0" w:line="275"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can close out a short position by purchasing additional ADSs, either pursuant to the underwriters’ over-allotment option or in the open market.</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540" w:hanging="439"/>
        <w:spacing w:after="0" w:line="262"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naked short position, the underwriters must purchase ADSs in the open market. A naked short position is more likely to be created if the underwriters are concerned that there may be downward pressure on the price of the ADSs in the open market after pricing that could adversely affect investors who purchase in this offering.</w:t>
      </w:r>
    </w:p>
    <w:p>
      <w:pPr>
        <w:spacing w:after="0" w:line="37" w:lineRule="exact"/>
        <w:rPr>
          <w:rFonts w:ascii="Times New Roman" w:cs="Times New Roman" w:eastAsia="Times New Roman" w:hAnsi="Times New Roman"/>
          <w:sz w:val="18"/>
          <w:szCs w:val="18"/>
          <w:color w:val="auto"/>
        </w:rPr>
      </w:pPr>
    </w:p>
    <w:p>
      <w:pPr>
        <w:ind w:left="1540" w:right="200" w:hanging="439"/>
        <w:spacing w:after="0" w:line="258"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covered short position, the underwriters must purchase ADSs in the open market or exercise their over-allotment option. In determining the source of ADSs to close the covered short position, the underwriters will consider, among other things, the price of ADSs available for purchase in the open market as compared to the price at which they may purchase ADSs through their over-allotment option.</w:t>
      </w:r>
    </w:p>
    <w:p>
      <w:pPr>
        <w:spacing w:after="0" w:line="41" w:lineRule="exact"/>
        <w:rPr>
          <w:rFonts w:ascii="Times New Roman" w:cs="Times New Roman" w:eastAsia="Times New Roman" w:hAnsi="Times New Roman"/>
          <w:sz w:val="18"/>
          <w:szCs w:val="18"/>
          <w:color w:val="auto"/>
        </w:rPr>
      </w:pPr>
    </w:p>
    <w:p>
      <w:pPr>
        <w:ind w:left="760" w:right="20" w:hanging="212"/>
        <w:spacing w:after="0" w:line="275" w:lineRule="auto"/>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additional means of facilitating this offering, the underwriters may bid for, and purchase, ADSs on the Nasdaq Global Select Market, as long as such bids do not exceed a specified maximum, to stabilize the price of the ADSs.</w:t>
      </w:r>
    </w:p>
    <w:p>
      <w:pPr>
        <w:spacing w:after="0" w:line="10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ADSs to be higher than the price that would otherwise prevail in the open market in the absence of these transactions. The underwriters may conduct these transactions on the Nasdaq Global Select Market, in the over-the-counter market or otherwise. The underwriters are not required to engage in any of these transactions and may discontinue them at any time.</w:t>
      </w:r>
    </w:p>
    <w:p>
      <w:pPr>
        <w:spacing w:after="0" w:line="125"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of the underwriters or their respective affiliates. The representatives may agree with us to allocate a number of ADSs to underwriters for sale to their online brokerage account holders. Any such allocation for online distributions will be made by the underwriters on the same basis as other allocations. Other than the prospectus in electronic format, the information on the underwriters’ or their respective affiliates’ websites and any information contained in any other website maintained by any of the underwriters or their respective affiliates is not part of this prospectus, has not been approved and/or endorsed by us or the underwriters and should not be relied upon by investors in this offering.</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7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are full-service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or short positions in such securities and instruments.</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79"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that has implemented the Prospectus Directive (each, a relevant member state), with effect from and including the date on which the Prospectus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60"/>
        <w:spacing w:after="0" w:line="275" w:lineRule="auto"/>
        <w:rPr>
          <w:sz w:val="20"/>
          <w:szCs w:val="20"/>
          <w:color w:val="auto"/>
        </w:rPr>
      </w:pPr>
      <w:r>
        <w:rPr>
          <w:rFonts w:ascii="Times New Roman" w:cs="Times New Roman" w:eastAsia="Times New Roman" w:hAnsi="Times New Roman"/>
          <w:sz w:val="18"/>
          <w:szCs w:val="18"/>
          <w:color w:val="auto"/>
        </w:rPr>
        <w:t>Directive is implemented in that relevant member state (the relevant implementation date), an offer of ADSs described in this prospectus may not be made to the public in that relevant member state other than:</w:t>
      </w:r>
    </w:p>
    <w:p>
      <w:pPr>
        <w:spacing w:after="0" w:line="25" w:lineRule="exact"/>
        <w:rPr>
          <w:sz w:val="20"/>
          <w:szCs w:val="20"/>
          <w:color w:val="auto"/>
        </w:rPr>
      </w:pPr>
    </w:p>
    <w:p>
      <w:pPr>
        <w:ind w:left="760" w:hanging="212"/>
        <w:spacing w:after="0"/>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03" w:lineRule="exact"/>
        <w:rPr>
          <w:rFonts w:ascii="Times New Roman" w:cs="Times New Roman" w:eastAsia="Times New Roman" w:hAnsi="Times New Roman"/>
          <w:sz w:val="18"/>
          <w:szCs w:val="18"/>
          <w:color w:val="auto"/>
        </w:rPr>
      </w:pPr>
    </w:p>
    <w:p>
      <w:pPr>
        <w:ind w:left="760" w:right="60" w:hanging="212"/>
        <w:spacing w:after="0" w:line="275" w:lineRule="auto"/>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provided that no such offer of ADSs shall require us or any underwriter to publish a prospectus pursuant to Article 3 of the Prospectus Directive.</w:t>
      </w:r>
    </w:p>
    <w:p>
      <w:pPr>
        <w:spacing w:after="0" w:line="158"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6"/>
          <w:szCs w:val="16"/>
          <w:color w:val="auto"/>
        </w:rPr>
        <w:t>For purposes of this provision, the expression an “offer of securities to the public” in any relevant member state means the communication in any form and by any means of sufficient information on the terms of the offer and the ADSs to be offered so as to enable an investor to decide to purchase or subscribe for any ADSs, as the expression may be varied in that member state by any measure implementing the Prospectus Directive in that member state, the expression “Prospectus Directive” means Directive 2003/71/EC (and amendments thereto, including the 2010 PD Amending Directive) and includes any relevant implementing measure in the relevant member state, and the expression “2010 PD Amending Directive” means Directive 2010/73/EU.</w:t>
      </w:r>
    </w:p>
    <w:p>
      <w:pPr>
        <w:spacing w:after="0" w:line="94"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The sellers of the ADSs have not authorized and do not authorize the making of any offer of ADSs through any financial intermediary on their behalf, other than offers made by the underwriters with a view to the final placement of the ADSs as contemplated in this prospectus. Accordingly, no purchaser of the ADSs, other than the underwriters, is authorized to make any further offer of the ADSs on behalf of the sellers or the underwriters.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7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persons in the United Kingdom that are qualified investors within the meaning of Article 2(1)(e) of the Prospectus Directive that are also (1) investment professionals falling within Article 19(5) of the Financial Services and Markets Act 2000 (Financial Promotion) Order 2005, or the Order, or (2) high net worth entities, and other persons to whom it may lawfully be communicated, falling within Article 49(2)(a) to (d) of the Order (each such person being referred to as a relevant person).</w:t>
      </w:r>
    </w:p>
    <w:p>
      <w:pPr>
        <w:spacing w:after="0" w:line="122"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79"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No prospectus or other disclosure document (as defined in the Corporations Act 2001 (Cth) of Australia, or Corporations Act) in relation to the ADSs has been or will be lodged with the Australian Securities &amp; Investments Commission, or ASIC. This document has not been lodged with ASIC and is only directed to certain categories of exempt persons. Accordingly, if you receive this document in Australia:</w:t>
      </w:r>
    </w:p>
    <w:p>
      <w:pPr>
        <w:spacing w:after="0" w:line="38" w:lineRule="exact"/>
        <w:rPr>
          <w:sz w:val="20"/>
          <w:szCs w:val="20"/>
          <w:color w:val="auto"/>
        </w:rPr>
      </w:pPr>
    </w:p>
    <w:p>
      <w:pPr>
        <w:ind w:left="760" w:hanging="212"/>
        <w:spacing w:after="0"/>
        <w:tabs>
          <w:tab w:leader="none" w:pos="7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confirm and warrant that you are either:</w:t>
      </w:r>
    </w:p>
    <w:p>
      <w:pPr>
        <w:spacing w:after="0" w:line="103"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03" w:lineRule="exact"/>
        <w:rPr>
          <w:rFonts w:ascii="Times New Roman" w:cs="Times New Roman" w:eastAsia="Times New Roman" w:hAnsi="Times New Roman"/>
          <w:sz w:val="18"/>
          <w:szCs w:val="18"/>
          <w:color w:val="auto"/>
        </w:rPr>
      </w:pPr>
    </w:p>
    <w:p>
      <w:pPr>
        <w:ind w:left="1540" w:right="80" w:hanging="439"/>
        <w:spacing w:after="0" w:line="262" w:lineRule="auto"/>
        <w:tabs>
          <w:tab w:leader="none" w:pos="15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540" w:hanging="439"/>
        <w:spacing w:after="0"/>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103" w:lineRule="exact"/>
        <w:rPr>
          <w:rFonts w:ascii="Times New Roman" w:cs="Times New Roman" w:eastAsia="Times New Roman" w:hAnsi="Times New Roman"/>
          <w:sz w:val="18"/>
          <w:szCs w:val="18"/>
          <w:color w:val="auto"/>
        </w:rPr>
      </w:pPr>
    </w:p>
    <w:p>
      <w:pPr>
        <w:ind w:left="1540" w:right="80" w:hanging="439"/>
        <w:spacing w:after="0" w:line="262" w:lineRule="auto"/>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37" w:lineRule="exact"/>
        <w:rPr>
          <w:rFonts w:ascii="Times New Roman" w:cs="Times New Roman" w:eastAsia="Times New Roman" w:hAnsi="Times New Roman"/>
          <w:sz w:val="18"/>
          <w:szCs w:val="18"/>
          <w:color w:val="auto"/>
        </w:rPr>
      </w:pPr>
    </w:p>
    <w:p>
      <w:pPr>
        <w:ind w:left="760" w:right="100" w:hanging="212"/>
        <w:spacing w:after="0" w:line="275"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ADSs for resale in Australia within 12 months of that ADSs being issued unless any such resale offer is exempt from the requirement to issue a disclosure document under Section 708 of the Corporations Act.</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7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2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2"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79" w:lineRule="exact"/>
        <w:rPr>
          <w:sz w:val="20"/>
          <w:szCs w:val="20"/>
          <w:color w:val="auto"/>
        </w:rPr>
      </w:pPr>
    </w:p>
    <w:p>
      <w:pPr>
        <w:ind w:left="120" w:right="80" w:firstLine="440"/>
        <w:spacing w:after="0" w:line="310" w:lineRule="auto"/>
        <w:rPr>
          <w:sz w:val="20"/>
          <w:szCs w:val="20"/>
          <w:color w:val="auto"/>
        </w:rPr>
      </w:pPr>
      <w:r>
        <w:rPr>
          <w:rFonts w:ascii="Times New Roman" w:cs="Times New Roman" w:eastAsia="Times New Roman" w:hAnsi="Times New Roman"/>
          <w:sz w:val="16"/>
          <w:szCs w:val="16"/>
          <w:color w:val="auto"/>
        </w:rPr>
        <w:t xml:space="preserve">Neither this prospectus nor any other offering material relating to the ADSs described in this prospectus has been submitted to the clearance procedures of the </w:t>
      </w:r>
      <w:r>
        <w:rPr>
          <w:rFonts w:ascii="Times New Roman" w:cs="Times New Roman" w:eastAsia="Times New Roman" w:hAnsi="Times New Roman"/>
          <w:sz w:val="16"/>
          <w:szCs w:val="16"/>
          <w:i w:val="1"/>
          <w:iCs w:val="1"/>
          <w:color w:val="auto"/>
        </w:rPr>
        <w:t>Autorité des Marchés Financiers</w:t>
      </w:r>
      <w:r>
        <w:rPr>
          <w:rFonts w:ascii="Times New Roman" w:cs="Times New Roman" w:eastAsia="Times New Roman" w:hAnsi="Times New Roman"/>
          <w:sz w:val="16"/>
          <w:szCs w:val="16"/>
          <w:color w:val="auto"/>
        </w:rPr>
        <w:t xml:space="preserve"> or of the competent authority of another member state of the European Economic Area and notified to the </w:t>
      </w:r>
      <w:r>
        <w:rPr>
          <w:rFonts w:ascii="Times New Roman" w:cs="Times New Roman" w:eastAsia="Times New Roman" w:hAnsi="Times New Roman"/>
          <w:sz w:val="16"/>
          <w:szCs w:val="16"/>
          <w:i w:val="1"/>
          <w:iCs w:val="1"/>
          <w:color w:val="auto"/>
        </w:rPr>
        <w:t>Autorité des Marchés Financiers</w:t>
      </w:r>
      <w:r>
        <w:rPr>
          <w:rFonts w:ascii="Times New Roman" w:cs="Times New Roman" w:eastAsia="Times New Roman" w:hAnsi="Times New Roman"/>
          <w:sz w:val="16"/>
          <w:szCs w:val="16"/>
          <w:color w:val="auto"/>
        </w:rPr>
        <w:t>. The ADSs have not been offered or sold and will not be offered or sold, directly or indirectly, to the public in France.</w:t>
      </w:r>
    </w:p>
    <w:p>
      <w:pPr>
        <w:spacing w:after="0" w:line="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Neither this prospectus nor any other offering material relating to the ADSs has been or will be:</w:t>
      </w:r>
    </w:p>
    <w:p>
      <w:pPr>
        <w:spacing w:after="0" w:line="77" w:lineRule="exact"/>
        <w:rPr>
          <w:sz w:val="20"/>
          <w:szCs w:val="20"/>
          <w:color w:val="auto"/>
        </w:rPr>
      </w:pPr>
    </w:p>
    <w:p>
      <w:pPr>
        <w:ind w:left="760" w:hanging="212"/>
        <w:spacing w:after="0"/>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ADSs to the public in France.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75" w:lineRule="exact"/>
        <w:rPr>
          <w:sz w:val="20"/>
          <w:szCs w:val="20"/>
          <w:color w:val="auto"/>
        </w:rPr>
      </w:pPr>
    </w:p>
    <w:p>
      <w:pPr>
        <w:ind w:left="760" w:right="160" w:hanging="212"/>
        <w:spacing w:after="0" w:line="264" w:lineRule="auto"/>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in each case investing for their own account, all as defined in and in accordance with articles L.411-2, D.411-1, D.411-2, D.734-1, D.744-1, D.754-1 and D.764-1 of the French Code monétaire et financier;</w:t>
      </w:r>
    </w:p>
    <w:p>
      <w:pPr>
        <w:spacing w:after="0" w:line="34"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80"/>
          </w:cols>
          <w:pgMar w:left="320" w:top="455" w:right="49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760" w:right="280" w:hanging="212"/>
        <w:spacing w:after="0" w:line="342" w:lineRule="auto"/>
        <w:tabs>
          <w:tab w:leader="none" w:pos="7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 transaction that, in accordance with article L.411-2-II-1° -or-2° -or 3° of the French Code </w:t>
      </w:r>
      <w:r>
        <w:rPr>
          <w:rFonts w:ascii="Times New Roman" w:cs="Times New Roman" w:eastAsia="Times New Roman" w:hAnsi="Times New Roman"/>
          <w:sz w:val="16"/>
          <w:szCs w:val="16"/>
          <w:i w:val="1"/>
          <w:iCs w:val="1"/>
          <w:color w:val="auto"/>
        </w:rPr>
        <w:t>monétaire et financier</w:t>
      </w:r>
      <w:r>
        <w:rPr>
          <w:rFonts w:ascii="Times New Roman" w:cs="Times New Roman" w:eastAsia="Times New Roman" w:hAnsi="Times New Roman"/>
          <w:sz w:val="16"/>
          <w:szCs w:val="16"/>
          <w:color w:val="auto"/>
        </w:rPr>
        <w:t xml:space="preserve"> and article 211-2 of the General Regulations (</w:t>
      </w:r>
      <w:r>
        <w:rPr>
          <w:rFonts w:ascii="Times New Roman" w:cs="Times New Roman" w:eastAsia="Times New Roman" w:hAnsi="Times New Roman"/>
          <w:sz w:val="16"/>
          <w:szCs w:val="16"/>
          <w:i w:val="1"/>
          <w:iCs w:val="1"/>
          <w:color w:val="auto"/>
        </w:rPr>
        <w:t>Règlement Général</w:t>
      </w:r>
      <w:r>
        <w:rPr>
          <w:rFonts w:ascii="Times New Roman" w:cs="Times New Roman" w:eastAsia="Times New Roman" w:hAnsi="Times New Roman"/>
          <w:sz w:val="16"/>
          <w:szCs w:val="16"/>
          <w:color w:val="auto"/>
        </w:rPr>
        <w:t xml:space="preserve">) of the </w:t>
      </w:r>
      <w:r>
        <w:rPr>
          <w:rFonts w:ascii="Times New Roman" w:cs="Times New Roman" w:eastAsia="Times New Roman" w:hAnsi="Times New Roman"/>
          <w:sz w:val="16"/>
          <w:szCs w:val="16"/>
          <w:i w:val="1"/>
          <w:iCs w:val="1"/>
          <w:color w:val="auto"/>
        </w:rPr>
        <w:t>Autorité des Marchés Financiers</w:t>
      </w:r>
      <w:r>
        <w:rPr>
          <w:rFonts w:ascii="Times New Roman" w:cs="Times New Roman" w:eastAsia="Times New Roman" w:hAnsi="Times New Roman"/>
          <w:sz w:val="16"/>
          <w:szCs w:val="16"/>
          <w:color w:val="auto"/>
        </w:rPr>
        <w:t>, does not constitute a public offer (</w:t>
      </w:r>
      <w:r>
        <w:rPr>
          <w:rFonts w:ascii="Times New Roman" w:cs="Times New Roman" w:eastAsia="Times New Roman" w:hAnsi="Times New Roman"/>
          <w:sz w:val="16"/>
          <w:szCs w:val="16"/>
          <w:i w:val="1"/>
          <w:iCs w:val="1"/>
          <w:color w:val="auto"/>
        </w:rPr>
        <w:t>appel public à l’épargne</w:t>
      </w:r>
      <w:r>
        <w:rPr>
          <w:rFonts w:ascii="Times New Roman" w:cs="Times New Roman" w:eastAsia="Times New Roman" w:hAnsi="Times New Roman"/>
          <w:sz w:val="16"/>
          <w:szCs w:val="16"/>
          <w:color w:val="auto"/>
        </w:rPr>
        <w:t>).</w:t>
      </w:r>
    </w:p>
    <w:p>
      <w:pPr>
        <w:spacing w:after="0" w:line="58" w:lineRule="exact"/>
        <w:rPr>
          <w:sz w:val="20"/>
          <w:szCs w:val="20"/>
          <w:color w:val="auto"/>
        </w:rPr>
      </w:pPr>
    </w:p>
    <w:p>
      <w:pPr>
        <w:ind w:left="120" w:right="400" w:firstLine="440"/>
        <w:spacing w:after="0" w:line="275" w:lineRule="auto"/>
        <w:rPr>
          <w:sz w:val="20"/>
          <w:szCs w:val="20"/>
          <w:color w:val="auto"/>
        </w:rPr>
      </w:pPr>
      <w:r>
        <w:rPr>
          <w:rFonts w:ascii="Times New Roman" w:cs="Times New Roman" w:eastAsia="Times New Roman" w:hAnsi="Times New Roman"/>
          <w:sz w:val="18"/>
          <w:szCs w:val="18"/>
          <w:color w:val="auto"/>
        </w:rPr>
        <w:t xml:space="preserve">The ADSs may be resold directly or indirectly, only in compliance with articles L.411-1, L.411-2, L.412-1 and L.621-8 through L.621-8-3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7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ADSs may not be offered or sold in Hong Kong by means of any document other than (1) in circumstances which do not constitute an offer to the public within the meaning of the Companies Ordinance (Cap. 32, Laws of Hong Kong), or (2) to “professional investors” within the meaning of the Securities and Futures Ordinance (Cap. 571, Laws of Hong Kong) and any rules made thereunder, or (3) in other circumstances which do not result in the document being a “prospectus” within the meaning of the Companies Ordinance (Cap. 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made thereunder.</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State of Israel</w:t>
      </w:r>
    </w:p>
    <w:p>
      <w:pPr>
        <w:spacing w:after="0" w:line="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ADSs under the Israeli Securities Law, 5728 - 1968, which requires a prospectus to be published and authorized by the Israel Securities Authority, if it complies with certain provisions of Section 15 of the Israeli Securities Law, 5728 - 1968, including, inter alia, if: (1) the offer is made, distributed or directed to not more than 35 investors, subject to certain conditions, or the Addressed Investors; or (2) the offer is made, distributed or directed to certain qualified investors defined in the First Addendum of the Israeli Securities Law, 5728 - 1968, subject to certain conditions, or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5728 - 1968. We have not and will not distribute this prospectus or make, distribute or direct an offer to subscribe for the ADSs to any person within the State of Israel, other than to Qualified Investors and up to 35 Addressed Investors.</w:t>
      </w:r>
    </w:p>
    <w:p>
      <w:pPr>
        <w:spacing w:after="0" w:line="12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6"/>
          <w:szCs w:val="16"/>
          <w:color w:val="auto"/>
        </w:rPr>
        <w:t>Qualified Investors may have to submit written evidence that they meet the definitions set out in of the First Addendum to the Israeli Securities Law, 5728—1968. In particular, we may request that Qualified Investors will each represent, warrant and certify to us and/or to anyone acting on our behalf:</w:t>
      </w:r>
    </w:p>
    <w:p>
      <w:pPr>
        <w:spacing w:after="0" w:line="1" w:lineRule="exact"/>
        <w:rPr>
          <w:sz w:val="20"/>
          <w:szCs w:val="20"/>
          <w:color w:val="auto"/>
        </w:rPr>
      </w:pPr>
    </w:p>
    <w:p>
      <w:pPr>
        <w:ind w:left="120" w:hanging="4"/>
        <w:spacing w:after="0" w:line="251" w:lineRule="auto"/>
        <w:tabs>
          <w:tab w:leader="none" w:pos="3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an investor falling within one of the categories listed in the First Addendum to the Israeli Securities Law, 5728 - 1968; (2) which of the categories listed in the First Addendum to the Israeli Securities Law, 5728 - 1968 regarding Qualified Investors is applicable to it; (3) that it will abide by all provisions set forth in the Israeli Securities Law, 5728 - 1968 and the regulations promulgated thereunder in connection with this offering; (4) that the shares of ADSs that it will be issued are, subject to exemptions available under the Israeli Securities Law, 5728 -1968: (a) for its own account; (b) for investment purposes only; and (c) not issued with a view to resale within the State of Israel, other than in accordance with the provisions of the Israeli Securities Law, 5728 -1968; and (5)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79"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The ADSs offered in this prospectus have not been and will not be registered under the Financial Instruments and Exchange Law of Japan. The ADSs have not been offered or sold and will not be offered or sold,</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79"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pursuant to Section 275(1), or any person pursuant to Section 275(1A), and in accordance with the conditions specified in Section 275 of the SFA or</w:t>
      </w:r>
    </w:p>
    <w:p>
      <w:pPr>
        <w:spacing w:after="0" w:line="4" w:lineRule="exact"/>
        <w:rPr>
          <w:sz w:val="20"/>
          <w:szCs w:val="20"/>
          <w:color w:val="auto"/>
        </w:rPr>
      </w:pPr>
    </w:p>
    <w:p>
      <w:pPr>
        <w:ind w:left="120" w:right="440" w:hanging="4"/>
        <w:spacing w:after="0" w:line="260" w:lineRule="auto"/>
        <w:tabs>
          <w:tab w:leader="none" w:pos="36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compliance with conditions set forth in the SFA.</w:t>
      </w:r>
    </w:p>
    <w:p>
      <w:pPr>
        <w:spacing w:after="0" w:line="1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party which is:</w:t>
      </w:r>
    </w:p>
    <w:p>
      <w:pPr>
        <w:spacing w:after="0" w:line="77" w:lineRule="exact"/>
        <w:rPr>
          <w:sz w:val="20"/>
          <w:szCs w:val="20"/>
          <w:color w:val="auto"/>
        </w:rPr>
      </w:pPr>
    </w:p>
    <w:p>
      <w:pPr>
        <w:ind w:left="760" w:right="140" w:hanging="212"/>
        <w:spacing w:after="0" w:line="275"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5" w:lineRule="exact"/>
        <w:rPr>
          <w:rFonts w:ascii="Times New Roman" w:cs="Times New Roman" w:eastAsia="Times New Roman" w:hAnsi="Times New Roman"/>
          <w:sz w:val="18"/>
          <w:szCs w:val="18"/>
          <w:color w:val="auto"/>
        </w:rPr>
      </w:pPr>
    </w:p>
    <w:p>
      <w:pPr>
        <w:ind w:left="760" w:right="120" w:hanging="212"/>
        <w:spacing w:after="0" w:line="258"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shares, debentures and units of ADSs and debentures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41" w:lineRule="exact"/>
        <w:rPr>
          <w:rFonts w:ascii="Times New Roman" w:cs="Times New Roman" w:eastAsia="Times New Roman" w:hAnsi="Times New Roman"/>
          <w:sz w:val="18"/>
          <w:szCs w:val="18"/>
          <w:color w:val="auto"/>
        </w:rPr>
      </w:pPr>
    </w:p>
    <w:p>
      <w:pPr>
        <w:ind w:left="1540" w:hanging="439"/>
        <w:spacing w:after="0" w:line="256"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ADSs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3"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03"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EXPENSES RELATING TO THE OFFERING</w:t>
      </w:r>
    </w:p>
    <w:p>
      <w:pPr>
        <w:spacing w:after="0" w:line="160"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costs and expenses, other than underwriting discounts and commissions, payable in connection with the sale of ADSs in the offering. All amounts are estimated except the SEC registration fee, the Financial Industry Regulatory Authority, Inc., or FINRA, filing fee and the Nasdaq initial listing fee. Except as otherwise noted, all the expenses below will be paid by us.</w:t>
      </w:r>
    </w:p>
    <w:p>
      <w:pPr>
        <w:sectPr>
          <w:pgSz w:w="11900" w:h="16838" w:orient="portrait"/>
          <w:cols w:equalWidth="0" w:num="1">
            <w:col w:w="11100"/>
          </w:cols>
          <w:pgMar w:left="320" w:top="455" w:right="479" w:bottom="1440" w:gutter="0" w:footer="0" w:header="0"/>
        </w:sectPr>
      </w:pP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u w:val="single" w:color="auto"/>
          <w:color w:val="auto"/>
        </w:rPr>
        <w:t>Expense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45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Nasdaq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12" w:lineRule="exact"/>
        <w:rPr>
          <w:sz w:val="20"/>
          <w:szCs w:val="20"/>
          <w:color w:val="auto"/>
        </w:rPr>
      </w:pPr>
    </w:p>
    <w:p>
      <w:pPr>
        <w:jc w:val="right"/>
        <w:ind w:right="29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Amount</w:t>
      </w:r>
    </w:p>
    <w:p>
      <w:pPr>
        <w:spacing w:after="0" w:line="29" w:lineRule="exact"/>
        <w:rPr>
          <w:sz w:val="20"/>
          <w:szCs w:val="20"/>
          <w:color w:val="auto"/>
        </w:rPr>
      </w:pPr>
    </w:p>
    <w:p>
      <w:pPr>
        <w:jc w:val="right"/>
        <w:ind w:right="20"/>
        <w:spacing w:after="0"/>
        <w:tabs>
          <w:tab w:leader="none" w:pos="46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6"/>
          <w:szCs w:val="16"/>
          <w:color w:val="auto"/>
        </w:rPr>
        <w:t>20,140</w:t>
      </w:r>
    </w:p>
    <w:p>
      <w:pPr>
        <w:spacing w:after="0" w:line="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28,190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150,000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1,700,000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500,000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300,000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201,670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65151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US$2,900,000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65151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599" w:lineRule="exact"/>
        <w:rPr>
          <w:sz w:val="20"/>
          <w:szCs w:val="20"/>
          <w:color w:val="auto"/>
        </w:rPr>
      </w:pPr>
    </w:p>
    <w:p>
      <w:pPr>
        <w:sectPr>
          <w:pgSz w:w="11900" w:h="16838" w:orient="portrait"/>
          <w:cols w:equalWidth="0" w:num="2">
            <w:col w:w="9340" w:space="720"/>
            <w:col w:w="1040"/>
          </w:cols>
          <w:pgMar w:left="320" w:top="455" w:right="479" w:bottom="1440" w:gutter="0" w:footer="0" w:header="0"/>
          <w:type w:val="continuous"/>
        </w:sect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validity of the ordinary shares represented by the ADSs and certain other matters of Australian law will be passed upon for us by Gilbert + Tobin. Certain matters as to U.S. federal law and New York state law will be passed upon for us by Cooley LLP, New York, New York and Cooley LLP, Singapore. Legal counsel to the underwriters in connection with this offering are Goodwin Procter LLP, Boston, Massachusetts, with respect to U.S. federal law, and Herbert Smith Freehills, Melbourne, Australia, with respect to Australian law.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The financial statements included in this prospectus have been audited by Deloitte Touche Tohmatsu, an independent registered public accounting firm, as stated in their report appearing herein. Such financial statements are included in reliance upon the report of such firm given upon their authority as experts in accounting and auditing.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offices of Deloitte Touche Tohmatsu are located at Tower 2, Brookfield Place, 123 St. Georges Terrace, Perth, WA 6000, Australia.</w:t>
      </w:r>
    </w:p>
    <w:p>
      <w:pPr>
        <w:spacing w:after="0" w:line="15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F-1 under the Securities Act with respect to the ADSs offered in this prospectus. A related registration statement on Form F-6 (File No. 333-249327) has been filed with the SEC to register the ADSs. This prospectus, which forms a part of the Registration Statement, does not contain all of the information included in the Registration Statement. Certain information is omitted and you should refer to the Registration Statement and its exhibits for that information. With respect to references made in this prospectus to any contract or other document of Opthea, such references are not necessarily complete and you should refer to the exhibits attached to the Registration Statement for copies of the actual contract or document.</w:t>
      </w:r>
    </w:p>
    <w:p>
      <w:pPr>
        <w:spacing w:after="0" w:line="125" w:lineRule="exact"/>
        <w:rPr>
          <w:sz w:val="20"/>
          <w:szCs w:val="20"/>
          <w:color w:val="auto"/>
        </w:rPr>
      </w:pPr>
    </w:p>
    <w:p>
      <w:pPr>
        <w:ind w:left="120" w:right="400" w:firstLine="440"/>
        <w:spacing w:after="0" w:line="262" w:lineRule="auto"/>
        <w:rPr>
          <w:sz w:val="20"/>
          <w:szCs w:val="20"/>
          <w:color w:val="auto"/>
        </w:rPr>
      </w:pPr>
      <w:r>
        <w:rPr>
          <w:rFonts w:ascii="Times New Roman" w:cs="Times New Roman" w:eastAsia="Times New Roman" w:hAnsi="Times New Roman"/>
          <w:sz w:val="18"/>
          <w:szCs w:val="18"/>
          <w:color w:val="auto"/>
        </w:rPr>
        <w:t>Upon the closing of this offering, we will become subject to periodic reporting and other informational requirements of the Exchange Act as applicable to foreign private issuers. Accordingly, we will be required to file reports, including annual reports on Form 20-F, periodic reports and other information, with the SEC.</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00"/>
          </w:cols>
          <w:pgMar w:left="320" w:top="455" w:right="479" w:bottom="1440" w:gutter="0" w:footer="0" w:header="0"/>
          <w:type w:val="continuous"/>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firstLine="440"/>
        <w:spacing w:after="0" w:line="301" w:lineRule="auto"/>
        <w:rPr>
          <w:sz w:val="20"/>
          <w:szCs w:val="20"/>
          <w:color w:val="auto"/>
        </w:rPr>
      </w:pPr>
      <w:r>
        <w:rPr>
          <w:rFonts w:ascii="Times New Roman" w:cs="Times New Roman" w:eastAsia="Times New Roman" w:hAnsi="Times New Roman"/>
          <w:sz w:val="16"/>
          <w:szCs w:val="16"/>
          <w:color w:val="auto"/>
        </w:rPr>
        <w:t>We are allowed four months after the end of our fiscal year to file our annual report with the SEC, and we are not required to disclose certain detailed information regarding executive compensation that is required from U.S. domestic issuers. Also, as a foreign private issuer, we are exempt from the rules of the Exchange Act prescribing the furnishing of proxy statements to shareholders, and the members of our board of directors, our senior management and our principal shareholders are exempt from the reporting and short-swing profit recovery provisions contained in Section 16 of the Exchange Act.</w:t>
      </w:r>
    </w:p>
    <w:p>
      <w:pPr>
        <w:spacing w:after="0" w:line="9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than those required of U.S. domestic reporting companies, our shareholders, potential shareholders and the investing public in general should not expect to receive information about us in the same amount, or at the same time, as information is received from, or provided by, other U.S. domestic reporting companies. We are only liable for violations of the rules and regulations of the SEC that apply to us as a foreign private issuer.</w:t>
      </w:r>
    </w:p>
    <w:p>
      <w:pPr>
        <w:spacing w:after="0" w:line="125"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proxy and information statements and other information regarding registrants that file electronically with the SEC. You also can inspect our registration statement, as well as any other information we file with or furnish to the SEC, on this website. This reference to the SEC’s website is an inactive textual reference only and is not a hyperlink.</w:t>
      </w:r>
    </w:p>
    <w:p>
      <w:pPr>
        <w:spacing w:after="0" w:line="119" w:lineRule="exact"/>
        <w:rPr>
          <w:sz w:val="20"/>
          <w:szCs w:val="20"/>
          <w:color w:val="auto"/>
        </w:rPr>
      </w:pPr>
    </w:p>
    <w:p>
      <w:pPr>
        <w:jc w:val="both"/>
        <w:ind w:left="120" w:right="520" w:firstLine="440"/>
        <w:spacing w:after="0" w:line="262" w:lineRule="auto"/>
        <w:rPr>
          <w:sz w:val="20"/>
          <w:szCs w:val="20"/>
          <w:color w:val="auto"/>
        </w:rPr>
      </w:pPr>
      <w:r>
        <w:rPr>
          <w:rFonts w:ascii="Times New Roman" w:cs="Times New Roman" w:eastAsia="Times New Roman" w:hAnsi="Times New Roman"/>
          <w:sz w:val="18"/>
          <w:szCs w:val="18"/>
          <w:color w:val="auto"/>
        </w:rPr>
        <w:t>We expect to make our annual reports and other information filed with or furnished to the SEC available, free of charge, through our website at www.opthea.com as soon as reasonably practicable after those reports and other information are filed with or furnished to the SEC. The information contained on, or that can be accessed through, our website is not part of, and is not incorporated into, this prospectus.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9"/>
        </w:trPr>
        <w:tc>
          <w:tcPr>
            <w:tcW w:w="5360" w:type="dxa"/>
            <w:vAlign w:val="bottom"/>
            <w:tcBorders>
              <w:top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Report of Independent Registered Public Accounting Firm</w:t>
              </w:r>
            </w:hyperlink>
          </w:p>
        </w:tc>
        <w:tc>
          <w:tcPr>
            <w:tcW w:w="5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7"/>
              </w:rPr>
              <w:t>F-2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rFonts w:ascii="Times New Roman" w:cs="Times New Roman" w:eastAsia="Times New Roman" w:hAnsi="Times New Roman"/>
                <w:sz w:val="18"/>
                <w:szCs w:val="18"/>
                <w:u w:val="single" w:color="auto"/>
                <w:color w:val="0000EE"/>
                <w:w w:val="97"/>
              </w:rPr>
            </w:pPr>
            <w:hyperlink w:anchor="page215">
              <w:r>
                <w:rPr>
                  <w:rFonts w:ascii="Times New Roman" w:cs="Times New Roman" w:eastAsia="Times New Roman" w:hAnsi="Times New Roman"/>
                  <w:sz w:val="18"/>
                  <w:szCs w:val="18"/>
                  <w:u w:val="single" w:color="auto"/>
                  <w:color w:val="0000EE"/>
                  <w:w w:val="97"/>
                </w:rPr>
                <w:t>Consolidated Statement of Profit or Loss and Other Comprehensive Income</w:t>
              </w:r>
            </w:hyperlink>
          </w:p>
        </w:tc>
        <w:tc>
          <w:tcPr>
            <w:tcW w:w="52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536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Consolidated Statement of Financial Position</w:t>
              </w:r>
            </w:hyperlink>
          </w:p>
        </w:tc>
        <w:tc>
          <w:tcPr>
            <w:tcW w:w="5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5360" w:type="dxa"/>
            <w:vAlign w:val="bottom"/>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Consolidated Statement of Changes in Equity</w:t>
              </w:r>
            </w:hyperlink>
          </w:p>
        </w:tc>
        <w:tc>
          <w:tcPr>
            <w:tcW w:w="52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536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Consolidated Statement of Cash Flows</w:t>
              </w:r>
            </w:hyperlink>
          </w:p>
        </w:tc>
        <w:tc>
          <w:tcPr>
            <w:tcW w:w="5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F-6</w:t>
            </w:r>
          </w:p>
        </w:tc>
      </w:tr>
      <w:tr>
        <w:trPr>
          <w:trHeight w:val="228"/>
        </w:trPr>
        <w:tc>
          <w:tcPr>
            <w:tcW w:w="5360" w:type="dxa"/>
            <w:vAlign w:val="bottom"/>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Notes to the Consolidated Financial Statements</w:t>
              </w:r>
            </w:hyperlink>
          </w:p>
        </w:tc>
        <w:tc>
          <w:tcPr>
            <w:tcW w:w="5280" w:type="dxa"/>
            <w:vAlign w:val="bottom"/>
          </w:tcPr>
          <w:p>
            <w:pPr>
              <w:spacing w:after="0"/>
              <w:rPr>
                <w:sz w:val="19"/>
                <w:szCs w:val="19"/>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F-7</w:t>
            </w:r>
          </w:p>
        </w:tc>
      </w:tr>
      <w:tr>
        <w:trPr>
          <w:trHeight w:val="350"/>
        </w:trPr>
        <w:tc>
          <w:tcPr>
            <w:tcW w:w="5360" w:type="dxa"/>
            <w:vAlign w:val="bottom"/>
          </w:tcPr>
          <w:p>
            <w:pPr>
              <w:spacing w:after="0"/>
              <w:rPr>
                <w:sz w:val="24"/>
                <w:szCs w:val="24"/>
                <w:color w:val="auto"/>
              </w:rPr>
            </w:pPr>
          </w:p>
        </w:tc>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F-1</w:t>
            </w:r>
          </w:p>
        </w:tc>
      </w:tr>
    </w:tbl>
    <w:p>
      <w:pPr>
        <w:sectPr>
          <w:pgSz w:w="11900" w:h="16838" w:orient="portrait"/>
          <w:cols w:equalWidth="0" w:num="1">
            <w:col w:w="11140"/>
          </w:cols>
          <w:pgMar w:left="320" w:top="455" w:right="4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2480" w:firstLine="2503"/>
        <w:spacing w:after="0" w:line="50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Opthea Limited </w:t>
      </w:r>
      <w:r>
        <w:rPr>
          <w:rFonts w:ascii="Times New Roman" w:cs="Times New Roman" w:eastAsia="Times New Roman" w:hAnsi="Times New Roman"/>
          <w:sz w:val="18"/>
          <w:szCs w:val="18"/>
          <w:b w:val="1"/>
          <w:bCs w:val="1"/>
          <w:color w:val="auto"/>
        </w:rPr>
        <w:t>Opinion on the Financial Statements</w:t>
      </w:r>
    </w:p>
    <w:p>
      <w:pPr>
        <w:spacing w:after="0" w:line="150"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Opthea Limited and subsidiary (the “Company”) as of June 30, 2020 and 2019, the related consolidated statements of profit or loss and other comprehensive income, changes in equity, and cash flows for each of the two years in the period ended June 30, 2020 and the related notes (collectively referred to as the “financial statements”).</w:t>
      </w:r>
    </w:p>
    <w:p>
      <w:pPr>
        <w:spacing w:after="0" w:line="119"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June 30, 2020 and 2019, and the results of its operations and its cash flows for each of the two years in the period ended June 30, 2020, in conformity with International Financial Reporting Standards as issued by the International Accounting Standards Board.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7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ind w:left="120" w:right="120"/>
        <w:spacing w:after="0" w:line="301"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DELOITTE TOUCHE TOHMATSU</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Perth, Australia</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September 2020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left="420" w:right="160"/>
        <w:spacing w:after="0" w:line="277" w:lineRule="auto"/>
        <w:rPr>
          <w:sz w:val="20"/>
          <w:szCs w:val="20"/>
          <w:color w:val="auto"/>
        </w:rPr>
      </w:pPr>
      <w:r>
        <w:rPr>
          <w:rFonts w:ascii="Times New Roman" w:cs="Times New Roman" w:eastAsia="Times New Roman" w:hAnsi="Times New Roman"/>
          <w:sz w:val="18"/>
          <w:szCs w:val="18"/>
          <w:b w:val="1"/>
          <w:bCs w:val="1"/>
          <w:color w:val="auto"/>
        </w:rPr>
        <w:t>CONSOLIDATED STATEMENT OF PROFIT OR LOSS AND OTHER COMPREHENSIVE INCOME FOR THE YEARS ENDED JUNE 30, 2019 AND 2020</w:t>
      </w:r>
    </w:p>
    <w:p>
      <w:pPr>
        <w:spacing w:after="0" w:line="10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2"/>
                <w:szCs w:val="12"/>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14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159,064</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836,821</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783,830</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(31,347,891)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(17,954,073)</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(161,148)</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(429,229)</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(112,795)</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(114,046)</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(5,174,755)</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(7,001,507)</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(108,904)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(33,846)</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 /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362,574</w:t>
            </w: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(400,608)</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(35,547,034)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(25,062,404)</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8,533,123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(20,910,061)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will not be reclassified subsequently to profit or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Fair value gains on investments in financial assets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259,864</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259,864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58,840</w:t>
            </w:r>
          </w:p>
        </w:tc>
        <w:tc>
          <w:tcPr>
            <w:tcW w:w="0" w:type="dxa"/>
            <w:vAlign w:val="bottom"/>
          </w:tcPr>
          <w:p>
            <w:pPr>
              <w:spacing w:after="0"/>
              <w:rPr>
                <w:sz w:val="1"/>
                <w:szCs w:val="1"/>
                <w:color w:val="auto"/>
              </w:rPr>
            </w:pPr>
          </w:p>
        </w:tc>
      </w:tr>
      <w:tr>
        <w:trPr>
          <w:trHeight w:val="222"/>
        </w:trPr>
        <w:tc>
          <w:tcPr>
            <w:tcW w:w="8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comprehensive loss for the year</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(20,650,197)</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(16,470,441)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 is attributable to:</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Owners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(20,910,061)</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(20,910,061)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comprehensive loss for the year is attributable to:</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Owners of the Company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(20,650,197)</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(16,470,441)</w:t>
            </w:r>
          </w:p>
        </w:tc>
        <w:tc>
          <w:tcPr>
            <w:tcW w:w="0" w:type="dxa"/>
            <w:vAlign w:val="bottom"/>
          </w:tcPr>
          <w:p>
            <w:pPr>
              <w:spacing w:after="0"/>
              <w:rPr>
                <w:sz w:val="1"/>
                <w:szCs w:val="1"/>
                <w:color w:val="auto"/>
              </w:rPr>
            </w:pPr>
          </w:p>
        </w:tc>
      </w:tr>
      <w:tr>
        <w:trPr>
          <w:trHeight w:val="222"/>
        </w:trPr>
        <w:tc>
          <w:tcPr>
            <w:tcW w:w="8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(20,650,197)</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(16,470,441)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attributable to Owners of the Company—basic and diluted (in cents)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left="440" w:right="440"/>
        <w:spacing w:after="0" w:line="447" w:lineRule="auto"/>
        <w:rPr>
          <w:sz w:val="20"/>
          <w:szCs w:val="20"/>
          <w:color w:val="auto"/>
        </w:rPr>
      </w:pPr>
      <w:r>
        <w:rPr>
          <w:rFonts w:ascii="Times New Roman" w:cs="Times New Roman" w:eastAsia="Times New Roman" w:hAnsi="Times New Roman"/>
          <w:sz w:val="18"/>
          <w:szCs w:val="18"/>
          <w:color w:val="auto"/>
        </w:rPr>
        <w:t>The above consolidated statement of profit or loss and other comprehensive income should be read in conjunction with the accompanying notes. F-3</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AS AT JUNE 30, 2019 AND 2020</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Pr>
          <w:p>
            <w:pPr>
              <w:spacing w:after="0"/>
              <w:rPr>
                <w:sz w:val="12"/>
                <w:szCs w:val="12"/>
                <w:color w:val="auto"/>
              </w:rPr>
            </w:pPr>
          </w:p>
        </w:tc>
        <w:tc>
          <w:tcPr>
            <w:tcW w:w="11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2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196"/>
        </w:trPr>
        <w:tc>
          <w:tcPr>
            <w:tcW w:w="8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21,534,919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62,020,382</w:t>
            </w: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tax receivable</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8,533,123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295,786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284,391</w:t>
            </w: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Prepayments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424,603</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478,632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36,892,281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71,316,528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Investments in financial assets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714,118</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289,980</w:t>
            </w: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Plant and equipment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54,063</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37,180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Right-of-use asset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243,510</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768,181</w:t>
            </w:r>
          </w:p>
        </w:tc>
        <w:tc>
          <w:tcPr>
            <w:tcW w:w="2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37,660,462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71,887,198</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Payables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5,951,942</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5,895,034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 liabilities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145,043</w:t>
            </w: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237,820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538,547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640,934</w:t>
            </w:r>
          </w:p>
        </w:tc>
        <w:tc>
          <w:tcPr>
            <w:tcW w:w="0" w:type="dxa"/>
            <w:vAlign w:val="bottom"/>
          </w:tcPr>
          <w:p>
            <w:pPr>
              <w:spacing w:after="0"/>
              <w:rPr>
                <w:sz w:val="1"/>
                <w:szCs w:val="1"/>
                <w:color w:val="auto"/>
              </w:rPr>
            </w:pPr>
          </w:p>
        </w:tc>
      </w:tr>
      <w:tr>
        <w:trPr>
          <w:trHeight w:val="222"/>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6,516,081</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6,918,831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 liabilities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120,033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40,197</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2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6,540,925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7,079,061</w:t>
            </w:r>
          </w:p>
        </w:tc>
        <w:tc>
          <w:tcPr>
            <w:tcW w:w="0" w:type="dxa"/>
            <w:vAlign w:val="bottom"/>
          </w:tcPr>
          <w:p>
            <w:pPr>
              <w:spacing w:after="0"/>
              <w:rPr>
                <w:sz w:val="1"/>
                <w:szCs w:val="1"/>
                <w:color w:val="auto"/>
              </w:rPr>
            </w:pPr>
          </w:p>
        </w:tc>
      </w:tr>
      <w:tr>
        <w:trPr>
          <w:trHeight w:val="222"/>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Contributed equity</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113,021,993</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162,102,553</w:t>
            </w: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losses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(86,060,060)</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(102,589,341)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Reserves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4,157,604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5,294,925</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31,119,537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64,808,137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37,660,462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71,887,198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above consolidated statement of financial position should be read in conjunction with the accompanying notes.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 FOR THE YEARS ENDED JUNE 30, 2019 AND 2020</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based</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Contributed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payments</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of investments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 equity</w:t>
            </w:r>
          </w:p>
        </w:tc>
      </w:tr>
      <w:tr>
        <w:trPr>
          <w:trHeight w:val="165"/>
        </w:trPr>
        <w:tc>
          <w:tcPr>
            <w:tcW w:w="350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July 1, 2018</w:t>
            </w: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98,403,149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1,989,067</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2,452,838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477,391</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(65,149,999)</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38,172,446</w:t>
            </w:r>
          </w:p>
        </w:tc>
        <w:tc>
          <w:tcPr>
            <w:tcW w:w="140" w:type="dxa"/>
            <w:vAlign w:val="bottom"/>
            <w:tcBorders>
              <w:top w:val="single" w:sz="8" w:color="CCEEFF"/>
            </w:tcBorders>
            <w:shd w:val="clear" w:color="auto" w:fill="CCEEFF"/>
          </w:tcPr>
          <w:p>
            <w:pPr>
              <w:spacing w:after="0"/>
              <w:rPr>
                <w:sz w:val="18"/>
                <w:szCs w:val="18"/>
                <w:color w:val="auto"/>
              </w:rPr>
            </w:pPr>
          </w:p>
        </w:tc>
      </w:tr>
      <w:tr>
        <w:trPr>
          <w:trHeight w:val="202"/>
        </w:trPr>
        <w:tc>
          <w:tcPr>
            <w:tcW w:w="35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Fair value gains on investments in financial</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259,864</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259,864</w:t>
            </w:r>
          </w:p>
        </w:tc>
      </w:tr>
      <w:tr>
        <w:trPr>
          <w:trHeight w:val="21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(20,910,061)</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(20,910,061)</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and expense for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period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259,864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(20,910,061)</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(20,650,197)</w:t>
            </w:r>
          </w:p>
        </w:tc>
      </w:tr>
      <w:tr>
        <w:trPr>
          <w:trHeight w:val="21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share-based payment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967,511</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967,511</w:t>
            </w:r>
          </w:p>
        </w:tc>
      </w:tr>
      <w:tr>
        <w:trPr>
          <w:trHeight w:val="202"/>
        </w:trPr>
        <w:tc>
          <w:tcPr>
            <w:tcW w:w="35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Transfer from option reserve on exercise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1,989,067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(1,989,067)</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ordinary shares on exercise of options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12,629,777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12,629,777</w:t>
            </w: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June 30, 2019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113,021,993</w:t>
            </w:r>
          </w:p>
        </w:tc>
        <w:tc>
          <w:tcPr>
            <w:tcW w:w="1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3,420,349</w:t>
            </w:r>
          </w:p>
        </w:tc>
        <w:tc>
          <w:tcPr>
            <w:tcW w:w="1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737,255</w:t>
            </w:r>
          </w:p>
        </w:tc>
        <w:tc>
          <w:tcPr>
            <w:tcW w:w="16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(86,060,060)</w:t>
            </w:r>
          </w:p>
        </w:tc>
        <w:tc>
          <w:tcPr>
            <w:tcW w:w="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31,119,537</w:t>
            </w:r>
          </w:p>
        </w:tc>
        <w:tc>
          <w:tcPr>
            <w:tcW w:w="140" w:type="dxa"/>
            <w:vAlign w:val="bottom"/>
          </w:tcPr>
          <w:p>
            <w:pPr>
              <w:spacing w:after="0"/>
              <w:rPr>
                <w:sz w:val="20"/>
                <w:szCs w:val="20"/>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Fair value gains on investments in financial</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assets(1)</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58,840</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58,840</w:t>
            </w: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(16,529,281)</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r>
      <w:tr>
        <w:trPr>
          <w:trHeight w:val="202"/>
        </w:trPr>
        <w:tc>
          <w:tcPr>
            <w:tcW w:w="35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Total comprehensive income and expense for</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period</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58,840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(16,529,281)</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(16,470,441)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share-based payment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1,078,481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1,078,481</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ordinary shares on exercise of options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420,000</w:t>
            </w: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Issue of ordinary shares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48,660,560</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48,660,560</w:t>
            </w:r>
          </w:p>
        </w:tc>
        <w:tc>
          <w:tcPr>
            <w:tcW w:w="140" w:type="dxa"/>
            <w:vAlign w:val="bottom"/>
          </w:tcPr>
          <w:p>
            <w:pPr>
              <w:spacing w:after="0"/>
              <w:rPr>
                <w:sz w:val="19"/>
                <w:szCs w:val="19"/>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June 30, 2020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162,102,553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4,498,830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796,095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(102,589,341)</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64,808,137</w:t>
            </w:r>
          </w:p>
        </w:tc>
      </w:tr>
      <w:tr>
        <w:trPr>
          <w:trHeight w:val="20"/>
        </w:trPr>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540" w:hanging="424"/>
        <w:spacing w:after="0"/>
        <w:tabs>
          <w:tab w:leader="none" w:pos="54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are after tax.</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above consolidated statement of changes in equity should be read in conjunction with the accompanying notes.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FOR THE YEARS ENDED JUNE 30, 2019 AND 2020</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2"/>
                <w:szCs w:val="12"/>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r>
      <w:tr>
        <w:trPr>
          <w:trHeight w:val="165"/>
        </w:trPr>
        <w:tc>
          <w:tcPr>
            <w:tcW w:w="814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8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received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817,314</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742,014</w:t>
            </w:r>
          </w:p>
        </w:tc>
      </w:tr>
      <w:tr>
        <w:trPr>
          <w:trHeight w:val="216"/>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Royalty and license income received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138,916</w:t>
            </w:r>
          </w:p>
        </w:tc>
      </w:tr>
      <w:tr>
        <w:trPr>
          <w:trHeight w:val="216"/>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 income received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77,745</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r>
      <w:tr>
        <w:trPr>
          <w:trHeight w:val="216"/>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 of lease interest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(7,680)</w:t>
            </w:r>
          </w:p>
        </w:tc>
      </w:tr>
      <w:tr>
        <w:trPr>
          <w:trHeight w:val="202"/>
        </w:trPr>
        <w:tc>
          <w:tcPr>
            <w:tcW w:w="81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Payments to suppliers and employees and for research and development and intellectual property costs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8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(inclusive of Goods and Service Tax)</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(37,268,212)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(24,354,991)</w:t>
            </w:r>
          </w:p>
        </w:tc>
      </w:tr>
      <w:tr>
        <w:trPr>
          <w:trHeight w:val="217"/>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 tax incentive scheme credit received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12,017,247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14,636,973</w:t>
            </w: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(24,185,156)</w:t>
            </w:r>
          </w:p>
        </w:tc>
        <w:tc>
          <w:tcPr>
            <w:tcW w:w="2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(8,782,268)</w:t>
            </w:r>
          </w:p>
        </w:tc>
        <w:tc>
          <w:tcPr>
            <w:tcW w:w="14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received on disposal of financial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339,046</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482,978</w:t>
            </w:r>
          </w:p>
        </w:tc>
      </w:tr>
      <w:tr>
        <w:trPr>
          <w:trHeight w:val="216"/>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(18,070)</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(7,238)</w:t>
            </w: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investing activities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320,976</w:t>
            </w:r>
          </w:p>
        </w:tc>
        <w:tc>
          <w:tcPr>
            <w:tcW w:w="2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475,740</w:t>
            </w:r>
          </w:p>
        </w:tc>
        <w:tc>
          <w:tcPr>
            <w:tcW w:w="14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(100,189)</w:t>
            </w:r>
          </w:p>
        </w:tc>
      </w:tr>
      <w:tr>
        <w:trPr>
          <w:trHeight w:val="216"/>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proceeds on issue of ordinary shares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48,660,560</w:t>
            </w:r>
          </w:p>
        </w:tc>
      </w:tr>
      <w:tr>
        <w:trPr>
          <w:trHeight w:val="223"/>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received for ordinary shares issued on exercise of options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12,629,777</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4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12,629,777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48,980,371</w:t>
            </w:r>
          </w:p>
        </w:tc>
      </w:tr>
      <w:tr>
        <w:trPr>
          <w:trHeight w:val="222"/>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(11,234,403)</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40,673,843</w:t>
            </w:r>
          </w:p>
        </w:tc>
        <w:tc>
          <w:tcPr>
            <w:tcW w:w="140" w:type="dxa"/>
            <w:vAlign w:val="bottom"/>
          </w:tcPr>
          <w:p>
            <w:pPr>
              <w:spacing w:after="0"/>
              <w:rPr>
                <w:sz w:val="19"/>
                <w:szCs w:val="19"/>
                <w:color w:val="auto"/>
              </w:rPr>
            </w:pPr>
          </w:p>
        </w:tc>
      </w:tr>
      <w:tr>
        <w:trPr>
          <w:trHeight w:val="21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32,510,230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21,534,919</w:t>
            </w: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 on cash held in foreign currencies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259,092</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(188,380)</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21,534,919</w:t>
            </w: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62,020,382</w:t>
            </w:r>
          </w:p>
        </w:tc>
        <w:tc>
          <w:tcPr>
            <w:tcW w:w="14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above consolidated statement of cash flows should be read in conjunction with the accompanying notes.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77"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entity</w:t>
      </w:r>
    </w:p>
    <w:p>
      <w:pPr>
        <w:spacing w:after="0" w:line="79"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The significant accounting policies adopted in preparing the consolidated financial statements of Opthea Limited (“Opthea” or the “Company”) and its subsidiary (the “Consolidated Entity” or “Group”) for the years ended June 30, 2019 and 2020, are stated to assist in a general understanding of the consolidated financial statements.</w:t>
      </w:r>
    </w:p>
    <w:p>
      <w:pPr>
        <w:spacing w:after="0" w:line="119"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Opthea is a company limited by shares, incorporated and domiciled in Australia and has its registered office on Suite 403, Level 4, 650 Chapel Street, South Yarra, Victoria. The Company’s ordinary shares are listed on the Australian Securities Exchange (the “ASX”) under the symbol “OPT.”</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Group’s principal activity is the research and development of OPT-302 for the treatment of retinal diseases.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for the year ended June 30, 2020 were authorized for issue by the directors on September 1, 2020.</w:t>
      </w:r>
    </w:p>
    <w:p>
      <w:pPr>
        <w:spacing w:after="0" w:line="156"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accounting</w:t>
      </w:r>
    </w:p>
    <w:p>
      <w:pPr>
        <w:spacing w:after="0" w:line="79"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These financial statements are general purpose financial statements which have been prepared in accordance with International Financial Reporting Standards (“IFRS”) as issued by the International Accounting Standards Board (the “IASB”).</w:t>
      </w:r>
    </w:p>
    <w:p>
      <w:pPr>
        <w:spacing w:after="0" w:line="106" w:lineRule="exact"/>
        <w:rPr>
          <w:sz w:val="20"/>
          <w:szCs w:val="20"/>
          <w:color w:val="auto"/>
        </w:rPr>
      </w:pPr>
    </w:p>
    <w:p>
      <w:pPr>
        <w:ind w:left="120" w:right="560" w:firstLine="440"/>
        <w:spacing w:after="0" w:line="275" w:lineRule="auto"/>
        <w:rPr>
          <w:sz w:val="20"/>
          <w:szCs w:val="20"/>
          <w:color w:val="auto"/>
        </w:rPr>
      </w:pPr>
      <w:r>
        <w:rPr>
          <w:rFonts w:ascii="Times New Roman" w:cs="Times New Roman" w:eastAsia="Times New Roman" w:hAnsi="Times New Roman"/>
          <w:sz w:val="18"/>
          <w:szCs w:val="18"/>
          <w:color w:val="auto"/>
        </w:rPr>
        <w:t>The financial statements comprise the consolidated financial statements of the Group. For the purposes of preparing the consolidated financial statements, the Company is a for-profit entity.</w:t>
      </w:r>
    </w:p>
    <w:p>
      <w:pPr>
        <w:spacing w:after="0" w:line="104" w:lineRule="exact"/>
        <w:rPr>
          <w:sz w:val="20"/>
          <w:szCs w:val="20"/>
          <w:color w:val="auto"/>
        </w:rPr>
      </w:pPr>
    </w:p>
    <w:p>
      <w:pPr>
        <w:ind w:left="540" w:hanging="424"/>
        <w:spacing w:after="0"/>
        <w:tabs>
          <w:tab w:leader="none" w:pos="5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w:t>
      </w:r>
    </w:p>
    <w:p>
      <w:pPr>
        <w:spacing w:after="0" w:line="159"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using the significant accounting policies and measurement bases summarized below.</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79"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historical cost basis, except for investments classified as financial assets, which have been measured at fair value. All amounts are presented in Australian dollars.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consolidated financial statements incorporate the financial statements of the Company and its subsidiary. Control is achieved when the Company:</w:t>
      </w:r>
    </w:p>
    <w:p>
      <w:pPr>
        <w:spacing w:after="0" w:line="100" w:lineRule="exact"/>
        <w:rPr>
          <w:sz w:val="20"/>
          <w:szCs w:val="20"/>
          <w:color w:val="auto"/>
        </w:rPr>
      </w:pPr>
    </w:p>
    <w:p>
      <w:pPr>
        <w:ind w:left="760" w:hanging="212"/>
        <w:spacing w:after="0"/>
        <w:tabs>
          <w:tab w:leader="none" w:pos="7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to affect its returns.</w:t>
      </w:r>
    </w:p>
    <w:p>
      <w:pPr>
        <w:spacing w:after="0" w:line="185" w:lineRule="exact"/>
        <w:rPr>
          <w:sz w:val="20"/>
          <w:szCs w:val="20"/>
          <w:color w:val="auto"/>
        </w:rPr>
      </w:pPr>
    </w:p>
    <w:p>
      <w:pPr>
        <w:ind w:left="120" w:right="520" w:firstLine="440"/>
        <w:spacing w:after="0" w:line="275" w:lineRule="auto"/>
        <w:rPr>
          <w:sz w:val="20"/>
          <w:szCs w:val="20"/>
          <w:color w:val="auto"/>
        </w:rPr>
      </w:pPr>
      <w:r>
        <w:rPr>
          <w:rFonts w:ascii="Times New Roman" w:cs="Times New Roman" w:eastAsia="Times New Roman" w:hAnsi="Times New Roman"/>
          <w:sz w:val="18"/>
          <w:szCs w:val="18"/>
          <w:color w:val="auto"/>
        </w:rPr>
        <w:t>Consolidation of a subsidiary begins when the Company obtains control over the subsidiary and ceases when the Company loses control of the subsidiary.</w:t>
      </w:r>
    </w:p>
    <w:p>
      <w:pPr>
        <w:spacing w:after="0" w:line="106"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members of the Group are eliminated in full on consolidation.</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Both the functional and presentation currency of the Group is Australian dollars (A$).</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 and balances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Transactions in foreign currencies are initially recorded in the functional currency by applying the exchange rates ruling at the date of the transaction.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Monetary assets and liabilities denominated in foreign currencies are retranslated at the rate of exchange ruling at the reporting date.</w:t>
      </w:r>
    </w:p>
    <w:p>
      <w:pPr>
        <w:spacing w:after="0" w:line="145"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color w:val="auto"/>
        </w:rPr>
        <w:t>Non-monetary items that are measured in terms of historical cost in a foreign currency are translated using the exchange rate as at the date of the initial transaction. Non-monetary items measured at fair value in a foreign currency are translated using the exchange rates at the date when the fair value was determined.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assets and liabilities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Recognition and derecognition of financial assets</w:t>
      </w:r>
    </w:p>
    <w:p>
      <w:pPr>
        <w:spacing w:after="0" w:line="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Purchases and sales of financial assets that require delivery of assets within the time frame generally established by regulation or convention in the market place are recognized on the trade date, i.e., the date that the Group commits to purchase the asset. Financial assets are derecognized when the right to receive cash flows from the financial assets has expired or when the entity transfers substantially all the risks and rewards of the financial assets. If the entity neither retains nor transfers substantially all of the risks and rewards, it derecognizes the asset if it has transferred control of the assets.</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financial assets are recognized initially, they are measured at fair value, plus directly attributable transaction costs.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81" w:lineRule="exact"/>
        <w:rPr>
          <w:sz w:val="20"/>
          <w:szCs w:val="20"/>
          <w:color w:val="auto"/>
        </w:rPr>
      </w:pPr>
    </w:p>
    <w:p>
      <w:pPr>
        <w:ind w:left="120" w:right="160" w:firstLine="440"/>
        <w:spacing w:after="0" w:line="339" w:lineRule="auto"/>
        <w:rPr>
          <w:sz w:val="20"/>
          <w:szCs w:val="20"/>
          <w:color w:val="auto"/>
        </w:rPr>
      </w:pPr>
      <w:r>
        <w:rPr>
          <w:rFonts w:ascii="Times New Roman" w:cs="Times New Roman" w:eastAsia="Times New Roman" w:hAnsi="Times New Roman"/>
          <w:sz w:val="16"/>
          <w:szCs w:val="16"/>
          <w:color w:val="auto"/>
        </w:rPr>
        <w:t>Cash and cash equivalents in the statement of financial position comprise cash at bank and in hand and short-term deposits with an original maturity of three months or less that are readily convertible to known amounts of cash and which are subject to an insignificant risk of changes in value.</w:t>
      </w:r>
    </w:p>
    <w:p>
      <w:pPr>
        <w:spacing w:after="0" w:line="61" w:lineRule="exact"/>
        <w:rPr>
          <w:sz w:val="20"/>
          <w:szCs w:val="20"/>
          <w:color w:val="auto"/>
        </w:rPr>
      </w:pPr>
    </w:p>
    <w:p>
      <w:pPr>
        <w:ind w:left="340" w:right="1520" w:firstLine="220"/>
        <w:spacing w:after="0" w:line="375" w:lineRule="auto"/>
        <w:rPr>
          <w:sz w:val="20"/>
          <w:szCs w:val="20"/>
          <w:color w:val="auto"/>
        </w:rPr>
      </w:pPr>
      <w:r>
        <w:rPr>
          <w:rFonts w:ascii="Times New Roman" w:cs="Times New Roman" w:eastAsia="Times New Roman" w:hAnsi="Times New Roman"/>
          <w:sz w:val="18"/>
          <w:szCs w:val="18"/>
          <w:color w:val="auto"/>
        </w:rPr>
        <w:t xml:space="preserve">For the purposes of the statement of cash flows, cash and cash equivalents consist of cash and cash equivalents as defined above. </w:t>
      </w:r>
      <w:r>
        <w:rPr>
          <w:rFonts w:ascii="Times New Roman" w:cs="Times New Roman" w:eastAsia="Times New Roman" w:hAnsi="Times New Roman"/>
          <w:sz w:val="18"/>
          <w:szCs w:val="18"/>
          <w:b w:val="1"/>
          <w:bCs w:val="1"/>
          <w:i w:val="1"/>
          <w:iCs w:val="1"/>
          <w:color w:val="auto"/>
        </w:rPr>
        <w:t>Other receivables</w:t>
      </w:r>
    </w:p>
    <w:p>
      <w:pPr>
        <w:spacing w:after="0" w:line="1" w:lineRule="exact"/>
        <w:rPr>
          <w:sz w:val="20"/>
          <w:szCs w:val="20"/>
          <w:color w:val="auto"/>
        </w:rPr>
      </w:pPr>
    </w:p>
    <w:p>
      <w:pPr>
        <w:jc w:val="both"/>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Other receivables generally comprise bank interest receivable, other receivables from external parties and Goods and Services Tax (“GST”) credits receivable and are recognized and carried at original invoice amount less an allowance for any uncollectible amounts. The amounts are usually received within 30 to 60 days of recognition.</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Group measures the loss allowance for receivables at an amount equal to lifetime expected credit losses (“ECL”). The ECL on receivables are estimated under the simplified approach as permitted under IFRS 9 “Financial Instruments.” This uses a provision matrix by reference to past experience of the debtor and an analysis of the debtor’s current financial position, adjusted for factors that are specific to the debtors and general economic conditions of the industry in which the debtors operate.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The Group writes off a receivable when there is information indicating that the debtor is in severe financial difficulty and there is no realistic prospect of recovery.</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Investments in financial assets comprise of the Group’s non-current investments in listed companies.</w:t>
      </w:r>
    </w:p>
    <w:p>
      <w:pPr>
        <w:spacing w:after="0" w:line="158"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color w:val="auto"/>
        </w:rPr>
        <w:t>On initial recognition, the Group may make an irrevocable election (on an instrument-by-instrument basis) to designate investments in equity instruments as fair value through other comprehensive income (“FVTOCI”). Designation at FVTOCI is not permitted if the equity instrument is held for trading.</w:t>
      </w:r>
    </w:p>
    <w:p>
      <w:pPr>
        <w:spacing w:after="0" w:line="119" w:lineRule="exact"/>
        <w:rPr>
          <w:sz w:val="20"/>
          <w:szCs w:val="20"/>
          <w:color w:val="auto"/>
        </w:rPr>
      </w:pPr>
    </w:p>
    <w:p>
      <w:pPr>
        <w:ind w:left="120" w:right="20" w:firstLine="440"/>
        <w:spacing w:after="0" w:line="301" w:lineRule="auto"/>
        <w:rPr>
          <w:sz w:val="20"/>
          <w:szCs w:val="20"/>
          <w:color w:val="auto"/>
        </w:rPr>
      </w:pPr>
      <w:r>
        <w:rPr>
          <w:rFonts w:ascii="Times New Roman" w:cs="Times New Roman" w:eastAsia="Times New Roman" w:hAnsi="Times New Roman"/>
          <w:sz w:val="16"/>
          <w:szCs w:val="16"/>
          <w:color w:val="auto"/>
        </w:rPr>
        <w:t>Investments in equity instruments at FVTOCI are initially measured at fair value plus transaction costs. Subsequently, they are measured at fair value with gains or losses arising from changes in the fair value recognized in other comprehensive income and accumulated in the fair value of investments reserve. The fair values of investments in financial assets that are actively traded in organized financial markets is determined by reference to quoted market bid prices at the close of business on the reporting date. The cumulative gain or loss is not reclassified to profit or loss on disposal of the equity instruments.</w:t>
      </w:r>
    </w:p>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Dividends on these investments in equity instruments are recognized in profit or loss in accordance with IFRS.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81"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Almost all of the Group’s finance income is earned on short-term bank deposits, and as such, finance income is recognized when the Group’s right to receive the payment is established.</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Payables</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Payables are carried at amortized cost and due to their short-term nature, they are not discounted. They represent liabilities for goods and services provided to the Group prior to the end of the financial year that are unpaid and arise when the Group becomes obliged to make future payments in respect of the purchase of these goods and services.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amounts are unsecured and are usually paid within 30 days of recognition.</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liabilities</w:t>
      </w:r>
    </w:p>
    <w:p>
      <w:pPr>
        <w:spacing w:after="0" w:line="81" w:lineRule="exact"/>
        <w:rPr>
          <w:sz w:val="20"/>
          <w:szCs w:val="20"/>
          <w:color w:val="auto"/>
        </w:rPr>
      </w:pPr>
    </w:p>
    <w:p>
      <w:pPr>
        <w:ind w:left="120" w:right="500" w:firstLine="440"/>
        <w:spacing w:after="0" w:line="339" w:lineRule="auto"/>
        <w:rPr>
          <w:sz w:val="20"/>
          <w:szCs w:val="20"/>
          <w:color w:val="auto"/>
        </w:rPr>
      </w:pPr>
      <w:r>
        <w:rPr>
          <w:rFonts w:ascii="Times New Roman" w:cs="Times New Roman" w:eastAsia="Times New Roman" w:hAnsi="Times New Roman"/>
          <w:sz w:val="16"/>
          <w:szCs w:val="16"/>
          <w:color w:val="auto"/>
        </w:rPr>
        <w:t>Other financial liabilities in the statement of financial position represent the year end marked-to-market value of forward rate foreign exchange contracts to purchase US dollars (“Contracts”). These Contracts are used to settle US dollar denominated payables and expire within one year.</w:t>
      </w:r>
    </w:p>
    <w:p>
      <w:pPr>
        <w:spacing w:after="0" w:line="61"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The foreign exchange loss on recognition of the Contracts is included in “net foreign exchange gain/(loss)” in the Consolidated Statement of Profit or Loss and Other Comprehensive Income.</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79" w:lineRule="exact"/>
        <w:rPr>
          <w:sz w:val="20"/>
          <w:szCs w:val="20"/>
          <w:color w:val="auto"/>
        </w:rPr>
      </w:pPr>
    </w:p>
    <w:p>
      <w:pPr>
        <w:ind w:left="120" w:right="400" w:firstLine="440"/>
        <w:spacing w:after="0" w:line="275" w:lineRule="auto"/>
        <w:rPr>
          <w:sz w:val="20"/>
          <w:szCs w:val="20"/>
          <w:color w:val="auto"/>
        </w:rPr>
      </w:pPr>
      <w:r>
        <w:rPr>
          <w:rFonts w:ascii="Times New Roman" w:cs="Times New Roman" w:eastAsia="Times New Roman" w:hAnsi="Times New Roman"/>
          <w:sz w:val="18"/>
          <w:szCs w:val="18"/>
          <w:color w:val="auto"/>
        </w:rPr>
        <w:t>Plant and equipment is stated at historical cost less accumulated depreciation and any accumulated impairment losses. Depreciation on plant and equipment is calculated on a straight-line basis over their useful economic lives as follows:</w:t>
      </w:r>
    </w:p>
    <w:p>
      <w:pPr>
        <w:spacing w:after="0" w:line="25" w:lineRule="exact"/>
        <w:rPr>
          <w:sz w:val="20"/>
          <w:szCs w:val="20"/>
          <w:color w:val="auto"/>
        </w:rPr>
      </w:pPr>
    </w:p>
    <w:p>
      <w:pPr>
        <w:ind w:left="760" w:hanging="212"/>
        <w:spacing w:after="0"/>
        <w:tabs>
          <w:tab w:leader="none" w:pos="7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furniture—3 to 10 years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improvements—8 years or the term of the lease if shorter</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55" w:right="47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assets’ residual values, useful lives and amortization methods are reviewed, and adjusted if appropriate, at each financial year end.</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item of plant and equipment is derecognized upon disposal or when no further economic benefits are expected from its use or disposal.</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79"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The Group has applied IFRS 16 “Leases” using the cumulative catch-up approach and therefore comparative information has not been restated and is presented under International Accounting Standard (“IAS”) 17 “Leases”. The details of accounting policies under both IAS 17 and IFRS 16 are presented separately below.</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Policies applicable from July 1, 2019</w:t>
      </w:r>
    </w:p>
    <w:p>
      <w:pPr>
        <w:spacing w:after="0" w:line="81"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The Group assesses at contract inception whether a contract is, or contains, a lease. A contract is, or contains, a lease if the contract conveys the right to control the use of an identified asset for a period of time in exchange for consideration.</w:t>
      </w:r>
    </w:p>
    <w:p>
      <w:pPr>
        <w:spacing w:after="0" w:line="106" w:lineRule="exact"/>
        <w:rPr>
          <w:sz w:val="20"/>
          <w:szCs w:val="20"/>
          <w:color w:val="auto"/>
        </w:rPr>
      </w:pPr>
    </w:p>
    <w:p>
      <w:pPr>
        <w:ind w:left="120" w:right="380" w:firstLine="440"/>
        <w:spacing w:after="0" w:line="275" w:lineRule="auto"/>
        <w:rPr>
          <w:sz w:val="20"/>
          <w:szCs w:val="20"/>
          <w:color w:val="auto"/>
        </w:rPr>
      </w:pPr>
      <w:r>
        <w:rPr>
          <w:rFonts w:ascii="Times New Roman" w:cs="Times New Roman" w:eastAsia="Times New Roman" w:hAnsi="Times New Roman"/>
          <w:sz w:val="18"/>
          <w:szCs w:val="18"/>
          <w:color w:val="auto"/>
        </w:rPr>
        <w:t>The Group applies a single recognition and measurement approach for all leases, except for short-term leases and leases of low-value assets. The Group recognizes lease liabilities to make lease payments and right-of-use assets representing the right to use the underlying assets.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Right-of-use assets are recognized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terms and the estimated useful lives of the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81"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Lease liabilities are recognized at the commencement date of the lease at the present value of lease payments to be made over the lease term. The lease payments include fixed payments (including in-substance fixed payments) less any lease incentives receivable.</w:t>
      </w:r>
    </w:p>
    <w:p>
      <w:pPr>
        <w:spacing w:after="0" w:line="10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calculating the present value of lease payments, the Group uses its incremental borrowing rate at the lease commencement date because the interest rate implicit in the lease is not readily determinable. The incremental borrowing rate is determined using market yields on bonds with similar terms to maturity.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lease payments (e.g., a change to future lease payments resulting from a change in an index or rate).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 of low-value assets</w:t>
      </w:r>
    </w:p>
    <w:p>
      <w:pPr>
        <w:spacing w:after="0" w:line="81"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For short-term leases (lease term of 12 months or less) and leases of low-value assets (such as photo copiers and telephones), the Group has opted to recognize a lease expense on a straight-line basis as permitted by IFRS 16. This expense is presented within “administrative expenses” in the Consolidated Statement for Profit or Loss and Other Comprehensive Income.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right="900" w:firstLine="728"/>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FOR THE YEARS ENDED JUNE 30, 2019 AND 2020 </w:t>
      </w:r>
      <w:r>
        <w:rPr>
          <w:rFonts w:ascii="Times New Roman" w:cs="Times New Roman" w:eastAsia="Times New Roman" w:hAnsi="Times New Roman"/>
          <w:sz w:val="18"/>
          <w:szCs w:val="18"/>
          <w:b w:val="1"/>
          <w:bCs w:val="1"/>
          <w:i w:val="1"/>
          <w:iCs w:val="1"/>
          <w:color w:val="auto"/>
        </w:rPr>
        <w:t>Policies applicable prior to July 1, 2019</w:t>
      </w:r>
    </w:p>
    <w:p>
      <w:pPr>
        <w:spacing w:after="0" w:line="1"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The determination of whether an arrangement is or contains a lease is based on the substance of the arrangement and requires an assessment of whether the fulfilment of the arrangement is dependent on the use of a specific asset or assets and the arrangement conveys a right to use the asset, even if that right is not explicitly specified in an arrangement.</w:t>
      </w:r>
    </w:p>
    <w:p>
      <w:pPr>
        <w:spacing w:after="0" w:line="119"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Leases are classified as finance leases whenever the terms of the lease transfer substantially all the risks and rewards of ownership to the lessee. All other leases are classified as operating leases.</w:t>
      </w:r>
    </w:p>
    <w:p>
      <w:pPr>
        <w:spacing w:after="0" w:line="106"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Operating lease payments are recognized as an expense in profit or loss on a straight-line basis over the lease term. Operating lease incentives are recognized in the statement of comprehensive income as an integral part of the total lease expense.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held no finance leases during the 2019 or 2020 financial years.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7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Research costs are expensed as incurred. An intangible asset arising from the development expenditure on an internal project will only be recognized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development and the ability to measure reliably the expenditure attributable to the intangible asset during its development.</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2019 and 2020, the Group is in the research phase and has not capitalized any development costs to date.</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and employee benefits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Wages, salaries, annual leave and sick leave</w:t>
      </w:r>
    </w:p>
    <w:p>
      <w:pPr>
        <w:spacing w:after="0" w:line="81" w:lineRule="exact"/>
        <w:rPr>
          <w:sz w:val="20"/>
          <w:szCs w:val="20"/>
          <w:color w:val="auto"/>
        </w:rPr>
      </w:pPr>
    </w:p>
    <w:p>
      <w:pPr>
        <w:jc w:val="both"/>
        <w:ind w:left="120" w:firstLine="440"/>
        <w:spacing w:after="0" w:line="310" w:lineRule="auto"/>
        <w:rPr>
          <w:sz w:val="20"/>
          <w:szCs w:val="20"/>
          <w:color w:val="auto"/>
        </w:rPr>
      </w:pPr>
      <w:r>
        <w:rPr>
          <w:rFonts w:ascii="Times New Roman" w:cs="Times New Roman" w:eastAsia="Times New Roman" w:hAnsi="Times New Roman"/>
          <w:sz w:val="16"/>
          <w:szCs w:val="16"/>
          <w:color w:val="auto"/>
        </w:rPr>
        <w:t>Liabilities for wages and salaries, including non-monetary benefits and annual leave expected to be settled within 12 months of the reporting date, are recognized in current provisions in respect of employees’ services up to the reporting date. They are measured at the amounts expected to be paid when the liabilities are settled. Expenses for non-accumulating sick leave are recognized when the leave is taken and are measured at the rate paid or payable.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 service leave</w:t>
      </w:r>
    </w:p>
    <w:p>
      <w:pPr>
        <w:spacing w:after="0" w:line="8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liability for long service leave is recognized in the provision for employee benefits and measured as the present value of expected future payments to be made in respect of services provided by employees up to the reporting date. Consideration is given to expected future wage and salary levels, experience of employee departures, and periods of service. Expected future payments are discounted using market yields at the reporting date on bonds with terms to maturity that match, as closely as possible, the estimated future cash outflows.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5" w:right="49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940" w:firstLine="948"/>
        <w:spacing w:after="0" w:line="384"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 Share-based payment transactions</w:t>
      </w:r>
    </w:p>
    <w:p>
      <w:pPr>
        <w:spacing w:after="0" w:line="1" w:lineRule="exact"/>
        <w:rPr>
          <w:sz w:val="20"/>
          <w:szCs w:val="20"/>
          <w:color w:val="auto"/>
        </w:rPr>
      </w:pPr>
    </w:p>
    <w:p>
      <w:pPr>
        <w:ind w:left="120" w:right="240" w:firstLine="440"/>
        <w:spacing w:after="0" w:line="275" w:lineRule="auto"/>
        <w:rPr>
          <w:sz w:val="20"/>
          <w:szCs w:val="20"/>
          <w:color w:val="auto"/>
        </w:rPr>
      </w:pPr>
      <w:r>
        <w:rPr>
          <w:rFonts w:ascii="Times New Roman" w:cs="Times New Roman" w:eastAsia="Times New Roman" w:hAnsi="Times New Roman"/>
          <w:sz w:val="18"/>
          <w:szCs w:val="18"/>
          <w:color w:val="auto"/>
        </w:rPr>
        <w:t>The Group provides benefits to directors and employees (including key management personnel) of the Group in the form of share-based payments, whereby employees render services in exchange for shares or rights over shares (equity-settled transactions).</w:t>
      </w:r>
    </w:p>
    <w:p>
      <w:pPr>
        <w:spacing w:after="0" w:line="106"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The cost of these equity-settled transactions with employees is measured by reference to the fair value at the date at which they are granted. Binomial models are used to value the options issued.</w:t>
      </w:r>
    </w:p>
    <w:p>
      <w:pPr>
        <w:spacing w:after="0" w:line="106" w:lineRule="exact"/>
        <w:rPr>
          <w:sz w:val="20"/>
          <w:szCs w:val="20"/>
          <w:color w:val="auto"/>
        </w:rPr>
      </w:pPr>
    </w:p>
    <w:p>
      <w:pPr>
        <w:ind w:left="120" w:right="200" w:firstLine="440"/>
        <w:spacing w:after="0" w:line="339" w:lineRule="auto"/>
        <w:rPr>
          <w:sz w:val="20"/>
          <w:szCs w:val="20"/>
          <w:color w:val="auto"/>
        </w:rPr>
      </w:pPr>
      <w:r>
        <w:rPr>
          <w:rFonts w:ascii="Times New Roman" w:cs="Times New Roman" w:eastAsia="Times New Roman" w:hAnsi="Times New Roman"/>
          <w:sz w:val="16"/>
          <w:szCs w:val="16"/>
          <w:color w:val="auto"/>
        </w:rPr>
        <w:t>The cost of the equity-settled transactions is recognized, together with a corresponding increase in equity, over the period in which the performance conditions are fulfilled (the vesting period), ending on the date on which the relevant employees become fully entitled to the award (the vesting date).</w:t>
      </w:r>
    </w:p>
    <w:p>
      <w:pPr>
        <w:spacing w:after="0" w:line="61" w:lineRule="exact"/>
        <w:rPr>
          <w:sz w:val="20"/>
          <w:szCs w:val="20"/>
          <w:color w:val="auto"/>
        </w:rPr>
      </w:pPr>
    </w:p>
    <w:p>
      <w:pPr>
        <w:ind w:left="120" w:right="280" w:firstLine="440"/>
        <w:spacing w:after="0" w:line="275" w:lineRule="auto"/>
        <w:rPr>
          <w:sz w:val="20"/>
          <w:szCs w:val="20"/>
          <w:color w:val="auto"/>
        </w:rPr>
      </w:pPr>
      <w:r>
        <w:rPr>
          <w:rFonts w:ascii="Times New Roman" w:cs="Times New Roman" w:eastAsia="Times New Roman" w:hAnsi="Times New Roman"/>
          <w:sz w:val="18"/>
          <w:szCs w:val="18"/>
          <w:color w:val="auto"/>
        </w:rPr>
        <w:t>The charge to profit or loss for the period is the cumulative amount less the amounts already charged in previous periods. There is a corresponding credit to equity.</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Until an award has vested, any amounts recorded are contingent and will be adjusted if more or fewer awards vest than were originally anticipated to</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 so.</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Contributed equity</w:t>
      </w:r>
    </w:p>
    <w:p>
      <w:pPr>
        <w:spacing w:after="0" w:line="79" w:lineRule="exact"/>
        <w:rPr>
          <w:sz w:val="20"/>
          <w:szCs w:val="20"/>
          <w:color w:val="auto"/>
        </w:rPr>
      </w:pPr>
    </w:p>
    <w:p>
      <w:pPr>
        <w:ind w:left="120" w:right="740" w:firstLine="440"/>
        <w:spacing w:after="0" w:line="275" w:lineRule="auto"/>
        <w:rPr>
          <w:sz w:val="20"/>
          <w:szCs w:val="20"/>
          <w:color w:val="auto"/>
        </w:rPr>
      </w:pPr>
      <w:r>
        <w:rPr>
          <w:rFonts w:ascii="Times New Roman" w:cs="Times New Roman" w:eastAsia="Times New Roman" w:hAnsi="Times New Roman"/>
          <w:sz w:val="18"/>
          <w:szCs w:val="18"/>
          <w:color w:val="auto"/>
        </w:rPr>
        <w:t>Ordinary shares are classified as equity. Incremental costs directly attributable to the issue of new shares or options are shown in equity as a deduction, net of tax, from the proceeds.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License revenue in connection with licensing of the Group’s intellectual property (including patents) to customers is recognized as a right to use the Group’s intellectual property as it exists at the point in time in which the license is granted. This is because the contracts for the license of intellectual property are distinct and do not require, nor does the customer reasonably expect, that the Group will undertake further activities that significantly affect the intellectual property to which the customer has the rights. Although the Group is entitled to sales-based royalties from the eventual sales of goods and services to third parties using the intellectual property licensed, these royalty arrangements do not in themselves indicate that the customer would reasonably expect the Group to undertake such activities, and no such activities are undertaken or contracted in practice. Accordingly, the promise to provide rights to the Group’s intellectual property is accounted for as a performance obligation satisfied at a point in time.</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consideration is received in exchange for licenses of intellectual property:</w:t>
      </w:r>
    </w:p>
    <w:p>
      <w:pPr>
        <w:spacing w:after="0" w:line="75" w:lineRule="exact"/>
        <w:rPr>
          <w:sz w:val="20"/>
          <w:szCs w:val="20"/>
          <w:color w:val="auto"/>
        </w:rPr>
      </w:pPr>
    </w:p>
    <w:p>
      <w:pPr>
        <w:ind w:left="760" w:right="340" w:hanging="212"/>
        <w:spacing w:after="0" w:line="277" w:lineRule="auto"/>
        <w:tabs>
          <w:tab w:leader="none" w:pos="7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Up-front license fees</w:t>
      </w:r>
      <w:r>
        <w:rPr>
          <w:rFonts w:ascii="Times New Roman" w:cs="Times New Roman" w:eastAsia="Times New Roman" w:hAnsi="Times New Roman"/>
          <w:sz w:val="18"/>
          <w:szCs w:val="18"/>
          <w:color w:val="auto"/>
        </w:rPr>
        <w:t>—these are fixed amounts and are recognized at the point in time when the Group transfers the intellectual property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w:t>
      </w:r>
    </w:p>
    <w:p>
      <w:pPr>
        <w:spacing w:after="0" w:line="21" w:lineRule="exact"/>
        <w:rPr>
          <w:rFonts w:ascii="Times New Roman" w:cs="Times New Roman" w:eastAsia="Times New Roman" w:hAnsi="Times New Roman"/>
          <w:sz w:val="18"/>
          <w:szCs w:val="18"/>
          <w:color w:val="auto"/>
        </w:rPr>
      </w:pPr>
    </w:p>
    <w:p>
      <w:pPr>
        <w:ind w:left="760" w:right="200" w:hanging="212"/>
        <w:spacing w:after="0" w:line="342" w:lineRule="auto"/>
        <w:tabs>
          <w:tab w:leader="none" w:pos="76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Sales-based royalties</w:t>
      </w:r>
      <w:r>
        <w:rPr>
          <w:rFonts w:ascii="Times New Roman" w:cs="Times New Roman" w:eastAsia="Times New Roman" w:hAnsi="Times New Roman"/>
          <w:sz w:val="16"/>
          <w:szCs w:val="16"/>
          <w:color w:val="auto"/>
        </w:rPr>
        <w:t>—these are variable consideration amounts promised in exchange for the license of intellectual property and are recognized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when the sales to third parties occur given the performance obligation to transfer the intellectual property to the customer is already satisfied.</w:t>
      </w:r>
    </w:p>
    <w:p>
      <w:pPr>
        <w:spacing w:after="0" w:line="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years ended June 30, 2019 and 2020, the Group’s only revenue related to sales-based royalties.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tax</w:t>
      </w:r>
    </w:p>
    <w:p>
      <w:pPr>
        <w:spacing w:after="0" w:line="81"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Current tax assets and liabilities for the current and prior periods are measured at the amount expected to be recovered from or paid to the taxation authorities based on the current period’s taxable income.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tax rates and tax laws used to compute the amount are those that are enacted or substantively enacted by the reporting date.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tax incentive</w:t>
      </w:r>
    </w:p>
    <w:p>
      <w:pPr>
        <w:spacing w:after="0" w:line="8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Research and Development (“R&amp;D”) Tax Incentive Scheme is an Australian Federal Government program under which eligible companies with annual aggregated revenue of less than A$20 million can receive cash amounts equal to 43.5% of eligible research and development expenditures from the Australian Taxation Office (“ATO”). The R&amp;D Tax Incentive Scheme incentive relates to eligible expenditure incurred in Australia and, under certain circumstances, overseas on the development of the Group’s lead candidate, OPT-302. The R&amp;D tax incentive is applied annually to eligible expenditure incurred during the Group’s financial year following annual application to AusIndustry, an Australian governmental agency, and subsequent filing of its Income Tax Return with the ATO after the financial year end.</w:t>
      </w:r>
    </w:p>
    <w:p>
      <w:pPr>
        <w:spacing w:after="0" w:line="125" w:lineRule="exact"/>
        <w:rPr>
          <w:sz w:val="20"/>
          <w:szCs w:val="20"/>
          <w:color w:val="auto"/>
        </w:rPr>
      </w:pPr>
    </w:p>
    <w:p>
      <w:pPr>
        <w:jc w:val="both"/>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The Group estimates the amount of R&amp;D tax incentive after the completion of the financial year based on eligible Australia and overseas expenditures incurred during that year.</w:t>
      </w:r>
    </w:p>
    <w:p>
      <w:pPr>
        <w:spacing w:after="0" w:line="106" w:lineRule="exact"/>
        <w:rPr>
          <w:sz w:val="20"/>
          <w:szCs w:val="20"/>
          <w:color w:val="auto"/>
        </w:rPr>
      </w:pPr>
    </w:p>
    <w:p>
      <w:pPr>
        <w:ind w:left="120" w:right="360" w:firstLine="440"/>
        <w:spacing w:after="0" w:line="275" w:lineRule="auto"/>
        <w:rPr>
          <w:sz w:val="20"/>
          <w:szCs w:val="20"/>
          <w:color w:val="auto"/>
        </w:rPr>
      </w:pPr>
      <w:r>
        <w:rPr>
          <w:rFonts w:ascii="Times New Roman" w:cs="Times New Roman" w:eastAsia="Times New Roman" w:hAnsi="Times New Roman"/>
          <w:sz w:val="18"/>
          <w:szCs w:val="18"/>
          <w:color w:val="auto"/>
        </w:rPr>
        <w:t>The Group has presented incentives in respect of the R&amp;D Tax Incentive Scheme within income tax benefit in the Statement of Profit or Loss and Other Comprehensive Income by analogizing with IAS 12 “Income Taxes”.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p>
      <w:pPr>
        <w:spacing w:after="0" w:line="81"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Deferred income tax is provided on all temporary differences at the reporting date between the tax bases of assets and liabilities and their carrying amounts for financial reporting purposes.</w:t>
      </w:r>
    </w:p>
    <w:p>
      <w:pPr>
        <w:spacing w:after="0" w:line="106"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color w:val="auto"/>
        </w:rPr>
        <w:t>Deferred income tax liabilities are recognized for all taxable temporary differences except when the deferred income tax liability arises from the initial recognition of goodwill or of an asset or liability in a transaction that is not a business combination and that, at the time of the transaction, affects neither the accounting profit nor taxable profit or loss.</w:t>
      </w:r>
    </w:p>
    <w:p>
      <w:pPr>
        <w:spacing w:after="0" w:line="11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Deferred income tax assets are recognized for all deductible temporary differences, carry forward of unused tax assets (or credits) and unused tax losses, to the extent that it is probable that taxable profit will be available against which the deductible temporary differences, and the carry forward of unused tax credits and unused tax losses can be utilized, except when the deferred income tax asset relating to the deductible temporary differences arises from the initial recognition of an asset or liability in a transaction that is not a business combination and, at the time of the transaction, affects neither the accounting profit or taxable profit or loss.</w:t>
      </w:r>
    </w:p>
    <w:p>
      <w:pPr>
        <w:spacing w:after="0" w:line="125" w:lineRule="exact"/>
        <w:rPr>
          <w:sz w:val="20"/>
          <w:szCs w:val="20"/>
          <w:color w:val="auto"/>
        </w:rPr>
      </w:pPr>
    </w:p>
    <w:p>
      <w:pPr>
        <w:ind w:left="120" w:right="520" w:firstLine="440"/>
        <w:spacing w:after="0" w:line="275" w:lineRule="auto"/>
        <w:rPr>
          <w:sz w:val="20"/>
          <w:szCs w:val="20"/>
          <w:color w:val="auto"/>
        </w:rPr>
      </w:pPr>
      <w:r>
        <w:rPr>
          <w:rFonts w:ascii="Times New Roman" w:cs="Times New Roman" w:eastAsia="Times New Roman" w:hAnsi="Times New Roman"/>
          <w:sz w:val="18"/>
          <w:szCs w:val="18"/>
          <w:color w:val="auto"/>
        </w:rPr>
        <w:t>The carrying amount of deferred income tax assets is reviewed at each reporting date and reduced to the extent that it is no longer probable that sufficient taxable profit will be available to allow all or part of the deferred income tax asset to be utilized.</w:t>
      </w:r>
    </w:p>
    <w:p>
      <w:pPr>
        <w:spacing w:after="0" w:line="106"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Unrecognized deferred income tax assets are reassessed at each reporting date and are recognized to the extent that it has become probable that future taxable profit will allow the deferred tax asset to be recovered.</w:t>
      </w:r>
    </w:p>
    <w:p>
      <w:pPr>
        <w:spacing w:after="0" w:line="106"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Deferred income tax assets and liabilities are measured at the tax rates that are expected to apply to the year when the asset is realized or the liability is settled, based on tax rates (and tax laws) that have been enacted or substantively enacted at balance date.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taxes relating to items recognized directly in equity are recognized directly in equity and not in profit or loss.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right="900" w:firstLine="728"/>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FOR THE YEARS ENDED JUNE 30, 2019 AND 2020 </w:t>
      </w:r>
      <w:r>
        <w:rPr>
          <w:rFonts w:ascii="Times New Roman" w:cs="Times New Roman" w:eastAsia="Times New Roman" w:hAnsi="Times New Roman"/>
          <w:sz w:val="18"/>
          <w:szCs w:val="18"/>
          <w:b w:val="1"/>
          <w:bCs w:val="1"/>
          <w:i w:val="1"/>
          <w:iCs w:val="1"/>
          <w:color w:val="auto"/>
        </w:rPr>
        <w:t>Tax consolidation legislation</w:t>
      </w:r>
    </w:p>
    <w:p>
      <w:pPr>
        <w:spacing w:after="0" w:line="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Tax consolidation is a system adopted by the ATO that treats a group of entities as a single entity for tax purposes. Opthea Limited and its 100% owned subsidiary formed a tax consolidated group effective July 1, 2003. The head entity, Opthea Limited, and its controlled entity, Vegenics Pty Ltd, are current members of the tax consolidated group and account for their own current and deferred tax amounts. Members of the tax consolidated group have adopted the “separate taxpayer within group” method to allocate the current and deferred tax amounts to each entity within the Group. This method requires adjustments for transactions and events occurring within the tax consolidated group that do not give rise to a tax consequence for the Group or that have a different tax consequence at the level of the Group.</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taxes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expenses, assets and liabilities are recognized net of the amount of GST except:</w:t>
      </w:r>
    </w:p>
    <w:p>
      <w:pPr>
        <w:spacing w:after="0" w:line="77" w:lineRule="exact"/>
        <w:rPr>
          <w:sz w:val="20"/>
          <w:szCs w:val="20"/>
          <w:color w:val="auto"/>
        </w:rPr>
      </w:pPr>
    </w:p>
    <w:p>
      <w:pPr>
        <w:ind w:left="760" w:right="60" w:hanging="212"/>
        <w:spacing w:after="0" w:line="275" w:lineRule="auto"/>
        <w:tabs>
          <w:tab w:leader="none" w:pos="7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GST incurred on a purchase of goods and services is not recoverable from the taxation authority, in which case the GST is recognized as part of the cost of acquisition of the asset or as part of the expense item as applicable;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and payables are stated with the amount of GST included.</w:t>
      </w:r>
    </w:p>
    <w:p>
      <w:pPr>
        <w:spacing w:after="0" w:line="185" w:lineRule="exact"/>
        <w:rPr>
          <w:sz w:val="20"/>
          <w:szCs w:val="20"/>
          <w:color w:val="auto"/>
        </w:rPr>
      </w:pPr>
    </w:p>
    <w:p>
      <w:pPr>
        <w:ind w:left="120" w:right="520" w:firstLine="440"/>
        <w:spacing w:after="0" w:line="275" w:lineRule="auto"/>
        <w:rPr>
          <w:sz w:val="20"/>
          <w:szCs w:val="20"/>
          <w:color w:val="auto"/>
        </w:rPr>
      </w:pPr>
      <w:r>
        <w:rPr>
          <w:rFonts w:ascii="Times New Roman" w:cs="Times New Roman" w:eastAsia="Times New Roman" w:hAnsi="Times New Roman"/>
          <w:sz w:val="18"/>
          <w:szCs w:val="18"/>
          <w:color w:val="auto"/>
        </w:rPr>
        <w:t>The net amount of GST recoverable from, or payable to the taxation authority is included as part of receivables or payables in the statement of financial position.</w:t>
      </w:r>
    </w:p>
    <w:p>
      <w:pPr>
        <w:spacing w:after="0" w:line="106"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Cash flows are included in the statement of cash flows on a gross basis and the GST component of cash flows arising from investing and financing activities, which is recoverable from, or payable to, the taxation authority is classified as part of operating cash flows.</w:t>
      </w:r>
    </w:p>
    <w:p>
      <w:pPr>
        <w:spacing w:after="0" w:line="106" w:lineRule="exact"/>
        <w:rPr>
          <w:sz w:val="20"/>
          <w:szCs w:val="20"/>
          <w:color w:val="auto"/>
        </w:rPr>
      </w:pPr>
    </w:p>
    <w:p>
      <w:pPr>
        <w:ind w:left="120" w:right="1560" w:firstLine="440"/>
        <w:spacing w:after="0" w:line="375" w:lineRule="auto"/>
        <w:rPr>
          <w:sz w:val="20"/>
          <w:szCs w:val="20"/>
          <w:color w:val="auto"/>
        </w:rPr>
      </w:pPr>
      <w:r>
        <w:rPr>
          <w:rFonts w:ascii="Times New Roman" w:cs="Times New Roman" w:eastAsia="Times New Roman" w:hAnsi="Times New Roman"/>
          <w:sz w:val="18"/>
          <w:szCs w:val="18"/>
          <w:color w:val="auto"/>
        </w:rPr>
        <w:t xml:space="preserve">Commitments and contingencies are disclosed net of the amount of GST recoverable from, or payable to, the taxation authority. </w:t>
      </w:r>
      <w:r>
        <w:rPr>
          <w:rFonts w:ascii="Times New Roman" w:cs="Times New Roman" w:eastAsia="Times New Roman" w:hAnsi="Times New Roman"/>
          <w:sz w:val="18"/>
          <w:szCs w:val="18"/>
          <w:b w:val="1"/>
          <w:bCs w:val="1"/>
          <w:color w:val="auto"/>
        </w:rPr>
        <w:t>Reclassification</w:t>
      </w:r>
    </w:p>
    <w:p>
      <w:pPr>
        <w:spacing w:after="0" w:line="1" w:lineRule="exact"/>
        <w:rPr>
          <w:sz w:val="20"/>
          <w:szCs w:val="20"/>
          <w:color w:val="auto"/>
        </w:rPr>
      </w:pPr>
    </w:p>
    <w:p>
      <w:pPr>
        <w:ind w:left="120" w:right="320" w:firstLine="440"/>
        <w:spacing w:after="0" w:line="275" w:lineRule="auto"/>
        <w:rPr>
          <w:sz w:val="20"/>
          <w:szCs w:val="20"/>
          <w:color w:val="auto"/>
        </w:rPr>
      </w:pPr>
      <w:r>
        <w:rPr>
          <w:rFonts w:ascii="Times New Roman" w:cs="Times New Roman" w:eastAsia="Times New Roman" w:hAnsi="Times New Roman"/>
          <w:sz w:val="18"/>
          <w:szCs w:val="18"/>
          <w:color w:val="auto"/>
        </w:rPr>
        <w:t>Certain amounts previously reported in the consolidated financial statements have been reclassified to conform to current year presentation. Such reclassifications did not affect net loss, shareholders’ equity or cash flows.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Immaterial error correction</w:t>
      </w:r>
    </w:p>
    <w:p>
      <w:pPr>
        <w:spacing w:after="0" w:line="7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During the year ended June 30, 2020, the Group corrected a prior period immaterial error to the consolidated statement of changes in equity for the year ended June 30, 2019. Specifically, the Group corrected the subtotaled consolidated total comprehensive income and expense for the period included in the Consolidated Statement of Changes in Equity for the year ended June 30, 2019, which had previously included opening amounts for those categories in the subtotals as well. The update of the subtotals had no impact on shareholders’ equity, net loss, total other comprehensive losses included in the Consolidated Statement of Profit or Loss and Other Comprehensive Income or Consolidated Statement of Cash Flows for the periods ended June 30, 2019 as well as June 30, 2020.</w:t>
      </w:r>
    </w:p>
    <w:p>
      <w:pPr>
        <w:spacing w:after="0" w:line="123" w:lineRule="exact"/>
        <w:rPr>
          <w:sz w:val="20"/>
          <w:szCs w:val="20"/>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judgments and key sources of estimation uncertainty</w:t>
      </w:r>
    </w:p>
    <w:p>
      <w:pPr>
        <w:spacing w:after="0" w:line="79"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In applying the Group’s accounting policies, management continually evaluates judgments, estimates and assumptions based on experience and other factors, including expectations of future events that may have an</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5" w:right="49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8"/>
          <w:szCs w:val="18"/>
          <w:color w:val="auto"/>
        </w:rPr>
        <w:t>impact on the Group. All judgments, estimates and assumptions made are believed to be reasonable based on the most current set of circumstances available to management. Actual results may differ from the judgments, estimates and assumptions.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judgments, estimates and assumptions made by management in the preparation of these financial statements are outlined below:</w:t>
      </w:r>
    </w:p>
    <w:p>
      <w:pPr>
        <w:spacing w:after="0" w:line="15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6"/>
          <w:szCs w:val="16"/>
          <w:b w:val="1"/>
          <w:bCs w:val="1"/>
          <w:color w:val="auto"/>
        </w:rPr>
        <w:t>Critical judgments in applying accounting policies Research and development costs</w:t>
      </w:r>
    </w:p>
    <w:p>
      <w:pPr>
        <w:spacing w:after="0" w:line="79" w:lineRule="exact"/>
        <w:rPr>
          <w:sz w:val="20"/>
          <w:szCs w:val="20"/>
          <w:color w:val="auto"/>
        </w:rPr>
      </w:pPr>
    </w:p>
    <w:p>
      <w:pPr>
        <w:jc w:val="both"/>
        <w:ind w:left="120" w:right="300" w:firstLine="440"/>
        <w:spacing w:after="0" w:line="262" w:lineRule="auto"/>
        <w:rPr>
          <w:sz w:val="20"/>
          <w:szCs w:val="20"/>
          <w:color w:val="auto"/>
        </w:rPr>
      </w:pPr>
      <w:r>
        <w:rPr>
          <w:rFonts w:ascii="Times New Roman" w:cs="Times New Roman" w:eastAsia="Times New Roman" w:hAnsi="Times New Roman"/>
          <w:sz w:val="18"/>
          <w:szCs w:val="18"/>
          <w:color w:val="auto"/>
        </w:rPr>
        <w:t>The majority of Opthea’s expenditure is incurred as a result of clinical trials for OPT-302. During the years ended June 30, 2019 and 2020, Opthea progressed Phase 2b wet age-related macular degeneration (“wet AMD”) and Phase 1b/2a diabetic macular edema (“DME”) trials. A key measure of the Company’s performance is the level of expenditure incurred on the research of OPT-302.</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Judgment is required in relation to:</w:t>
      </w:r>
    </w:p>
    <w:p>
      <w:pPr>
        <w:spacing w:after="0" w:line="77" w:lineRule="exact"/>
        <w:rPr>
          <w:sz w:val="20"/>
          <w:szCs w:val="20"/>
          <w:color w:val="auto"/>
        </w:rPr>
      </w:pPr>
    </w:p>
    <w:p>
      <w:pPr>
        <w:ind w:left="760" w:hanging="212"/>
        <w:spacing w:after="0"/>
        <w:tabs>
          <w:tab w:leader="none" w:pos="7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expenses in the income statement between research and development costs and operating expenses; and</w:t>
      </w:r>
    </w:p>
    <w:p>
      <w:pPr>
        <w:spacing w:after="0" w:line="103" w:lineRule="exact"/>
        <w:rPr>
          <w:rFonts w:ascii="Times New Roman" w:cs="Times New Roman" w:eastAsia="Times New Roman" w:hAnsi="Times New Roman"/>
          <w:sz w:val="18"/>
          <w:szCs w:val="18"/>
          <w:color w:val="auto"/>
        </w:rPr>
      </w:pPr>
    </w:p>
    <w:p>
      <w:pPr>
        <w:ind w:left="760" w:right="360" w:hanging="212"/>
        <w:spacing w:after="0" w:line="275" w:lineRule="auto"/>
        <w:tabs>
          <w:tab w:leader="none" w:pos="7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costs relate to R&amp;D, and consequently if they meet the capitalization criteria under International Accounting Standards 38 “Intangible Assets.”</w:t>
      </w:r>
    </w:p>
    <w:p>
      <w:pPr>
        <w:spacing w:after="0" w:line="106"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The directors have determined that the Group is still in a research phase and accordingly, no development costs have been capitalized as of June 30, 2019 and 2020.</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tax incentive</w:t>
      </w:r>
    </w:p>
    <w:p>
      <w:pPr>
        <w:spacing w:after="0" w:line="81"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The R&amp;D Tax Incentive Scheme is an Australian Federal Government program under which eligible companies can receive cash refunds of 43.5% of eligible R&amp;D expenditure. Judgments are required as to the R&amp;D tax incentive refundable offset eligibility in respect of:</w:t>
      </w:r>
    </w:p>
    <w:p>
      <w:pPr>
        <w:spacing w:after="0" w:line="25" w:lineRule="exact"/>
        <w:rPr>
          <w:sz w:val="20"/>
          <w:szCs w:val="20"/>
          <w:color w:val="auto"/>
        </w:rPr>
      </w:pPr>
    </w:p>
    <w:p>
      <w:pPr>
        <w:ind w:left="760" w:hanging="212"/>
        <w:spacing w:after="0"/>
        <w:tabs>
          <w:tab w:leader="none" w:pos="7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ability to make claims and its continued compliance under the scheme;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and other supporting costs previously approved by Australian tax authorities;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amounts, timing and geographical location of future costs related to the projects for which applications have been approved to date; and</w:t>
      </w:r>
    </w:p>
    <w:p>
      <w:pPr>
        <w:spacing w:after="0" w:line="126" w:lineRule="exact"/>
        <w:rPr>
          <w:rFonts w:ascii="Times New Roman" w:cs="Times New Roman" w:eastAsia="Times New Roman" w:hAnsi="Times New Roman"/>
          <w:sz w:val="16"/>
          <w:szCs w:val="16"/>
          <w:color w:val="auto"/>
        </w:rPr>
      </w:pPr>
    </w:p>
    <w:p>
      <w:pPr>
        <w:ind w:left="760" w:right="380" w:hanging="212"/>
        <w:spacing w:after="0" w:line="275" w:lineRule="auto"/>
        <w:tabs>
          <w:tab w:leader="none" w:pos="7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whether expenditure on projects for which approval has been given by Australian tax authorities relate to Australian or overseas expenditure.</w:t>
      </w:r>
    </w:p>
    <w:p>
      <w:pPr>
        <w:spacing w:after="0" w:line="10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the years ended June 30, 2019 and 2020, the Group has recognized an R&amp;D tax incentive receivable of A$14.6 million and A$8.5 million respectively within the Consolidated Statement of Financial Position, with a corresponding amount recognized within income tax benefit within the Consolidated Statement of Profit or Loss and Other Comprehensive Income. The R&amp;D tax incentive receivable as at June 30, 2020 is based on the legislation as currently enacted as at June 30, 2020. Any proposed changes to the legislation may have a retrospective impact if the legislation is passed in its currently proposed form.</w:t>
      </w:r>
    </w:p>
    <w:p>
      <w:pPr>
        <w:spacing w:after="0" w:line="1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Investment tax credits such as the R&amp;D tax incentive are outside of the scope of IAS 12 “Income Taxes” and IAS 20 “Accounting for Government Grants and Disclosure of Government Assistance.” Based on the guidance in IAS 8 “Accounting Policies, Changes in Accounting Estimates and Errors,” companies need to make an accounting policy choice on how to present these incentives, which in practice is done by either analogizing with IAS 12 or with IAS 20. In the Group’s opinion, the R&amp;D tax incentive should be presented by analogizing</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940" w:firstLine="948"/>
        <w:spacing w:after="0" w:line="432" w:lineRule="auto"/>
        <w:rPr>
          <w:sz w:val="20"/>
          <w:szCs w:val="20"/>
          <w:color w:val="auto"/>
        </w:rPr>
      </w:pPr>
      <w:r>
        <w:rPr>
          <w:rFonts w:ascii="Times New Roman" w:cs="Times New Roman" w:eastAsia="Times New Roman" w:hAnsi="Times New Roman"/>
          <w:sz w:val="16"/>
          <w:szCs w:val="16"/>
          <w:b w:val="1"/>
          <w:bCs w:val="1"/>
          <w:color w:val="auto"/>
        </w:rPr>
        <w:t xml:space="preserve">NOTES TO THE CONSOLIDATED FINANCIAL STATEMENTS FOR THE YEARS ENDED JUNE 30, 2019 AND 2020 </w:t>
      </w:r>
      <w:r>
        <w:rPr>
          <w:rFonts w:ascii="Times New Roman" w:cs="Times New Roman" w:eastAsia="Times New Roman" w:hAnsi="Times New Roman"/>
          <w:sz w:val="16"/>
          <w:szCs w:val="16"/>
          <w:color w:val="auto"/>
        </w:rPr>
        <w:t>to IAS 12 because the nature of the incentive is considered to be more closely aligned to income taxes, based on the following considerations:</w:t>
      </w:r>
    </w:p>
    <w:p>
      <w:pPr>
        <w:spacing w:after="0" w:line="1" w:lineRule="exact"/>
        <w:rPr>
          <w:sz w:val="20"/>
          <w:szCs w:val="20"/>
          <w:color w:val="auto"/>
        </w:rPr>
      </w:pPr>
    </w:p>
    <w:p>
      <w:pPr>
        <w:ind w:left="760" w:right="80" w:hanging="212"/>
        <w:spacing w:after="0" w:line="258" w:lineRule="auto"/>
        <w:tabs>
          <w:tab w:leader="none" w:pos="7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R&amp;D tax incentive is considered an income tax offset which will be offset against the Group’s tax obligation if and when the Group returns to a net tax payable position. In addition, whilst the Group is currently eligible to receive cash payments under the scheme since its consolidated revenue is currently below A$20 million, if and when the Group generates revenue in excess of A$20 million the R&amp;D tax incentive will become non-refundable and can only be offset against any future income tax payable by the Group.</w:t>
      </w:r>
    </w:p>
    <w:p>
      <w:pPr>
        <w:spacing w:after="0" w:line="41" w:lineRule="exact"/>
        <w:rPr>
          <w:rFonts w:ascii="Times New Roman" w:cs="Times New Roman" w:eastAsia="Times New Roman" w:hAnsi="Times New Roman"/>
          <w:sz w:val="18"/>
          <w:szCs w:val="18"/>
          <w:color w:val="auto"/>
        </w:rPr>
      </w:pPr>
    </w:p>
    <w:p>
      <w:pPr>
        <w:ind w:left="760" w:right="240" w:hanging="212"/>
        <w:spacing w:after="0" w:line="275" w:lineRule="auto"/>
        <w:tabs>
          <w:tab w:leader="none" w:pos="7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which is the tax authority in Australia, manages the annual claims process as the R&amp;D tax incentive is included in the Group’s annual income tax return.</w:t>
      </w:r>
    </w:p>
    <w:p>
      <w:pPr>
        <w:spacing w:after="0" w:line="25" w:lineRule="exact"/>
        <w:rPr>
          <w:rFonts w:ascii="Times New Roman" w:cs="Times New Roman" w:eastAsia="Times New Roman" w:hAnsi="Times New Roman"/>
          <w:sz w:val="18"/>
          <w:szCs w:val="18"/>
          <w:color w:val="auto"/>
        </w:rPr>
      </w:pPr>
    </w:p>
    <w:p>
      <w:pPr>
        <w:ind w:left="760" w:right="620" w:hanging="212"/>
        <w:spacing w:after="0" w:line="275" w:lineRule="auto"/>
        <w:tabs>
          <w:tab w:leader="none" w:pos="7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is also responsible for making the R&amp;D tax incentive cash payment if a company is eligible for a cash refund under the program, oversees compliance with the requirements of the R&amp;D tax incentive scheme and performs pre-issuance reviews.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8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Group’s accounting policy for taxation requires judgments as to the differences between tax and accounting treatments of income and costs recognized in the Consolidated Statement of Profit or Loss and Other Comprehensive Income. Judgment is also required in assessing whether deferred tax assets and liabilities are recognized in the statement of financial position and if accumulated income tax losses can be used to offset potential future tax profits.</w:t>
      </w:r>
    </w:p>
    <w:p>
      <w:pPr>
        <w:spacing w:after="0" w:line="1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6"/>
          <w:szCs w:val="16"/>
          <w:b w:val="1"/>
          <w:bCs w:val="1"/>
          <w:color w:val="auto"/>
        </w:rPr>
        <w:t>Key sources of estimation uncertainty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transactions</w:t>
      </w:r>
    </w:p>
    <w:p>
      <w:pPr>
        <w:spacing w:after="0" w:line="8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Group measures the cost of equity-settled transactions with employees by reference to the fair value of the equity instruments at the date at which they are granted. Fair values are determined internally using Binomial models. The related assumptions are detailed in note 28. The accounting estimates and assumptions relating to equity-settled share-based payments have no impact on the carrying amounts of assets and liabilities in future reporting periods but may impact expenses and equity. Should one or more of the assumptions and estimates used in estimating the fair value of share-based payments change, this could have a material impact on the amounts recognized in equity and employee-related expenses.</w:t>
      </w:r>
    </w:p>
    <w:p>
      <w:pPr>
        <w:spacing w:after="0" w:line="123"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new and revised Accounting Standards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to Accounting Standards that are mandatorily effective for the current year</w:t>
      </w:r>
    </w:p>
    <w:p>
      <w:pPr>
        <w:spacing w:after="0" w:line="79"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The Group has adopted all of the new and revised Standards and Interpretations issued by the IASB that are relevant to its operations and effective for the current year.</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and revised Standards and amendments thereof and Interpretations effective for the current year that are relevant to the Group include:</w:t>
      </w:r>
    </w:p>
    <w:p>
      <w:pPr>
        <w:spacing w:after="0" w:line="77" w:lineRule="exact"/>
        <w:rPr>
          <w:sz w:val="20"/>
          <w:szCs w:val="20"/>
          <w:color w:val="auto"/>
        </w:rPr>
      </w:pPr>
    </w:p>
    <w:p>
      <w:pPr>
        <w:ind w:left="760" w:hanging="212"/>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16 “Leases”;</w:t>
      </w:r>
    </w:p>
    <w:p>
      <w:pPr>
        <w:spacing w:after="0" w:line="103"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Improvements to IFRS Standards 2015–2017 Cycle Amendments to IFRS 3 “Business Combinations”, IFRS 11 “Joint Arrangements”, IAS 12 “Income Taxes” and IAS 23 “Borrowing Costs”;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Financial Reporting Interpretations Committee (“IFRIC”) 23 “Uncertainty over Income Tax Treatments”.</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IFRS 16 Leases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current year, the Group has adopted IFRS 16, which is effective for annual periods that begin on or after January 1, 2019.</w:t>
      </w:r>
    </w:p>
    <w:p>
      <w:pPr>
        <w:spacing w:after="0" w:line="158"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color w:val="auto"/>
        </w:rPr>
        <w:t>IFRS 16 introduces new or amended requirements with respect to lease accounting. It introduces significant changes to lessee accounting by removing the distinction between operating and finance lease and requiring the recognition of a right-of-use asset and a lease liability at commencement for all leases, except for short-term leases and leases of low value assets. Details of these new requirements are described in note 3.</w:t>
      </w:r>
    </w:p>
    <w:p>
      <w:pPr>
        <w:spacing w:after="0" w:line="119"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8"/>
          <w:szCs w:val="18"/>
          <w:color w:val="auto"/>
        </w:rPr>
        <w:t>The date of initial application of IFRS 16 for the Group is July 1, 2019. The Group has applied IFRS 16 using the cumulative catch-up approach which:</w:t>
      </w:r>
    </w:p>
    <w:p>
      <w:pPr>
        <w:spacing w:after="0" w:line="25" w:lineRule="exact"/>
        <w:rPr>
          <w:sz w:val="20"/>
          <w:szCs w:val="20"/>
          <w:color w:val="auto"/>
        </w:rPr>
      </w:pPr>
    </w:p>
    <w:p>
      <w:pPr>
        <w:ind w:left="760" w:right="80" w:hanging="212"/>
        <w:spacing w:after="0" w:line="275" w:lineRule="auto"/>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Group to recognize the cumulative effect of initially applying IFRS 16 as an adjustment to the opening balance of retained earnings at the date of initial application; and</w:t>
      </w:r>
    </w:p>
    <w:p>
      <w:pPr>
        <w:spacing w:after="0" w:line="25" w:lineRule="exact"/>
        <w:rPr>
          <w:rFonts w:ascii="Times New Roman" w:cs="Times New Roman" w:eastAsia="Times New Roman" w:hAnsi="Times New Roman"/>
          <w:sz w:val="18"/>
          <w:szCs w:val="18"/>
          <w:color w:val="auto"/>
        </w:rPr>
      </w:pPr>
    </w:p>
    <w:p>
      <w:pPr>
        <w:ind w:left="760" w:right="260" w:hanging="212"/>
        <w:spacing w:after="0" w:line="275" w:lineRule="auto"/>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permit restatement of comparatives, which continue to be presented under IAS 17 and IFRIC 4 “Determining whether an Arrangement Contains a Lease”.</w:t>
      </w:r>
    </w:p>
    <w:p>
      <w:pPr>
        <w:spacing w:after="0" w:line="106"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color w:val="auto"/>
        </w:rPr>
        <w:t>The Group has made use of the practical expedient available on transition to IFRS 16 not to reassess whether a contract is or contains a lease. Accordingly, the definition of a lease in accordance with IAS 17 and IFRIC 4 will continue to be applied to those leases entered or changed before 1 July 2019.</w:t>
      </w:r>
    </w:p>
    <w:p>
      <w:pPr>
        <w:spacing w:after="0" w:line="119"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The change in definition of a lease mainly relates to the concept of control. IFRS 16 determines whether a contract contains a lease based on whether the customer has the right to control the use of an identified asset for a period of time in exchange for consideration. This is in contrast to the focus on “risks and rewards” in IAS 17 and IFRIC 4.</w:t>
      </w:r>
    </w:p>
    <w:p>
      <w:pPr>
        <w:spacing w:after="0" w:line="117" w:lineRule="exact"/>
        <w:rPr>
          <w:sz w:val="20"/>
          <w:szCs w:val="20"/>
          <w:color w:val="auto"/>
        </w:rPr>
      </w:pPr>
    </w:p>
    <w:p>
      <w:pPr>
        <w:jc w:val="right"/>
        <w:ind w:right="8980"/>
        <w:spacing w:after="0"/>
        <w:rPr>
          <w:sz w:val="20"/>
          <w:szCs w:val="20"/>
          <w:color w:val="auto"/>
        </w:rPr>
      </w:pPr>
      <w:r>
        <w:rPr>
          <w:rFonts w:ascii="Times New Roman" w:cs="Times New Roman" w:eastAsia="Times New Roman" w:hAnsi="Times New Roman"/>
          <w:sz w:val="18"/>
          <w:szCs w:val="18"/>
          <w:b w:val="1"/>
          <w:bCs w:val="1"/>
          <w:color w:val="auto"/>
        </w:rPr>
        <w:t>Impact on lease accounting</w:t>
      </w:r>
    </w:p>
    <w:p>
      <w:pPr>
        <w:spacing w:after="0" w:line="75" w:lineRule="exact"/>
        <w:rPr>
          <w:sz w:val="20"/>
          <w:szCs w:val="20"/>
          <w:color w:val="auto"/>
        </w:rPr>
      </w:pPr>
    </w:p>
    <w:p>
      <w:pPr>
        <w:jc w:val="right"/>
        <w:ind w:right="9020"/>
        <w:spacing w:after="0"/>
        <w:rPr>
          <w:sz w:val="20"/>
          <w:szCs w:val="20"/>
          <w:color w:val="auto"/>
        </w:rPr>
      </w:pPr>
      <w:r>
        <w:rPr>
          <w:rFonts w:ascii="Times New Roman" w:cs="Times New Roman" w:eastAsia="Times New Roman" w:hAnsi="Times New Roman"/>
          <w:sz w:val="18"/>
          <w:szCs w:val="18"/>
          <w:b w:val="1"/>
          <w:bCs w:val="1"/>
          <w:i w:val="1"/>
          <w:iCs w:val="1"/>
          <w:color w:val="auto"/>
        </w:rPr>
        <w:t>Former operating leases</w:t>
      </w:r>
    </w:p>
    <w:p>
      <w:pPr>
        <w:spacing w:after="0" w:line="81"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IFRS 16 changes how the Group accounts for leases previously classified as operating leases under IAS 17, which operating lease payments were recognized as an expense in profit or loss on a straight line basis over the lease term.</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Applying IFRS 16, for all leases (except as noted below), the Group:</w:t>
      </w:r>
    </w:p>
    <w:p>
      <w:pPr>
        <w:spacing w:after="0" w:line="77" w:lineRule="exact"/>
        <w:rPr>
          <w:sz w:val="20"/>
          <w:szCs w:val="20"/>
          <w:color w:val="auto"/>
        </w:rPr>
      </w:pPr>
    </w:p>
    <w:p>
      <w:pPr>
        <w:ind w:left="760" w:right="80" w:hanging="212"/>
        <w:spacing w:after="0" w:line="275" w:lineRule="auto"/>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right-of-use assets and lease liabilities in the consolidated statement of financial position, initially measured at the present value of the future lease payments;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depreciation of right-of-use assets and interest on lease liabilities in profit or loss; and</w:t>
      </w:r>
    </w:p>
    <w:p>
      <w:pPr>
        <w:spacing w:after="0" w:line="103" w:lineRule="exact"/>
        <w:rPr>
          <w:rFonts w:ascii="Times New Roman" w:cs="Times New Roman" w:eastAsia="Times New Roman" w:hAnsi="Times New Roman"/>
          <w:sz w:val="18"/>
          <w:szCs w:val="18"/>
          <w:color w:val="auto"/>
        </w:rPr>
      </w:pPr>
    </w:p>
    <w:p>
      <w:pPr>
        <w:ind w:left="760" w:right="400" w:hanging="212"/>
        <w:spacing w:after="0" w:line="275" w:lineRule="auto"/>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Separates the total amount of cash paid into a principal portion (presented within financing activities) and interest (presented within operating activities) in the consolidated statement of cash flows.</w:t>
      </w:r>
    </w:p>
    <w:p>
      <w:pPr>
        <w:spacing w:after="0" w:line="106"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Lease incentives (e.g. rent-free period) are recognized as part of the measurement of the right-of-use assets and lease liabilities whereas under IAS 17 they resulted in the recognition of a lease incentive, amortized as a reduction of rental expenses generally on a straight-line basis. Under IFRS 16, right-of-use assets are tested for impairment in accordance with IAS 36 Impairment of Assets.</w:t>
      </w:r>
    </w:p>
    <w:p>
      <w:pPr>
        <w:spacing w:after="0" w:line="119" w:lineRule="exact"/>
        <w:rPr>
          <w:sz w:val="20"/>
          <w:szCs w:val="20"/>
          <w:color w:val="auto"/>
        </w:rPr>
      </w:pPr>
    </w:p>
    <w:p>
      <w:pPr>
        <w:ind w:left="120" w:right="220" w:firstLine="440"/>
        <w:spacing w:after="0" w:line="339" w:lineRule="auto"/>
        <w:rPr>
          <w:sz w:val="20"/>
          <w:szCs w:val="20"/>
          <w:color w:val="auto"/>
        </w:rPr>
      </w:pPr>
      <w:r>
        <w:rPr>
          <w:rFonts w:ascii="Times New Roman" w:cs="Times New Roman" w:eastAsia="Times New Roman" w:hAnsi="Times New Roman"/>
          <w:sz w:val="16"/>
          <w:szCs w:val="16"/>
          <w:color w:val="auto"/>
        </w:rPr>
        <w:t>For short-term leases (lease term of 12 months or less) and leases of low-value assets (such as photo copier and telephones), the Group has opted to recognize a lease expense on a straight-line basis as permitted by IFRS 16. This expense is presented within ‘administrative expenses’ in profit or loss.</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impact of the initial application of IFRS 16</w:t>
      </w:r>
    </w:p>
    <w:p>
      <w:pPr>
        <w:spacing w:after="0" w:line="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Group’s previous lease for Opthea’s headquarters expired on July 14, 2019: the adoption of IFRS 16 did not have a material impact on the Group’s results on the date of transition. Following the renewal of the leased office premises on July 15, 2019, the Group recognized a right-of-use asset of A$365,264 and a corresponding lease liability of A$365,264 in respect of this lease during the year ended June 30, 2020. The impact on profit or loss in the year ended June 30, 2020 was to decrease occupancy expenses by A$110,800; increase depreciation by A$121,754; and increase finance interest expense by A$7,680.</w:t>
      </w:r>
    </w:p>
    <w:p>
      <w:pPr>
        <w:spacing w:after="0" w:line="12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Under IAS 17, all lease payments on operating leases are presented as part of cash flows from operating activities. During the year ended June 30, 2020, the impact of the changes under IFRS 16 reduced the cash used in operating activities by A$100,189 and increased net cash generated from financing activities by the same amount.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pronouncements adopted for the first time in the year ended June 30, 2020</w:t>
      </w:r>
    </w:p>
    <w:p>
      <w:pPr>
        <w:spacing w:after="0" w:line="79"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In the year ended June 30, 2020, the Group applied a number of amendments to International Financial Reporting Standards and Interpretations issued by the IASB that are effective for an annual period that begins on or after January 1, 2019. Their adoption has not had any material impact on the disclosures or on the amounts reported in these financial statements.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and revised International Financial Reporting Standards and Interpretations on issue but not yet effective</w:t>
      </w:r>
    </w:p>
    <w:p>
      <w:pPr>
        <w:spacing w:after="0" w:line="79"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At the date of authorization of the financial statements, the Group has not applied the following new and revised International Financial Reporting Standards, Interpretations and amendments that have been issued but are not yet effective:</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Effective for</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annual reporting</w:t>
            </w:r>
          </w:p>
        </w:tc>
        <w:tc>
          <w:tcPr>
            <w:tcW w:w="0" w:type="dxa"/>
            <w:vAlign w:val="bottom"/>
          </w:tcPr>
          <w:p>
            <w:pPr>
              <w:spacing w:after="0"/>
              <w:rPr>
                <w:sz w:val="1"/>
                <w:szCs w:val="1"/>
                <w:color w:val="auto"/>
              </w:rPr>
            </w:pPr>
          </w:p>
        </w:tc>
      </w:tr>
      <w:tr>
        <w:trPr>
          <w:trHeight w:val="148"/>
        </w:trPr>
        <w:tc>
          <w:tcPr>
            <w:tcW w:w="9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Standard amendment</w:t>
            </w:r>
          </w:p>
        </w:tc>
        <w:tc>
          <w:tcPr>
            <w:tcW w:w="12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periods beginning</w:t>
            </w:r>
          </w:p>
        </w:tc>
        <w:tc>
          <w:tcPr>
            <w:tcW w:w="0" w:type="dxa"/>
            <w:vAlign w:val="bottom"/>
          </w:tcPr>
          <w:p>
            <w:pPr>
              <w:spacing w:after="0"/>
              <w:rPr>
                <w:sz w:val="1"/>
                <w:szCs w:val="1"/>
                <w:color w:val="auto"/>
              </w:rPr>
            </w:pPr>
          </w:p>
        </w:tc>
      </w:tr>
      <w:tr>
        <w:trPr>
          <w:trHeight w:val="172"/>
        </w:trPr>
        <w:tc>
          <w:tcPr>
            <w:tcW w:w="9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or after</w:t>
            </w:r>
          </w:p>
        </w:tc>
        <w:tc>
          <w:tcPr>
            <w:tcW w:w="0" w:type="dxa"/>
            <w:vAlign w:val="bottom"/>
          </w:tcPr>
          <w:p>
            <w:pPr>
              <w:spacing w:after="0"/>
              <w:rPr>
                <w:sz w:val="1"/>
                <w:szCs w:val="1"/>
                <w:color w:val="auto"/>
              </w:rPr>
            </w:pPr>
          </w:p>
        </w:tc>
      </w:tr>
      <w:tr>
        <w:trPr>
          <w:trHeight w:val="41"/>
        </w:trPr>
        <w:tc>
          <w:tcPr>
            <w:tcW w:w="1260" w:type="dxa"/>
            <w:vAlign w:val="bottom"/>
            <w:tcBorders>
              <w:top w:val="single" w:sz="8" w:color="auto"/>
            </w:tcBorders>
          </w:tcPr>
          <w:p>
            <w:pPr>
              <w:spacing w:after="0"/>
              <w:rPr>
                <w:sz w:val="3"/>
                <w:szCs w:val="3"/>
                <w:color w:val="auto"/>
              </w:rPr>
            </w:pPr>
          </w:p>
        </w:tc>
        <w:tc>
          <w:tcPr>
            <w:tcW w:w="8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93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8"/>
              </w:rPr>
              <w:t>Amendments to IAS—Sale or Contribution of Assets between an Investor and its Associate or Joint Venture (IFRS 10 and IAS 28)</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Amendments to IFRS and IAS—Effective Date of Amendments to IFRS 10 and IAS 28 Amendments to IFRS and IAS—</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Effective Date of Amendments to IFRS 10 and IAS 28 and Editorial Corrections</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January 1, 2022</w:t>
            </w:r>
          </w:p>
        </w:tc>
        <w:tc>
          <w:tcPr>
            <w:tcW w:w="0" w:type="dxa"/>
            <w:vAlign w:val="bottom"/>
          </w:tcPr>
          <w:p>
            <w:pPr>
              <w:spacing w:after="0"/>
              <w:rPr>
                <w:sz w:val="1"/>
                <w:szCs w:val="1"/>
                <w:color w:val="auto"/>
              </w:rPr>
            </w:pPr>
          </w:p>
        </w:tc>
      </w:tr>
      <w:tr>
        <w:trPr>
          <w:trHeight w:val="282"/>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IFRS 17 “Insurance Contracts”</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1, 2023</w:t>
            </w:r>
          </w:p>
        </w:tc>
        <w:tc>
          <w:tcPr>
            <w:tcW w:w="0" w:type="dxa"/>
            <w:vAlign w:val="bottom"/>
          </w:tcPr>
          <w:p>
            <w:pPr>
              <w:spacing w:after="0"/>
              <w:rPr>
                <w:sz w:val="1"/>
                <w:szCs w:val="1"/>
                <w:color w:val="auto"/>
              </w:rPr>
            </w:pPr>
          </w:p>
        </w:tc>
      </w:tr>
      <w:tr>
        <w:trPr>
          <w:trHeight w:val="69"/>
        </w:trPr>
        <w:tc>
          <w:tcPr>
            <w:tcW w:w="1260" w:type="dxa"/>
            <w:vAlign w:val="bottom"/>
          </w:tcPr>
          <w:p>
            <w:pPr>
              <w:spacing w:after="0"/>
              <w:rPr>
                <w:sz w:val="6"/>
                <w:szCs w:val="6"/>
                <w:color w:val="auto"/>
              </w:rPr>
            </w:pPr>
          </w:p>
        </w:tc>
        <w:tc>
          <w:tcPr>
            <w:tcW w:w="8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IFRS 3 “Business Combinations—Definition of a Business”</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January 1, 2020</w:t>
            </w:r>
          </w:p>
        </w:tc>
        <w:tc>
          <w:tcPr>
            <w:tcW w:w="0" w:type="dxa"/>
            <w:vAlign w:val="bottom"/>
          </w:tcPr>
          <w:p>
            <w:pPr>
              <w:spacing w:after="0"/>
              <w:rPr>
                <w:sz w:val="1"/>
                <w:szCs w:val="1"/>
                <w:color w:val="auto"/>
              </w:rPr>
            </w:pPr>
          </w:p>
        </w:tc>
      </w:tr>
      <w:tr>
        <w:trPr>
          <w:trHeight w:val="269"/>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Amendments to IFRS 17, and amendments to the basis for conclusions on IAS 1, IAS 8 and Conceptual Framework—Definition of</w:t>
            </w: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9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Material</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1, 2020</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20" w:right="280" w:firstLine="440"/>
        <w:spacing w:after="0" w:line="275" w:lineRule="auto"/>
        <w:rPr>
          <w:sz w:val="20"/>
          <w:szCs w:val="20"/>
          <w:color w:val="auto"/>
        </w:rPr>
      </w:pPr>
      <w:r>
        <w:rPr>
          <w:rFonts w:ascii="Times New Roman" w:cs="Times New Roman" w:eastAsia="Times New Roman" w:hAnsi="Times New Roman"/>
          <w:sz w:val="18"/>
          <w:szCs w:val="18"/>
          <w:color w:val="auto"/>
        </w:rPr>
        <w:t>The new and revised International Financial Reporting Standards, Interpretations and amendments listed above are not expected to have a material impact on the amounts recognized or disclosures included in the Group’s financial statements.</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78" w:lineRule="exact"/>
        <w:rPr>
          <w:rFonts w:ascii="Times New Roman" w:cs="Times New Roman" w:eastAsia="Times New Roman" w:hAnsi="Times New Roman"/>
          <w:sz w:val="18"/>
          <w:szCs w:val="18"/>
          <w:b w:val="1"/>
          <w:bCs w:val="1"/>
          <w:color w:val="auto"/>
        </w:rPr>
      </w:pPr>
    </w:p>
    <w:p>
      <w:pPr>
        <w:ind w:left="560" w:right="380"/>
        <w:spacing w:after="0" w:line="4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Group operates in one industry and one geographical area, those being the biotechnology and healthcare industry and Australia, respectively. The Group is focused primarily on developing a novel therapy for the treatment of highly prevalent and progressive retinal diseases.</w:t>
      </w:r>
    </w:p>
    <w:p>
      <w:pPr>
        <w:spacing w:after="0" w:line="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The chief executive officer regularly reviews entity wide information that is compliant with IFRS. There is only one segment for segment reporting purposes, and the information reviewed by the chief executive officer for the purpose of resources allocation and performance assessment is the same as the information presented in the consolidated financial statements.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Group’s only revenue stream in the current financial year is royalty income generated from licenses granted in respect of the Group’s intellectual property that are unrelated to the Group’s core business and the development of OPT-302 and that are not under development. These licenses are primarily used by third-party licensees for research purposes. All of the royalty income of A$159,064 and A$87,075 for the years ended June 30, 2019 and 2020, respectively, was generated from customers based outside Australia. The Group does not have any major customers. All property, plant and equipment is located in Australia.</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280" w:type="dxa"/>
            <w:vAlign w:val="bottom"/>
          </w:tcPr>
          <w:p>
            <w:pPr>
              <w:spacing w:after="0"/>
              <w:rPr>
                <w:sz w:val="17"/>
                <w:szCs w:val="17"/>
                <w:color w:val="auto"/>
              </w:rPr>
            </w:pPr>
          </w:p>
        </w:tc>
        <w:tc>
          <w:tcPr>
            <w:tcW w:w="9180" w:type="dxa"/>
            <w:vAlign w:val="bottom"/>
          </w:tcPr>
          <w:p>
            <w:pPr>
              <w:spacing w:after="0"/>
              <w:rPr>
                <w:sz w:val="17"/>
                <w:szCs w:val="17"/>
                <w:color w:val="auto"/>
              </w:rPr>
            </w:pPr>
          </w:p>
        </w:tc>
        <w:tc>
          <w:tcPr>
            <w:tcW w:w="70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2019</w:t>
            </w: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7"/>
                <w:szCs w:val="17"/>
                <w:color w:val="auto"/>
              </w:rPr>
            </w:pPr>
          </w:p>
        </w:tc>
      </w:tr>
      <w:tr>
        <w:trPr>
          <w:trHeight w:val="165"/>
        </w:trPr>
        <w:tc>
          <w:tcPr>
            <w:tcW w:w="28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70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A$</w:t>
            </w: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9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based royalties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87,075</w:t>
            </w:r>
          </w:p>
        </w:tc>
        <w:tc>
          <w:tcPr>
            <w:tcW w:w="80" w:type="dxa"/>
            <w:vAlign w:val="bottom"/>
            <w:tcBorders>
              <w:top w:val="single" w:sz="8" w:color="CCEEFF"/>
            </w:tcBorders>
            <w:shd w:val="clear" w:color="auto" w:fill="CCEEFF"/>
          </w:tcPr>
          <w:p>
            <w:pPr>
              <w:spacing w:after="0"/>
              <w:rPr>
                <w:sz w:val="18"/>
                <w:szCs w:val="18"/>
                <w:color w:val="auto"/>
              </w:rPr>
            </w:pPr>
          </w:p>
        </w:tc>
      </w:tr>
      <w:tr>
        <w:trPr>
          <w:trHeight w:val="22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159,064</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87,075</w:t>
            </w:r>
          </w:p>
        </w:tc>
        <w:tc>
          <w:tcPr>
            <w:tcW w:w="8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p>
      <w:pPr>
        <w:ind w:left="540" w:hanging="424"/>
        <w:spacing w:after="0"/>
        <w:tabs>
          <w:tab w:leader="none" w:pos="5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3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2019</w:t>
            </w:r>
          </w:p>
        </w:tc>
        <w:tc>
          <w:tcPr>
            <w:tcW w:w="8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2"/>
                <w:szCs w:val="12"/>
                <w:color w:val="auto"/>
              </w:rPr>
            </w:pPr>
          </w:p>
        </w:tc>
      </w:tr>
      <w:tr>
        <w:trPr>
          <w:trHeight w:val="165"/>
        </w:trPr>
        <w:tc>
          <w:tcPr>
            <w:tcW w:w="9360" w:type="dxa"/>
            <w:vAlign w:val="bottom"/>
          </w:tcPr>
          <w:p>
            <w:pPr>
              <w:spacing w:after="0"/>
              <w:rPr>
                <w:sz w:val="14"/>
                <w:szCs w:val="14"/>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A$</w:t>
            </w:r>
          </w:p>
        </w:tc>
        <w:tc>
          <w:tcPr>
            <w:tcW w:w="160" w:type="dxa"/>
            <w:vAlign w:val="bottom"/>
          </w:tcPr>
          <w:p>
            <w:pPr>
              <w:spacing w:after="0"/>
              <w:rPr>
                <w:sz w:val="14"/>
                <w:szCs w:val="14"/>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9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755,776</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836,821</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783,830</w:t>
            </w:r>
          </w:p>
        </w:tc>
        <w:tc>
          <w:tcPr>
            <w:tcW w:w="8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40" w:type="dxa"/>
            <w:vAlign w:val="bottom"/>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2"/>
                <w:szCs w:val="12"/>
                <w:color w:val="auto"/>
              </w:rPr>
            </w:pPr>
          </w:p>
        </w:tc>
      </w:tr>
      <w:tr>
        <w:trPr>
          <w:trHeight w:val="165"/>
        </w:trPr>
        <w:tc>
          <w:tcPr>
            <w:tcW w:w="12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00" w:type="dxa"/>
            <w:vAlign w:val="bottom"/>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A$</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project costs(1)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31,347,891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17,954,073</w:t>
            </w:r>
          </w:p>
        </w:tc>
        <w:tc>
          <w:tcPr>
            <w:tcW w:w="80" w:type="dxa"/>
            <w:vAlign w:val="bottom"/>
            <w:tcBorders>
              <w:top w:val="single" w:sz="8" w:color="CCEEFF"/>
            </w:tcBorders>
            <w:shd w:val="clear" w:color="auto" w:fill="CCEEFF"/>
          </w:tcPr>
          <w:p>
            <w:pPr>
              <w:spacing w:after="0"/>
              <w:rPr>
                <w:sz w:val="18"/>
                <w:szCs w:val="18"/>
                <w:color w:val="auto"/>
              </w:rPr>
            </w:pPr>
          </w:p>
        </w:tc>
      </w:tr>
      <w:tr>
        <w:trPr>
          <w:trHeight w:val="22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31,347,891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17,954,073</w:t>
            </w:r>
          </w:p>
        </w:tc>
        <w:tc>
          <w:tcPr>
            <w:tcW w:w="8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22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4"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research project costs relate to the research programs for the treatment of retinal diseases by OPT-302.</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firstLine="948"/>
        <w:spacing w:after="0" w:line="430"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 10. Expenses</w:t>
      </w:r>
    </w:p>
    <w:tbl>
      <w:tblPr>
        <w:tblLayout w:type="fixed"/>
        <w:tblInd w:w="122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382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Pr>
          <w:p>
            <w:pPr>
              <w:spacing w:after="0"/>
              <w:rPr>
                <w:sz w:val="12"/>
                <w:szCs w:val="12"/>
                <w:color w:val="auto"/>
              </w:rPr>
            </w:pP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r>
      <w:tr>
        <w:trPr>
          <w:trHeight w:val="165"/>
        </w:trPr>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A$</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 ADMINISTRATIVE EXPENSES</w:t>
            </w:r>
          </w:p>
        </w:tc>
        <w:tc>
          <w:tcPr>
            <w:tcW w:w="29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 expenses:</w:t>
            </w:r>
          </w:p>
        </w:tc>
        <w:tc>
          <w:tcPr>
            <w:tcW w:w="2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Salaries and fees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2,020,795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2,124,792</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bonuses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414,423</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288,811</w:t>
            </w: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Superannuation/pensions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210,383</w:t>
            </w:r>
          </w:p>
        </w:tc>
        <w:tc>
          <w:tcPr>
            <w:tcW w:w="60" w:type="dxa"/>
            <w:vAlign w:val="bottom"/>
            <w:shd w:val="clear" w:color="auto" w:fill="CCEEFF"/>
          </w:tcPr>
          <w:p>
            <w:pPr>
              <w:spacing w:after="0"/>
              <w:rPr>
                <w:sz w:val="18"/>
                <w:szCs w:val="18"/>
                <w:color w:val="auto"/>
              </w:rPr>
            </w:pPr>
          </w:p>
        </w:tc>
      </w:tr>
      <w:tr>
        <w:trPr>
          <w:trHeight w:val="223"/>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29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967,511</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1,078,481</w:t>
            </w:r>
          </w:p>
        </w:tc>
        <w:tc>
          <w:tcPr>
            <w:tcW w:w="60" w:type="dxa"/>
            <w:vAlign w:val="bottom"/>
          </w:tcPr>
          <w:p>
            <w:pPr>
              <w:spacing w:after="0"/>
              <w:rPr>
                <w:sz w:val="19"/>
                <w:szCs w:val="19"/>
                <w:color w:val="auto"/>
              </w:rPr>
            </w:pPr>
          </w:p>
        </w:tc>
      </w:tr>
      <w:tr>
        <w:trPr>
          <w:trHeight w:val="216"/>
        </w:trPr>
        <w:tc>
          <w:tcPr>
            <w:tcW w:w="3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employee benefits expense</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3,620,321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3,702,467</w:t>
            </w:r>
          </w:p>
        </w:tc>
        <w:tc>
          <w:tcPr>
            <w:tcW w:w="60" w:type="dxa"/>
            <w:vAlign w:val="bottom"/>
            <w:shd w:val="clear" w:color="auto" w:fill="CCEEFF"/>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9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Insurance</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500,953</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Investor relations costs</w:t>
            </w:r>
          </w:p>
        </w:tc>
        <w:tc>
          <w:tcPr>
            <w:tcW w:w="4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411,181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379,255</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Audit and accounting</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330,318</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Travel expenses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84,103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66,420</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Payroll tax</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201,172</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Legal fees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22,464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555,622</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Advisory fees</w:t>
            </w:r>
          </w:p>
        </w:tc>
        <w:tc>
          <w:tcPr>
            <w:tcW w:w="2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620,745</w:t>
            </w:r>
          </w:p>
        </w:tc>
        <w:tc>
          <w:tcPr>
            <w:tcW w:w="60" w:type="dxa"/>
            <w:vAlign w:val="bottom"/>
            <w:shd w:val="clear" w:color="auto" w:fill="CCEEFF"/>
          </w:tcPr>
          <w:p>
            <w:pPr>
              <w:spacing w:after="0"/>
              <w:rPr>
                <w:sz w:val="18"/>
                <w:szCs w:val="18"/>
                <w:color w:val="auto"/>
              </w:rPr>
            </w:pPr>
          </w:p>
        </w:tc>
      </w:tr>
      <w:tr>
        <w:trPr>
          <w:trHeight w:val="223"/>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expenses</w:t>
            </w:r>
          </w:p>
        </w:tc>
        <w:tc>
          <w:tcPr>
            <w:tcW w:w="29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401,009</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498,680</w:t>
            </w:r>
          </w:p>
        </w:tc>
        <w:tc>
          <w:tcPr>
            <w:tcW w:w="60" w:type="dxa"/>
            <w:vAlign w:val="bottom"/>
          </w:tcPr>
          <w:p>
            <w:pPr>
              <w:spacing w:after="0"/>
              <w:rPr>
                <w:sz w:val="19"/>
                <w:szCs w:val="19"/>
                <w:color w:val="auto"/>
              </w:rPr>
            </w:pPr>
          </w:p>
        </w:tc>
      </w:tr>
      <w:tr>
        <w:trPr>
          <w:trHeight w:val="216"/>
        </w:trPr>
        <w:tc>
          <w:tcPr>
            <w:tcW w:w="3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expenses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1,521,341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3,153,165</w:t>
            </w:r>
          </w:p>
        </w:tc>
        <w:tc>
          <w:tcPr>
            <w:tcW w:w="60" w:type="dxa"/>
            <w:vAlign w:val="bottom"/>
            <w:shd w:val="clear" w:color="auto" w:fill="CCEEFF"/>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w:t>
            </w:r>
          </w:p>
        </w:tc>
        <w:tc>
          <w:tcPr>
            <w:tcW w:w="29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Equipment and furniture</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21,754</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Leasehold improvements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Right-of-use asset</w:t>
            </w:r>
          </w:p>
        </w:tc>
        <w:tc>
          <w:tcPr>
            <w:tcW w:w="2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121,754</w:t>
            </w:r>
          </w:p>
        </w:tc>
        <w:tc>
          <w:tcPr>
            <w:tcW w:w="60" w:type="dxa"/>
            <w:vAlign w:val="bottom"/>
            <w:shd w:val="clear" w:color="auto" w:fill="CCEEFF"/>
          </w:tcPr>
          <w:p>
            <w:pPr>
              <w:spacing w:after="0"/>
              <w:rPr>
                <w:sz w:val="18"/>
                <w:szCs w:val="18"/>
                <w:color w:val="auto"/>
              </w:rPr>
            </w:pPr>
          </w:p>
        </w:tc>
      </w:tr>
      <w:tr>
        <w:trPr>
          <w:trHeight w:val="230"/>
        </w:trPr>
        <w:tc>
          <w:tcPr>
            <w:tcW w:w="3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29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33,093</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144,021</w:t>
            </w:r>
          </w:p>
        </w:tc>
        <w:tc>
          <w:tcPr>
            <w:tcW w:w="60" w:type="dxa"/>
            <w:vAlign w:val="bottom"/>
          </w:tcPr>
          <w:p>
            <w:pPr>
              <w:spacing w:after="0"/>
              <w:rPr>
                <w:sz w:val="20"/>
                <w:szCs w:val="20"/>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2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60" w:type="dxa"/>
            <w:vAlign w:val="bottom"/>
            <w:shd w:val="clear" w:color="auto" w:fill="CCEEFF"/>
          </w:tcPr>
          <w:p>
            <w:pPr>
              <w:spacing w:after="0"/>
              <w:rPr>
                <w:sz w:val="18"/>
                <w:szCs w:val="18"/>
                <w:color w:val="auto"/>
              </w:rPr>
            </w:pPr>
          </w:p>
        </w:tc>
      </w:tr>
      <w:tr>
        <w:trPr>
          <w:trHeight w:val="222"/>
        </w:trPr>
        <w:tc>
          <w:tcPr>
            <w:tcW w:w="37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Total Administrative Expenses</w:t>
            </w:r>
          </w:p>
        </w:tc>
        <w:tc>
          <w:tcPr>
            <w:tcW w:w="29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5,174,755</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7,001,507</w:t>
            </w:r>
          </w:p>
        </w:tc>
        <w:tc>
          <w:tcPr>
            <w:tcW w:w="6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 OCCUPANCY EXPENSES</w:t>
            </w:r>
          </w:p>
        </w:tc>
        <w:tc>
          <w:tcPr>
            <w:tcW w:w="2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lease rentals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78,883</w:t>
            </w:r>
          </w:p>
        </w:tc>
        <w:tc>
          <w:tcPr>
            <w:tcW w:w="22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Short term and low value lease expenses</w:t>
            </w:r>
          </w:p>
        </w:tc>
        <w:tc>
          <w:tcPr>
            <w:tcW w:w="2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60" w:type="dxa"/>
            <w:vAlign w:val="bottom"/>
            <w:shd w:val="clear" w:color="auto" w:fill="CCEEFF"/>
          </w:tcPr>
          <w:p>
            <w:pPr>
              <w:spacing w:after="0"/>
              <w:rPr>
                <w:sz w:val="18"/>
                <w:szCs w:val="18"/>
                <w:color w:val="auto"/>
              </w:rPr>
            </w:pPr>
          </w:p>
        </w:tc>
      </w:tr>
      <w:tr>
        <w:trPr>
          <w:trHeight w:val="223"/>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Lease incidental costs</w:t>
            </w:r>
          </w:p>
        </w:tc>
        <w:tc>
          <w:tcPr>
            <w:tcW w:w="29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30,021</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31,607</w:t>
            </w:r>
          </w:p>
        </w:tc>
        <w:tc>
          <w:tcPr>
            <w:tcW w:w="60" w:type="dxa"/>
            <w:vAlign w:val="bottom"/>
          </w:tcPr>
          <w:p>
            <w:pPr>
              <w:spacing w:after="0"/>
              <w:rPr>
                <w:sz w:val="19"/>
                <w:szCs w:val="19"/>
                <w:color w:val="auto"/>
              </w:rPr>
            </w:pPr>
          </w:p>
        </w:tc>
      </w:tr>
      <w:tr>
        <w:trPr>
          <w:trHeight w:val="216"/>
        </w:trPr>
        <w:tc>
          <w:tcPr>
            <w:tcW w:w="3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 Occupancy Expenses</w:t>
            </w:r>
          </w:p>
        </w:tc>
        <w:tc>
          <w:tcPr>
            <w:tcW w:w="29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108,904</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w:t>
            </w:r>
          </w:p>
        </w:tc>
        <w:tc>
          <w:tcPr>
            <w:tcW w:w="60" w:type="dxa"/>
            <w:vAlign w:val="bottom"/>
            <w:shd w:val="clear" w:color="auto" w:fill="CCEEFF"/>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760" w:type="dxa"/>
            <w:vAlign w:val="bottom"/>
          </w:tcPr>
          <w:p>
            <w:pPr>
              <w:spacing w:after="0"/>
              <w:rPr>
                <w:sz w:val="24"/>
                <w:szCs w:val="24"/>
                <w:color w:val="auto"/>
              </w:rPr>
            </w:pPr>
          </w:p>
        </w:tc>
        <w:tc>
          <w:tcPr>
            <w:tcW w:w="40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F-20</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180"/>
          </w:cols>
          <w:pgMar w:left="320" w:top="455" w:right="139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700" w:firstLine="948"/>
        <w:spacing w:after="0" w:line="430"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 11. Income tax</w:t>
      </w: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20" w:type="dxa"/>
            <w:vAlign w:val="bottom"/>
            <w:gridSpan w:val="2"/>
          </w:tcPr>
          <w:p>
            <w:pPr>
              <w:jc w:val="center"/>
              <w:ind w:left="186"/>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20" w:type="dxa"/>
            <w:vAlign w:val="bottom"/>
          </w:tcPr>
          <w:p>
            <w:pPr>
              <w:spacing w:after="0"/>
              <w:rPr>
                <w:sz w:val="17"/>
                <w:szCs w:val="17"/>
                <w:color w:val="auto"/>
              </w:rPr>
            </w:pPr>
          </w:p>
        </w:tc>
        <w:tc>
          <w:tcPr>
            <w:tcW w:w="7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 Income tax benefit</w:t>
            </w: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major components of income tax benefit are:</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Profit or Loss and Other Comprehensive Income</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TAX</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incentive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1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8,533,123</w:t>
            </w:r>
          </w:p>
        </w:tc>
      </w:tr>
      <w:tr>
        <w:trPr>
          <w:trHeight w:val="230"/>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260" w:type="dxa"/>
            <w:vAlign w:val="bottom"/>
          </w:tcPr>
          <w:p>
            <w:pPr>
              <w:spacing w:after="0"/>
              <w:rPr>
                <w:sz w:val="20"/>
                <w:szCs w:val="20"/>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7"/>
              </w:rPr>
              <w:t>8,533,123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 respect of the current year</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 recognized in the Statement of Profit or Loss and Other Comprehensive Income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2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8,533,123</w:t>
            </w:r>
          </w:p>
        </w:tc>
        <w:tc>
          <w:tcPr>
            <w:tcW w:w="60" w:type="dxa"/>
            <w:vAlign w:val="bottom"/>
            <w:shd w:val="clear" w:color="auto" w:fill="CCEEFF"/>
          </w:tcPr>
          <w:p>
            <w:pPr>
              <w:spacing w:after="0"/>
              <w:rPr>
                <w:sz w:val="18"/>
                <w:szCs w:val="18"/>
                <w:color w:val="auto"/>
              </w:rPr>
            </w:pPr>
          </w:p>
        </w:tc>
      </w:tr>
      <w:tr>
        <w:trPr>
          <w:trHeight w:val="355"/>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60" w:type="dxa"/>
            <w:vAlign w:val="bottom"/>
          </w:tcPr>
          <w:p>
            <w:pPr>
              <w:spacing w:after="0"/>
              <w:rPr>
                <w:sz w:val="24"/>
                <w:szCs w:val="24"/>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20" w:type="dxa"/>
            <w:vAlign w:val="bottom"/>
            <w:gridSpan w:val="2"/>
          </w:tcPr>
          <w:p>
            <w:pPr>
              <w:jc w:val="center"/>
              <w:ind w:left="186"/>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20" w:type="dxa"/>
            <w:vAlign w:val="bottom"/>
          </w:tcPr>
          <w:p>
            <w:pPr>
              <w:spacing w:after="0"/>
              <w:rPr>
                <w:sz w:val="17"/>
                <w:szCs w:val="17"/>
                <w:color w:val="auto"/>
              </w:rPr>
            </w:pPr>
          </w:p>
        </w:tc>
        <w:tc>
          <w:tcPr>
            <w:tcW w:w="7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 Current tax receivable</w:t>
            </w: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Incentive receivable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260" w:type="dxa"/>
            <w:vAlign w:val="bottom"/>
          </w:tcPr>
          <w:p>
            <w:pPr>
              <w:spacing w:after="0"/>
              <w:rPr>
                <w:sz w:val="18"/>
                <w:szCs w:val="18"/>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7"/>
              </w:rPr>
              <w:t>8,533,123</w:t>
            </w:r>
          </w:p>
        </w:tc>
        <w:tc>
          <w:tcPr>
            <w:tcW w:w="60" w:type="dxa"/>
            <w:vAlign w:val="bottom"/>
          </w:tcPr>
          <w:p>
            <w:pPr>
              <w:spacing w:after="0"/>
              <w:rPr>
                <w:sz w:val="18"/>
                <w:szCs w:val="18"/>
                <w:color w:val="auto"/>
              </w:rPr>
            </w:pPr>
          </w:p>
        </w:tc>
      </w:tr>
    </w:tbl>
    <w:p>
      <w:pPr>
        <w:spacing w:after="0" w:line="146" w:lineRule="exact"/>
        <w:rPr>
          <w:sz w:val="20"/>
          <w:szCs w:val="20"/>
          <w:color w:val="auto"/>
        </w:rPr>
      </w:pPr>
    </w:p>
    <w:p>
      <w:pPr>
        <w:ind w:left="560" w:hanging="4"/>
        <w:spacing w:after="0" w:line="277" w:lineRule="auto"/>
        <w:tabs>
          <w:tab w:leader="none" w:pos="799"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Numerical reconciliation between aggregate income tax benefit recognized in the statement of Profit or Loss and Other Comprehensive Income and benefit calculated per the statutory income tax rate</w:t>
      </w:r>
    </w:p>
    <w:p>
      <w:pPr>
        <w:spacing w:after="0" w:line="24"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A reconciliation between income tax benefit and the product of accounting loss before income tax multiplied by the Group’s applicable income tax rate is as follows: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2019</w:t>
            </w:r>
          </w:p>
        </w:tc>
        <w:tc>
          <w:tcPr>
            <w:tcW w:w="300" w:type="dxa"/>
            <w:vAlign w:val="bottom"/>
          </w:tcPr>
          <w:p>
            <w:pPr>
              <w:spacing w:after="0"/>
              <w:rPr>
                <w:sz w:val="12"/>
                <w:szCs w:val="12"/>
                <w:color w:val="auto"/>
              </w:rPr>
            </w:pPr>
          </w:p>
        </w:tc>
        <w:tc>
          <w:tcPr>
            <w:tcW w:w="10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A$</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loss before tax</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(35,547,034)</w:t>
            </w: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(25,062,404)</w:t>
            </w:r>
          </w:p>
        </w:tc>
        <w:tc>
          <w:tcPr>
            <w:tcW w:w="140" w:type="dxa"/>
            <w:vAlign w:val="bottom"/>
            <w:tcBorders>
              <w:top w:val="single" w:sz="8" w:color="CCEEFF"/>
            </w:tcBorders>
            <w:shd w:val="clear" w:color="auto" w:fill="CCEEFF"/>
          </w:tcPr>
          <w:p>
            <w:pPr>
              <w:spacing w:after="0"/>
              <w:rPr>
                <w:sz w:val="18"/>
                <w:szCs w:val="18"/>
                <w:color w:val="auto"/>
              </w:rPr>
            </w:pPr>
          </w:p>
        </w:tc>
      </w:tr>
      <w:tr>
        <w:trPr>
          <w:trHeight w:val="22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the Company’s statutory income tax rate of 27.5%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9,775,434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6,892,161</w:t>
            </w:r>
          </w:p>
        </w:tc>
        <w:tc>
          <w:tcPr>
            <w:tcW w:w="14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incentive on eligible expenses</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14,636,973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8,533,123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R&amp;D expenditure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(9,261,833)</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(5,394,503)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 expenses—share-based payment expense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(266,066)</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(296,582)</w:t>
            </w: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Amount of temporary differences and carried forward tax losses not recognized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(247,535)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(1,201,076)</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reported in the Statement of Profit or Loss and Other Comprehensive income</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30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8,533,123</w:t>
            </w:r>
          </w:p>
        </w:tc>
        <w:tc>
          <w:tcPr>
            <w:tcW w:w="140" w:type="dxa"/>
            <w:vAlign w:val="bottom"/>
            <w:shd w:val="clear" w:color="auto" w:fill="CCEEFF"/>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730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F-21</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880"/>
          </w:cols>
          <w:pgMar w:left="320" w:top="455" w:right="69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7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2019</w:t>
            </w:r>
          </w:p>
        </w:tc>
        <w:tc>
          <w:tcPr>
            <w:tcW w:w="320" w:type="dxa"/>
            <w:vAlign w:val="bottom"/>
          </w:tcPr>
          <w:p>
            <w:pPr>
              <w:spacing w:after="0"/>
              <w:rPr>
                <w:sz w:val="12"/>
                <w:szCs w:val="12"/>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r>
      <w:tr>
        <w:trPr>
          <w:trHeight w:val="165"/>
        </w:trPr>
        <w:tc>
          <w:tcPr>
            <w:tcW w:w="772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7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 Recognized deferred tax assets and liabilities in statement of financial position</w:t>
            </w: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relates to the following:</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royalty income receivable (future assessable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(56,114)</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(103,135)</w:t>
            </w:r>
          </w:p>
        </w:tc>
      </w:tr>
      <w:tr>
        <w:trPr>
          <w:trHeight w:val="27"/>
        </w:trPr>
        <w:tc>
          <w:tcPr>
            <w:tcW w:w="7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(56,114)</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(103,135)</w:t>
            </w:r>
          </w:p>
        </w:tc>
      </w:tr>
      <w:tr>
        <w:trPr>
          <w:trHeight w:val="22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RELATED TO TEMPORARY DIFFERENCES:</w:t>
            </w: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8"/>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151,821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441,162</w:t>
            </w:r>
          </w:p>
        </w:tc>
        <w:tc>
          <w:tcPr>
            <w:tcW w:w="14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Employee provisions</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154,933</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187,311</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miscellaneous items</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276,942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546,964</w:t>
            </w:r>
          </w:p>
        </w:tc>
        <w:tc>
          <w:tcPr>
            <w:tcW w:w="140" w:type="dxa"/>
            <w:vAlign w:val="bottom"/>
            <w:shd w:val="clear" w:color="auto" w:fill="CCEEFF"/>
          </w:tcPr>
          <w:p>
            <w:pPr>
              <w:spacing w:after="0"/>
              <w:rPr>
                <w:sz w:val="18"/>
                <w:szCs w:val="18"/>
                <w:color w:val="auto"/>
              </w:rPr>
            </w:pPr>
          </w:p>
        </w:tc>
      </w:tr>
      <w:tr>
        <w:trPr>
          <w:trHeight w:val="222"/>
        </w:trPr>
        <w:tc>
          <w:tcPr>
            <w:tcW w:w="77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583,696</w:t>
            </w:r>
          </w:p>
        </w:tc>
        <w:tc>
          <w:tcPr>
            <w:tcW w:w="3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1,175,437</w:t>
            </w:r>
          </w:p>
        </w:tc>
        <w:tc>
          <w:tcPr>
            <w:tcW w:w="140" w:type="dxa"/>
            <w:vAlign w:val="bottom"/>
          </w:tcPr>
          <w:p>
            <w:pPr>
              <w:spacing w:after="0"/>
              <w:rPr>
                <w:sz w:val="19"/>
                <w:szCs w:val="19"/>
                <w:color w:val="auto"/>
              </w:rPr>
            </w:pPr>
          </w:p>
        </w:tc>
      </w:tr>
      <w:tr>
        <w:trPr>
          <w:trHeight w:val="21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temporary differences not recognized</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(527,582)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(1,072,302)</w:t>
            </w:r>
          </w:p>
        </w:tc>
      </w:tr>
      <w:tr>
        <w:trPr>
          <w:trHeight w:val="22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recognized in the statement of financial position</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bl>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 Unrecognized temporary differences</w:t>
      </w:r>
    </w:p>
    <w:p>
      <w:pPr>
        <w:spacing w:after="0" w:line="79" w:lineRule="exact"/>
        <w:rPr>
          <w:sz w:val="20"/>
          <w:szCs w:val="20"/>
          <w:color w:val="auto"/>
        </w:rPr>
      </w:pPr>
    </w:p>
    <w:p>
      <w:pPr>
        <w:jc w:val="both"/>
        <w:ind w:left="120" w:right="540" w:firstLine="440"/>
        <w:spacing w:after="0" w:line="275" w:lineRule="auto"/>
        <w:rPr>
          <w:sz w:val="20"/>
          <w:szCs w:val="20"/>
          <w:color w:val="auto"/>
        </w:rPr>
      </w:pPr>
      <w:r>
        <w:rPr>
          <w:rFonts w:ascii="Times New Roman" w:cs="Times New Roman" w:eastAsia="Times New Roman" w:hAnsi="Times New Roman"/>
          <w:sz w:val="18"/>
          <w:szCs w:val="18"/>
          <w:color w:val="auto"/>
        </w:rPr>
        <w:t>Temporary differences with respect to deferred tax assets associated with intellectual property and other miscellaneous items which have a low probability of realization are unrecognized. These amounted to A$1,072,302 as of June 30, 2020 (2019: A$527,582).</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 Carry forward unrecognized tax losses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Group had income tax losses of A$17,287,687 as at June 30, 2020 (2019: A$15,819,190) and capital losses of A$877,704 at June 30, 2020 (2019:</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A$877,704) for which no deferred tax asset is recognized on the statement of financial position as they are currently not considered probable of realization.</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tax losses are available indefinitely for offset against future assessable income subject to continuing to meet relevant statutory tests.</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 Franking credit balance</w:t>
      </w:r>
    </w:p>
    <w:p>
      <w:pPr>
        <w:spacing w:after="0" w:line="79" w:lineRule="exact"/>
        <w:rPr>
          <w:sz w:val="20"/>
          <w:szCs w:val="20"/>
          <w:color w:val="auto"/>
        </w:rPr>
      </w:pPr>
    </w:p>
    <w:p>
      <w:pPr>
        <w:jc w:val="both"/>
        <w:ind w:left="120" w:right="180" w:firstLine="440"/>
        <w:spacing w:after="0" w:line="310" w:lineRule="auto"/>
        <w:rPr>
          <w:sz w:val="20"/>
          <w:szCs w:val="20"/>
          <w:color w:val="auto"/>
        </w:rPr>
      </w:pPr>
      <w:r>
        <w:rPr>
          <w:rFonts w:ascii="Times New Roman" w:cs="Times New Roman" w:eastAsia="Times New Roman" w:hAnsi="Times New Roman"/>
          <w:sz w:val="16"/>
          <w:szCs w:val="16"/>
          <w:color w:val="auto"/>
        </w:rPr>
        <w:t>Franking credits are a type of tax credit in Australia that is available to the Group’s shareholders to reduce double taxation on any dividends paid by the Group. The franking credit balance at the end of the financial year at 30% is A$330,630 (2019: A$330,630), which represents the amount of franking credits available for the subsequent financial year. Franking credits are not recognized in the Consolidated Statement of Financial Position.</w:t>
      </w:r>
    </w:p>
    <w:p>
      <w:pPr>
        <w:spacing w:after="0" w:line="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960" w:firstLine="948"/>
        <w:spacing w:after="0" w:line="430"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 12. Earnings per share</w:t>
      </w:r>
    </w:p>
    <w:tbl>
      <w:tblPr>
        <w:tblLayout w:type="fixed"/>
        <w:tblInd w:w="12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1080" w:type="dxa"/>
            <w:vAlign w:val="bottom"/>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r>
      <w:tr>
        <w:trPr>
          <w:trHeight w:val="165"/>
        </w:trPr>
        <w:tc>
          <w:tcPr>
            <w:tcW w:w="8480" w:type="dxa"/>
            <w:vAlign w:val="bottom"/>
          </w:tcPr>
          <w:p>
            <w:pPr>
              <w:spacing w:after="0"/>
              <w:rPr>
                <w:sz w:val="14"/>
                <w:szCs w:val="14"/>
                <w:color w:val="auto"/>
              </w:rPr>
            </w:pPr>
          </w:p>
        </w:tc>
        <w:tc>
          <w:tcPr>
            <w:tcW w:w="1300" w:type="dxa"/>
            <w:vAlign w:val="bottom"/>
            <w:gridSpan w:val="3"/>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A$</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The following reflects the income used in the basic and diluted earnings per share computations:</w:t>
            </w: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 EARNINGS USED IN CALCULATING EARNINGS PER SHARE</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Owners of the Company</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(20,910,061)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 WEIGHTED AVERAGE NUMBER OF SHARES</w:t>
            </w: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on issue for basic earnings per share</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232,795,371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260,795,745</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Dilutive share options</w:t>
            </w:r>
          </w:p>
        </w:tc>
        <w:tc>
          <w:tcPr>
            <w:tcW w:w="10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11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adjusted for the effect of dilution</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232,795,371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260,795,745</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(basic and diluted, in cents)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tcPr>
          <w:p>
            <w:pPr>
              <w:spacing w:after="0"/>
              <w:rPr>
                <w:sz w:val="19"/>
                <w:szCs w:val="19"/>
                <w:color w:val="auto"/>
              </w:rPr>
            </w:pPr>
          </w:p>
        </w:tc>
      </w:tr>
    </w:tbl>
    <w:p>
      <w:pPr>
        <w:spacing w:after="0" w:line="148"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Diluted earnings per share is calculated as net loss divided by the weighted average number of ordinary shares and dilutive potential ordinary shares. Options granted under the Long Term Incentive (“LTIP”) and Non-Executive Director Share and Option (“NED Plan”) plans would generally be included in the calculation due to the conditions of the issuance being satisfied.</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the Group is in a loss position, the options are anti-dilutive and, accordingly, the basic loss per share is the same as the diluted loss per share.</w:t>
      </w:r>
    </w:p>
    <w:p>
      <w:pPr>
        <w:spacing w:after="0" w:line="158"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A total number of 18,044,000 options outstanding as of June 30, 2020 (2019: 18,919,000) were anti-dilutive and were therefore excluded from the weighted average number of ordinary shares for the purpose of diluted earnings per share. These options related to the following option plans:</w:t>
      </w:r>
    </w:p>
    <w:p>
      <w:pPr>
        <w:spacing w:after="0" w:line="103"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6420" w:type="dxa"/>
            <w:vAlign w:val="bottom"/>
          </w:tcPr>
          <w:p>
            <w:pPr>
              <w:spacing w:after="0"/>
              <w:rPr>
                <w:sz w:val="12"/>
                <w:szCs w:val="12"/>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65"/>
        </w:trPr>
        <w:tc>
          <w:tcPr>
            <w:tcW w:w="64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NED Plan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12,919,000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12,044,000</w:t>
            </w:r>
          </w:p>
        </w:tc>
        <w:tc>
          <w:tcPr>
            <w:tcW w:w="60" w:type="dxa"/>
            <w:vAlign w:val="bottom"/>
          </w:tcPr>
          <w:p>
            <w:pPr>
              <w:spacing w:after="0"/>
              <w:rPr>
                <w:sz w:val="18"/>
                <w:szCs w:val="18"/>
                <w:color w:val="auto"/>
              </w:rPr>
            </w:pPr>
          </w:p>
        </w:tc>
      </w:tr>
      <w:tr>
        <w:trPr>
          <w:trHeight w:val="27"/>
        </w:trPr>
        <w:tc>
          <w:tcPr>
            <w:tcW w:w="64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18,919,000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18,044,000</w:t>
            </w:r>
          </w:p>
        </w:tc>
        <w:tc>
          <w:tcPr>
            <w:tcW w:w="60" w:type="dxa"/>
            <w:vAlign w:val="bottom"/>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18,044,000 outstanding options as of June 30, 2020 were exercisable as of that date (2019: 9,905,000).</w:t>
      </w:r>
    </w:p>
    <w:p>
      <w:pPr>
        <w:spacing w:after="0" w:line="156" w:lineRule="exact"/>
        <w:rPr>
          <w:sz w:val="20"/>
          <w:szCs w:val="20"/>
          <w:color w:val="auto"/>
        </w:rPr>
      </w:pPr>
    </w:p>
    <w:p>
      <w:pPr>
        <w:ind w:left="540" w:hanging="424"/>
        <w:spacing w:after="0"/>
        <w:tabs>
          <w:tab w:leader="none" w:pos="54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assets—cash and cash equivalents</w:t>
      </w:r>
    </w:p>
    <w:p>
      <w:pPr>
        <w:spacing w:after="0" w:line="75"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6420" w:type="dxa"/>
            <w:vAlign w:val="bottom"/>
          </w:tcPr>
          <w:p>
            <w:pPr>
              <w:spacing w:after="0"/>
              <w:rPr>
                <w:sz w:val="12"/>
                <w:szCs w:val="12"/>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8"/>
        </w:trPr>
        <w:tc>
          <w:tcPr>
            <w:tcW w:w="64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3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r>
      <w:tr>
        <w:trPr>
          <w:trHeight w:val="165"/>
        </w:trPr>
        <w:tc>
          <w:tcPr>
            <w:tcW w:w="64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 and in hand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1,034,919</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3,020,382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20,500,000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59,000,000</w:t>
            </w:r>
          </w:p>
        </w:tc>
        <w:tc>
          <w:tcPr>
            <w:tcW w:w="60" w:type="dxa"/>
            <w:vAlign w:val="bottom"/>
          </w:tcPr>
          <w:p>
            <w:pPr>
              <w:spacing w:after="0"/>
              <w:rPr>
                <w:sz w:val="18"/>
                <w:szCs w:val="18"/>
                <w:color w:val="auto"/>
              </w:rPr>
            </w:pPr>
          </w:p>
        </w:tc>
      </w:tr>
      <w:tr>
        <w:trPr>
          <w:trHeight w:val="27"/>
        </w:trPr>
        <w:tc>
          <w:tcPr>
            <w:tcW w:w="64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21,534,919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62,020,382</w:t>
            </w:r>
          </w:p>
        </w:tc>
        <w:tc>
          <w:tcPr>
            <w:tcW w:w="60" w:type="dxa"/>
            <w:vAlign w:val="bottom"/>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left="800" w:right="80"/>
        <w:spacing w:after="0" w:line="447" w:lineRule="auto"/>
        <w:rPr>
          <w:sz w:val="20"/>
          <w:szCs w:val="20"/>
          <w:color w:val="auto"/>
        </w:rPr>
      </w:pPr>
      <w:r>
        <w:rPr>
          <w:rFonts w:ascii="Times New Roman" w:cs="Times New Roman" w:eastAsia="Times New Roman" w:hAnsi="Times New Roman"/>
          <w:sz w:val="18"/>
          <w:szCs w:val="18"/>
          <w:color w:val="auto"/>
        </w:rPr>
        <w:t>Cash at bank earns interest at floating rates based on daily bank deposit rates. The carrying amounts of cash and cash equivalents represent fair value. F-23</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Short term-deposits are with two major Australian banks and are made for varying periods of between 30 and 90 days, depending on the immediate cash requirements of the Group, and earn interest at a fixed rate for the respective short-term deposit periods. At year end, the average rate was 1.01% (2019: 2.36%).</w:t>
      </w:r>
    </w:p>
    <w:p>
      <w:pPr>
        <w:spacing w:after="0" w:line="117"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assets—other receivables</w:t>
      </w:r>
    </w:p>
    <w:p>
      <w:pPr>
        <w:spacing w:after="0" w:line="156"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70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9"/>
        </w:trPr>
        <w:tc>
          <w:tcPr>
            <w:tcW w:w="70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2019</w:t>
            </w:r>
          </w:p>
        </w:tc>
        <w:tc>
          <w:tcPr>
            <w:tcW w:w="980" w:type="dxa"/>
            <w:vAlign w:val="bottom"/>
            <w:gridSpan w:val="2"/>
          </w:tcPr>
          <w:p>
            <w:pPr>
              <w:jc w:val="center"/>
              <w:ind w:left="159"/>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60" w:type="dxa"/>
            <w:vAlign w:val="bottom"/>
          </w:tcPr>
          <w:p>
            <w:pPr>
              <w:spacing w:after="0"/>
              <w:rPr>
                <w:sz w:val="12"/>
                <w:szCs w:val="12"/>
                <w:color w:val="auto"/>
              </w:rPr>
            </w:pPr>
          </w:p>
        </w:tc>
      </w:tr>
      <w:tr>
        <w:trPr>
          <w:trHeight w:val="165"/>
        </w:trPr>
        <w:tc>
          <w:tcPr>
            <w:tcW w:w="70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102,162</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GST receivable(1)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152,866</w:t>
            </w:r>
          </w:p>
        </w:tc>
        <w:tc>
          <w:tcPr>
            <w:tcW w:w="6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 receivable(1)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50,047</w:t>
            </w:r>
          </w:p>
        </w:tc>
        <w:tc>
          <w:tcPr>
            <w:tcW w:w="6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receivables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295,786</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284,391</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right="520" w:hanging="424"/>
        <w:spacing w:after="0" w:line="275"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GST and Royalties receivables are non-interest bearing. There were no receivables with a material expected credit loss recorded during the financial year (2019: nil).</w:t>
      </w:r>
    </w:p>
    <w:p>
      <w:pPr>
        <w:spacing w:after="0" w:line="104" w:lineRule="exact"/>
        <w:rPr>
          <w:sz w:val="20"/>
          <w:szCs w:val="20"/>
          <w:color w:val="auto"/>
        </w:rPr>
      </w:pPr>
    </w:p>
    <w:p>
      <w:pPr>
        <w:ind w:left="540" w:hanging="424"/>
        <w:spacing w:after="0"/>
        <w:tabs>
          <w:tab w:leader="none" w:pos="5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Non-current assets—Investments in financial assets</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40" w:type="dxa"/>
            <w:vAlign w:val="bottom"/>
            <w:gridSpan w:val="4"/>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Pr>
          <w:p>
            <w:pPr>
              <w:spacing w:after="0"/>
              <w:rPr>
                <w:sz w:val="14"/>
                <w:szCs w:val="14"/>
                <w:color w:val="auto"/>
              </w:rPr>
            </w:pPr>
          </w:p>
        </w:tc>
        <w:tc>
          <w:tcPr>
            <w:tcW w:w="1000" w:type="dxa"/>
            <w:vAlign w:val="bottom"/>
            <w:gridSpan w:val="3"/>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A$</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Listed Australian shares—at fair value(1)</w:t>
            </w:r>
          </w:p>
        </w:tc>
        <w:tc>
          <w:tcPr>
            <w:tcW w:w="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Disposal</w:t>
            </w:r>
          </w:p>
        </w:tc>
        <w:tc>
          <w:tcPr>
            <w:tcW w:w="24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 the</w:t>
            </w:r>
          </w:p>
        </w:tc>
        <w:tc>
          <w:tcPr>
            <w:tcW w:w="24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Opening</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2"/>
                <w:szCs w:val="12"/>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24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recognized</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fair</w:t>
            </w:r>
          </w:p>
        </w:tc>
        <w:tc>
          <w:tcPr>
            <w:tcW w:w="0" w:type="dxa"/>
            <w:vAlign w:val="bottom"/>
          </w:tcPr>
          <w:p>
            <w:pPr>
              <w:spacing w:after="0"/>
              <w:rPr>
                <w:sz w:val="1"/>
                <w:szCs w:val="1"/>
                <w:color w:val="auto"/>
              </w:rPr>
            </w:pPr>
          </w:p>
        </w:tc>
      </w:tr>
      <w:tr>
        <w:trPr>
          <w:trHeight w:val="162"/>
        </w:trPr>
        <w:tc>
          <w:tcPr>
            <w:tcW w:w="1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Listed investments</w:t>
            </w:r>
          </w:p>
        </w:tc>
        <w:tc>
          <w:tcPr>
            <w:tcW w:w="5080" w:type="dxa"/>
            <w:vAlign w:val="bottom"/>
            <w:gridSpan w:val="2"/>
            <w:vMerge w:val="restart"/>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at June 30 (2)</w:t>
            </w:r>
          </w:p>
        </w:tc>
        <w:tc>
          <w:tcPr>
            <w:tcW w:w="16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year (3)</w:t>
            </w:r>
          </w:p>
        </w:tc>
        <w:tc>
          <w:tcPr>
            <w:tcW w:w="24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 OCI (4)</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72"/>
        </w:trPr>
        <w:tc>
          <w:tcPr>
            <w:tcW w:w="1080" w:type="dxa"/>
            <w:vAlign w:val="bottom"/>
            <w:tcBorders>
              <w:bottom w:val="single" w:sz="8" w:color="auto"/>
            </w:tcBorders>
            <w:vMerge w:val="continue"/>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w:t>
            </w:r>
          </w:p>
        </w:tc>
        <w:tc>
          <w:tcPr>
            <w:tcW w:w="16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190"/>
        </w:trPr>
        <w:tc>
          <w:tcPr>
            <w:tcW w:w="616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June 30, 2019</w:t>
            </w: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investments:</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Antisense Therapeutics Ltd</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2"/>
              </w:rPr>
              <w:t>233,579</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(339,047)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317,860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254,766</w:t>
            </w:r>
          </w:p>
        </w:tc>
        <w:tc>
          <w:tcPr>
            <w:tcW w:w="0" w:type="dxa"/>
            <w:vAlign w:val="bottom"/>
          </w:tcPr>
          <w:p>
            <w:pPr>
              <w:spacing w:after="0"/>
              <w:rPr>
                <w:sz w:val="1"/>
                <w:szCs w:val="1"/>
                <w:color w:val="auto"/>
              </w:rPr>
            </w:pPr>
          </w:p>
        </w:tc>
      </w:tr>
      <w:tr>
        <w:trPr>
          <w:trHeight w:val="216"/>
        </w:trPr>
        <w:tc>
          <w:tcPr>
            <w:tcW w:w="6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Optiscan Imaging Limited</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2"/>
              </w:rPr>
              <w:t>480,539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(57,996)</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538,535</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listed investments</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714,118</w:t>
            </w:r>
          </w:p>
        </w:tc>
        <w:tc>
          <w:tcPr>
            <w:tcW w:w="9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(339,047)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259,864</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793,301</w:t>
            </w: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2020</w:t>
            </w: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investments:</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Antisense Therapeutics Ltd</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9"/>
              </w:rPr>
              <w:t>(482,978)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249,399</w:t>
            </w:r>
          </w:p>
        </w:tc>
        <w:tc>
          <w:tcPr>
            <w:tcW w:w="3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233,579</w:t>
            </w: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Optiscan Imaging Limited</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2"/>
              </w:rPr>
              <w:t>289,980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(190,559)</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480,539</w:t>
            </w:r>
          </w:p>
        </w:tc>
        <w:tc>
          <w:tcPr>
            <w:tcW w:w="0" w:type="dxa"/>
            <w:vAlign w:val="bottom"/>
          </w:tcPr>
          <w:p>
            <w:pPr>
              <w:spacing w:after="0"/>
              <w:rPr>
                <w:sz w:val="1"/>
                <w:szCs w:val="1"/>
                <w:color w:val="auto"/>
              </w:rPr>
            </w:pPr>
          </w:p>
        </w:tc>
      </w:tr>
      <w:tr>
        <w:trPr>
          <w:trHeight w:val="222"/>
        </w:trPr>
        <w:tc>
          <w:tcPr>
            <w:tcW w:w="61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Total listed investments</w:t>
            </w: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2"/>
              </w:rPr>
              <w:t>289,980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85"/>
              </w:rPr>
              <w:t>(482,978)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58,840</w:t>
            </w:r>
          </w:p>
        </w:tc>
        <w:tc>
          <w:tcPr>
            <w:tcW w:w="320" w:type="dxa"/>
            <w:vAlign w:val="bottom"/>
          </w:tcPr>
          <w:p>
            <w:pPr>
              <w:spacing w:after="0"/>
              <w:rPr>
                <w:sz w:val="19"/>
                <w:szCs w:val="19"/>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2"/>
              </w:rPr>
              <w:t>714,118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sz w:val="20"/>
          <w:szCs w:val="20"/>
          <w:color w:val="auto"/>
        </w:rPr>
      </w:pPr>
    </w:p>
    <w:p>
      <w:pPr>
        <w:ind w:left="540" w:right="80" w:hanging="424"/>
        <w:spacing w:after="0" w:line="254"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financial assets are investments in equity instruments and are not held for trading; they are held for medium to long-term strategic purposes. Accordingly, the Group has elected to designate these investments in equity instruments as at FVTOCI as recognizing short-term fluctuations in these investments’ fair value in profit or loss would not be consistent with the Group’s strategy of holding these investments for long-term purposes and realizing their performance potential in the long run.</w:t>
      </w:r>
    </w:p>
    <w:p>
      <w:pPr>
        <w:ind w:left="540" w:right="280" w:hanging="424"/>
        <w:spacing w:after="0" w:line="255"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represents the share (bid) price at year end and does not include any capital gains tax or selling costs that may be applicable on the disposal of these investments. These non-current investments in listed shares consist of investments in ordinary shares, and therefore have no fixed maturity date or coupon rate.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540" w:right="80" w:hanging="424"/>
        <w:spacing w:after="0" w:line="255"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June 30, 2019, 49% of the Group’s investment in Antisense Therapeutics Ltd. was sold for net proceeds of A$339,047. As a result, A$214,046 of the previously unrealized net fair value gains recorded in the fair value of investments reserve was realized at this date. Subsequently, during the year ended June 30, 2020, the Group disposed of its remaining 51% investment for net proceeds of A$482,978. As a result, A$249,399 of the previously unrealized net fair value gains recorded in the fair value of investments reserve was realized at this date. In accordance with the Group’s accounting policy, the realized gain remains within the fair value of investments reserve. The Group disposed of the investment in line with its Treasury and Investments Policy.</w:t>
      </w:r>
    </w:p>
    <w:p>
      <w:pPr>
        <w:spacing w:after="0" w:line="43" w:lineRule="exact"/>
        <w:rPr>
          <w:rFonts w:ascii="Times New Roman" w:cs="Times New Roman" w:eastAsia="Times New Roman" w:hAnsi="Times New Roman"/>
          <w:sz w:val="18"/>
          <w:szCs w:val="18"/>
          <w:color w:val="auto"/>
        </w:rPr>
      </w:pPr>
    </w:p>
    <w:p>
      <w:pPr>
        <w:ind w:left="540" w:hanging="424"/>
        <w:spacing w:after="0" w:line="275"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value increase of A$58,840 (2019: A$259,864) in the carrying value of investments has been made through other comprehensive income in the year due to a net increase in their market value in the year.</w:t>
      </w:r>
    </w:p>
    <w:p>
      <w:pPr>
        <w:spacing w:after="0" w:line="104" w:lineRule="exact"/>
        <w:rPr>
          <w:sz w:val="20"/>
          <w:szCs w:val="20"/>
          <w:color w:val="auto"/>
        </w:rPr>
      </w:pPr>
    </w:p>
    <w:p>
      <w:pPr>
        <w:ind w:left="540" w:hanging="424"/>
        <w:spacing w:after="0"/>
        <w:tabs>
          <w:tab w:leader="none" w:pos="5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w:t>
      </w:r>
    </w:p>
    <w:p>
      <w:pPr>
        <w:spacing w:after="0" w:line="81"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The Group has a three-year lease contract for its head office premises in Melbourne, Australia which commenced on July 15, 2019. The agreement does not contain any extension options. The carrying amount of the lease at June 30, 2020 is as follows: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Right-of-Use Asset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-121920</wp:posOffset>
            </wp:positionV>
            <wp:extent cx="558927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89270" cy="137160"/>
                    </a:xfrm>
                    <a:prstGeom prst="rect">
                      <a:avLst/>
                    </a:prstGeom>
                    <a:noFill/>
                  </pic:spPr>
                </pic:pic>
              </a:graphicData>
            </a:graphic>
          </wp:anchor>
        </w:drawing>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Opening balance as at July 1</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-129540</wp:posOffset>
            </wp:positionV>
            <wp:extent cx="558927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89270" cy="137160"/>
                    </a:xfrm>
                    <a:prstGeom prst="rect">
                      <a:avLst/>
                    </a:prstGeom>
                    <a:noFill/>
                  </pic:spPr>
                </pic:pic>
              </a:graphicData>
            </a:graphic>
          </wp:anchor>
        </w:drawing>
      </w:r>
    </w:p>
    <w:p>
      <w:pPr>
        <w:spacing w:after="0" w:line="2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Right-of-Use Asset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-121920</wp:posOffset>
            </wp:positionV>
            <wp:extent cx="558927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89270" cy="137160"/>
                    </a:xfrm>
                    <a:prstGeom prst="rect">
                      <a:avLst/>
                    </a:prstGeom>
                    <a:noFill/>
                  </pic:spPr>
                </pic:pic>
              </a:graphicData>
            </a:graphic>
          </wp:anchor>
        </w:drawing>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Opening balance as at July 1</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Depreciation of 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-129540</wp:posOffset>
            </wp:positionV>
            <wp:extent cx="558927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89270" cy="137160"/>
                    </a:xfrm>
                    <a:prstGeom prst="rect">
                      <a:avLst/>
                    </a:prstGeom>
                    <a:noFill/>
                  </pic:spPr>
                </pic:pic>
              </a:graphicData>
            </a:graphic>
          </wp:anchor>
        </w:drawing>
      </w:r>
    </w:p>
    <w:p>
      <w:pPr>
        <w:spacing w:after="0" w:line="2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Net carrying amount as at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-121920</wp:posOffset>
            </wp:positionV>
            <wp:extent cx="558927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89270" cy="137160"/>
                    </a:xfrm>
                    <a:prstGeom prst="rect">
                      <a:avLst/>
                    </a:prstGeom>
                    <a:noFill/>
                  </pic:spPr>
                </pic:pic>
              </a:graphicData>
            </a:graphic>
          </wp:anchor>
        </w:drawing>
      </w:r>
    </w:p>
    <w:p>
      <w:pPr>
        <w:spacing w:after="0" w:line="165" w:lineRule="exact"/>
        <w:rPr>
          <w:sz w:val="20"/>
          <w:szCs w:val="20"/>
          <w:color w:val="auto"/>
        </w:rPr>
      </w:pPr>
    </w:p>
    <w:p>
      <w:pPr>
        <w:jc w:val="right"/>
        <w:ind w:right="27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3"/>
          <w:szCs w:val="13"/>
          <w:b w:val="1"/>
          <w:bCs w:val="1"/>
          <w:color w:val="auto"/>
        </w:rPr>
        <w:t>2020</w:t>
      </w:r>
    </w:p>
    <w:p>
      <w:pPr>
        <w:spacing w:after="0" w:line="17"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3"/>
          <w:szCs w:val="13"/>
          <w:b w:val="1"/>
          <w:bCs w:val="1"/>
          <w:color w:val="auto"/>
        </w:rPr>
        <w:t>A$</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365,264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6985</wp:posOffset>
            </wp:positionV>
            <wp:extent cx="4800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365,264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14605</wp:posOffset>
            </wp:positionV>
            <wp:extent cx="4800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21590</wp:posOffset>
            </wp:positionV>
            <wp:extent cx="4800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29210</wp:posOffset>
            </wp:positionV>
            <wp:extent cx="4800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243,510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14605</wp:posOffset>
            </wp:positionV>
            <wp:extent cx="4800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ectPr>
          <w:pgSz w:w="11900" w:h="16838" w:orient="portrait"/>
          <w:cols w:equalWidth="0" w:num="2">
            <w:col w:w="8540" w:space="720"/>
            <w:col w:w="1800"/>
          </w:cols>
          <w:pgMar w:left="320" w:top="455" w:right="519" w:bottom="1440" w:gutter="0" w:footer="0" w:header="0"/>
          <w:type w:val="continuous"/>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Lease liabilities are as indicated below:</w:t>
      </w:r>
    </w:p>
    <w:p>
      <w:pPr>
        <w:spacing w:after="0" w:line="77"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At the commencement date of the lease of its office premises, the Group recognizes lease liabilities measured at the present value of lease payments to be made over the lease term ending on July 14, 2022, using an incremental borrowing rate of 3%.</w:t>
      </w:r>
    </w:p>
    <w:p>
      <w:pPr>
        <w:spacing w:after="0" w:line="103"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7920" w:type="dxa"/>
            <w:vAlign w:val="bottom"/>
          </w:tcPr>
          <w:p>
            <w:pPr>
              <w:spacing w:after="0"/>
              <w:rPr>
                <w:sz w:val="12"/>
                <w:szCs w:val="12"/>
                <w:color w:val="auto"/>
              </w:rPr>
            </w:pPr>
          </w:p>
        </w:tc>
        <w:tc>
          <w:tcPr>
            <w:tcW w:w="74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r>
      <w:tr>
        <w:trPr>
          <w:trHeight w:val="165"/>
        </w:trPr>
        <w:tc>
          <w:tcPr>
            <w:tcW w:w="79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July 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New lease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365,264</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(100,189)</w:t>
            </w: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at June 30</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265,076</w:t>
            </w:r>
          </w:p>
        </w:tc>
        <w:tc>
          <w:tcPr>
            <w:tcW w:w="140" w:type="dxa"/>
            <w:vAlign w:val="bottom"/>
          </w:tcPr>
          <w:p>
            <w:pPr>
              <w:spacing w:after="0"/>
              <w:rPr>
                <w:sz w:val="20"/>
                <w:szCs w:val="20"/>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 analysis: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Year 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152,723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2</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127,713</w:t>
            </w:r>
          </w:p>
        </w:tc>
      </w:tr>
      <w:tr>
        <w:trPr>
          <w:trHeight w:val="222"/>
        </w:trPr>
        <w:tc>
          <w:tcPr>
            <w:tcW w:w="79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280,436</w:t>
            </w:r>
          </w:p>
        </w:tc>
        <w:tc>
          <w:tcPr>
            <w:tcW w:w="140" w:type="dxa"/>
            <w:vAlign w:val="bottom"/>
          </w:tcPr>
          <w:p>
            <w:pPr>
              <w:spacing w:after="0"/>
              <w:rPr>
                <w:sz w:val="19"/>
                <w:szCs w:val="19"/>
                <w:color w:val="auto"/>
              </w:rPr>
            </w:pPr>
          </w:p>
        </w:tc>
      </w:tr>
      <w:tr>
        <w:trPr>
          <w:trHeight w:val="217"/>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unearned interest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(15,360)</w:t>
            </w:r>
          </w:p>
        </w:tc>
      </w:tr>
      <w:tr>
        <w:trPr>
          <w:trHeight w:val="230"/>
        </w:trPr>
        <w:tc>
          <w:tcPr>
            <w:tcW w:w="79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265,076</w:t>
            </w:r>
          </w:p>
        </w:tc>
        <w:tc>
          <w:tcPr>
            <w:tcW w:w="140" w:type="dxa"/>
            <w:vAlign w:val="bottom"/>
          </w:tcPr>
          <w:p>
            <w:pPr>
              <w:spacing w:after="0"/>
              <w:rPr>
                <w:sz w:val="20"/>
                <w:szCs w:val="20"/>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Analyzed into:</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145,043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120,033</w:t>
            </w:r>
          </w:p>
        </w:tc>
      </w:tr>
      <w:tr>
        <w:trPr>
          <w:trHeight w:val="230"/>
        </w:trPr>
        <w:tc>
          <w:tcPr>
            <w:tcW w:w="79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265,076</w:t>
            </w:r>
          </w:p>
        </w:tc>
        <w:tc>
          <w:tcPr>
            <w:tcW w:w="140" w:type="dxa"/>
            <w:vAlign w:val="bottom"/>
          </w:tcPr>
          <w:p>
            <w:pPr>
              <w:spacing w:after="0"/>
              <w:rPr>
                <w:sz w:val="20"/>
                <w:szCs w:val="20"/>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amounts recognized in profit or loss in relation to leases is as follows: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 on right-of-use asset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121,754</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7,680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9,669</w:t>
            </w:r>
          </w:p>
        </w:tc>
      </w:tr>
      <w:tr>
        <w:trPr>
          <w:trHeight w:val="27"/>
        </w:trPr>
        <w:tc>
          <w:tcPr>
            <w:tcW w:w="7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139,103</w:t>
            </w:r>
          </w:p>
        </w:tc>
      </w:tr>
      <w:tr>
        <w:trPr>
          <w:trHeight w:val="20"/>
        </w:trPr>
        <w:tc>
          <w:tcPr>
            <w:tcW w:w="7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did not have any short-term leases during the year ended June 30, 2020.</w:t>
      </w:r>
    </w:p>
    <w:p>
      <w:pPr>
        <w:spacing w:after="0" w:line="156" w:lineRule="exact"/>
        <w:rPr>
          <w:sz w:val="20"/>
          <w:szCs w:val="20"/>
          <w:color w:val="auto"/>
        </w:rPr>
      </w:pPr>
    </w:p>
    <w:p>
      <w:pPr>
        <w:ind w:left="540" w:hanging="424"/>
        <w:spacing w:after="0"/>
        <w:tabs>
          <w:tab w:leader="none" w:pos="5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liabilities—payables and accrued expenses</w:t>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610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8"/>
        </w:trPr>
        <w:tc>
          <w:tcPr>
            <w:tcW w:w="61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3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60" w:type="dxa"/>
            <w:vAlign w:val="bottom"/>
          </w:tcPr>
          <w:p>
            <w:pPr>
              <w:spacing w:after="0"/>
              <w:rPr>
                <w:sz w:val="12"/>
                <w:szCs w:val="12"/>
                <w:color w:val="auto"/>
              </w:rPr>
            </w:pPr>
          </w:p>
        </w:tc>
      </w:tr>
      <w:tr>
        <w:trPr>
          <w:trHeight w:val="165"/>
        </w:trPr>
        <w:tc>
          <w:tcPr>
            <w:tcW w:w="6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(unsecured)(1)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5,895,925</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5,838,115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Payroll related tax liability</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56,919</w:t>
            </w:r>
          </w:p>
        </w:tc>
        <w:tc>
          <w:tcPr>
            <w:tcW w:w="60" w:type="dxa"/>
            <w:vAlign w:val="bottom"/>
          </w:tcPr>
          <w:p>
            <w:pPr>
              <w:spacing w:after="0"/>
              <w:rPr>
                <w:sz w:val="18"/>
                <w:szCs w:val="18"/>
                <w:color w:val="auto"/>
              </w:rPr>
            </w:pPr>
          </w:p>
        </w:tc>
      </w:tr>
      <w:tr>
        <w:trPr>
          <w:trHeight w:val="27"/>
        </w:trPr>
        <w:tc>
          <w:tcPr>
            <w:tcW w:w="6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payables</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5,951,942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5,895,034</w:t>
            </w:r>
          </w:p>
        </w:tc>
        <w:tc>
          <w:tcPr>
            <w:tcW w:w="6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60" w:right="4640" w:hanging="5344"/>
        <w:spacing w:after="0" w:line="447" w:lineRule="auto"/>
        <w:tabs>
          <w:tab w:leader="none" w:pos="55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are non-interest bearing and are normally settled on 30-day terms. F-26</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Current liabilities—provisions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2"/>
        </w:trPr>
        <w:tc>
          <w:tcPr>
            <w:tcW w:w="13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Pr>
          <w:p>
            <w:pPr>
              <w:spacing w:after="0"/>
              <w:rPr>
                <w:sz w:val="24"/>
                <w:szCs w:val="24"/>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8"/>
        </w:trPr>
        <w:tc>
          <w:tcPr>
            <w:tcW w:w="1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80" w:type="dxa"/>
            <w:vAlign w:val="bottom"/>
            <w:gridSpan w:val="2"/>
          </w:tcPr>
          <w:p>
            <w:pPr>
              <w:jc w:val="center"/>
              <w:ind w:left="253"/>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2"/>
                <w:szCs w:val="12"/>
                <w:color w:val="auto"/>
              </w:rPr>
            </w:pPr>
          </w:p>
        </w:tc>
      </w:tr>
      <w:tr>
        <w:trPr>
          <w:trHeight w:val="165"/>
        </w:trPr>
        <w:tc>
          <w:tcPr>
            <w:tcW w:w="13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30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13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leave</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320,132</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2"/>
              </w:rPr>
              <w:t>403,479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Long service leave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218,415</w:t>
            </w:r>
          </w:p>
        </w:tc>
        <w:tc>
          <w:tcPr>
            <w:tcW w:w="30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237,455</w:t>
            </w:r>
          </w:p>
        </w:tc>
      </w:tr>
      <w:tr>
        <w:trPr>
          <w:trHeight w:val="27"/>
        </w:trPr>
        <w:tc>
          <w:tcPr>
            <w:tcW w:w="13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538,547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640,934</w:t>
            </w:r>
          </w:p>
        </w:tc>
      </w:tr>
      <w:tr>
        <w:trPr>
          <w:trHeight w:val="20"/>
        </w:trPr>
        <w:tc>
          <w:tcPr>
            <w:tcW w:w="13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  Non-current liabilities—provisions</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2"/>
        </w:trPr>
        <w:tc>
          <w:tcPr>
            <w:tcW w:w="13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9"/>
        </w:trPr>
        <w:tc>
          <w:tcPr>
            <w:tcW w:w="13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3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r>
      <w:tr>
        <w:trPr>
          <w:trHeight w:val="165"/>
        </w:trPr>
        <w:tc>
          <w:tcPr>
            <w:tcW w:w="13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13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service leave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4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w:t>
        <w:tab/>
        <w:t>Contributed equity</w:t>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2019</w:t>
            </w:r>
          </w:p>
        </w:tc>
        <w:tc>
          <w:tcPr>
            <w:tcW w:w="300" w:type="dxa"/>
            <w:vAlign w:val="bottom"/>
          </w:tcPr>
          <w:p>
            <w:pPr>
              <w:spacing w:after="0"/>
              <w:rPr>
                <w:sz w:val="12"/>
                <w:szCs w:val="12"/>
                <w:color w:val="auto"/>
              </w:rPr>
            </w:pP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 Ordinary shares</w:t>
            </w: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fully paid as of June 30, 2019 and 2020</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113,021,993</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162,102,553</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 in ordinary shares:</w:t>
            </w: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98,403,149</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113,021,993</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shares on exercise of options</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12,629,777</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420,000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15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48,660,560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from option reserve</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1,989,067</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issued and fully paid ordinary shares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113,021,993</w:t>
            </w:r>
          </w:p>
        </w:tc>
        <w:tc>
          <w:tcPr>
            <w:tcW w:w="3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162,102,553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Ordinary shares on issue:</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No. of</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 of</w:t>
            </w:r>
          </w:p>
        </w:tc>
        <w:tc>
          <w:tcPr>
            <w:tcW w:w="0" w:type="dxa"/>
            <w:vAlign w:val="bottom"/>
          </w:tcPr>
          <w:p>
            <w:pPr>
              <w:spacing w:after="0"/>
              <w:rPr>
                <w:sz w:val="1"/>
                <w:szCs w:val="1"/>
                <w:color w:val="auto"/>
              </w:rPr>
            </w:pPr>
          </w:p>
        </w:tc>
      </w:tr>
      <w:tr>
        <w:trPr>
          <w:trHeight w:val="159"/>
        </w:trPr>
        <w:tc>
          <w:tcPr>
            <w:tcW w:w="5580" w:type="dxa"/>
            <w:vAlign w:val="bottom"/>
            <w:gridSpan w:val="2"/>
            <w:vMerge w:val="continue"/>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216"/>
        </w:trPr>
        <w:tc>
          <w:tcPr>
            <w:tcW w:w="1480" w:type="dxa"/>
            <w:vAlign w:val="bottom"/>
            <w:tcBorders>
              <w:top w:val="single" w:sz="8" w:color="auto"/>
            </w:tcBorders>
          </w:tcPr>
          <w:p>
            <w:pPr>
              <w:spacing w:after="0"/>
              <w:rPr>
                <w:sz w:val="18"/>
                <w:szCs w:val="18"/>
                <w:color w:val="auto"/>
              </w:rPr>
            </w:pPr>
          </w:p>
        </w:tc>
        <w:tc>
          <w:tcPr>
            <w:tcW w:w="4100" w:type="dxa"/>
            <w:vAlign w:val="bottom"/>
          </w:tcPr>
          <w:p>
            <w:pPr>
              <w:spacing w:after="0"/>
              <w:rPr>
                <w:sz w:val="18"/>
                <w:szCs w:val="18"/>
                <w:color w:val="auto"/>
              </w:rPr>
            </w:pPr>
          </w:p>
        </w:tc>
        <w:tc>
          <w:tcPr>
            <w:tcW w:w="12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Pr>
          <w:p>
            <w:pPr>
              <w:spacing w:after="0"/>
              <w:rPr>
                <w:sz w:val="18"/>
                <w:szCs w:val="18"/>
                <w:color w:val="auto"/>
              </w:rPr>
            </w:pPr>
          </w:p>
        </w:tc>
        <w:tc>
          <w:tcPr>
            <w:tcW w:w="12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202,637,888</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249,414,839</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46,776,951</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19,742,930</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249,414,839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269,157,769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Fully paid ordinary shares carry one vote per share and carry the right to dividends.</w:t>
      </w:r>
    </w:p>
    <w:p>
      <w:pPr>
        <w:spacing w:after="0" w:line="7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Issued capital at June 30, 2020 amounted to A$162,102,553 (269,157,769 fully paid ordinary shares) net of share issue costs and tax. During the year ended June 30, 2020, the Company issued 18,867,930 ordinary shares in a private placement to institutional investors and 875,000 on the exercise of options for A$49,080,560. At June 30, 2020, the Company had no options outstanding, other than options granted to directors and employees and described in note 28, as all options had been exercised or expired by November 25, 2018. The fair value of the options at their issue date of A$1,989,067, originally recognized in the options reserve (note 21) was transferred to contributed equity during the year ended June 30, 2019.</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right="940" w:firstLine="728"/>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FOR THE YEARS ENDED JUNE 30, 2019 AND 2020 </w:t>
      </w:r>
      <w:r>
        <w:rPr>
          <w:rFonts w:ascii="Times New Roman" w:cs="Times New Roman" w:eastAsia="Times New Roman" w:hAnsi="Times New Roman"/>
          <w:sz w:val="18"/>
          <w:szCs w:val="18"/>
          <w:b w:val="1"/>
          <w:bCs w:val="1"/>
          <w:i w:val="1"/>
          <w:iCs w:val="1"/>
          <w:color w:val="auto"/>
        </w:rPr>
        <w:t>(b) Options granted to directors and employees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Company has two share based-payment schemes, the Long Term Incentive Plan and Non-Executive Director Share and Option Plan. Options to</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subscribe for the Company’s shares have been granted under these plans to certain employees and directors. The Company granted 8,844,000 options over</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ordinary shares under these plans during the year ended June 30, 2019 (note 28). These options had a weighted average fair value at their grant date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A$0.22 per option. During the year ended June 30, 2020, 875,000 options granted under the LTIP were exercised for A$420,000. No options were granted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June 30, 2020.</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Capital management</w:t>
      </w:r>
    </w:p>
    <w:p>
      <w:pPr>
        <w:spacing w:after="0" w:line="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Group is not subject to any externally imposed capital requirements. When managing share capital, management’s objective is to ensure the entity continues as a going concern as well as to provide benefits to shareholders and for other stakeholders. In order to maintain or achieve an appropriate capital structure, the Company may issue new shares or reduce its share capital, subject to the provisions of the Company’s constitution. The Group only commits to significant R&amp;D expenditure when this is fully funded either by existing funds or further equity raises.</w:t>
      </w:r>
    </w:p>
    <w:p>
      <w:pPr>
        <w:spacing w:after="0" w:line="1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tab/>
        <w:t>Accumulated Losses and Reserves</w:t>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June 30, 2020</w:t>
            </w: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A$</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6"/>
              </w:rPr>
              <w:t>(a) Movements in accumulated losses were as follows:</w:t>
            </w:r>
          </w:p>
        </w:tc>
        <w:tc>
          <w:tcPr>
            <w:tcW w:w="15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Balance at July 1</w:t>
            </w:r>
          </w:p>
        </w:tc>
        <w:tc>
          <w:tcPr>
            <w:tcW w:w="3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(65,149,999)</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(86,060,060)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for the period</w:t>
            </w:r>
          </w:p>
        </w:tc>
        <w:tc>
          <w:tcPr>
            <w:tcW w:w="3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(20,910,061)</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(16,529,281)</w:t>
            </w:r>
          </w:p>
        </w:tc>
        <w:tc>
          <w:tcPr>
            <w:tcW w:w="0" w:type="dxa"/>
            <w:vAlign w:val="bottom"/>
          </w:tcPr>
          <w:p>
            <w:pPr>
              <w:spacing w:after="0"/>
              <w:rPr>
                <w:sz w:val="1"/>
                <w:szCs w:val="1"/>
                <w:color w:val="auto"/>
              </w:rPr>
            </w:pPr>
          </w:p>
        </w:tc>
      </w:tr>
      <w:tr>
        <w:trPr>
          <w:trHeight w:val="230"/>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Balance at June 30</w:t>
            </w:r>
          </w:p>
        </w:tc>
        <w:tc>
          <w:tcPr>
            <w:tcW w:w="15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(86,060,060)</w:t>
            </w:r>
          </w:p>
        </w:tc>
        <w:tc>
          <w:tcPr>
            <w:tcW w:w="36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(102,589,341)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Reserves</w:t>
            </w: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Fair value of investments reserve (i)</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737,255</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796,095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Share-based payments reserve (ii)</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3,420,349</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4,498,830</w:t>
            </w:r>
          </w:p>
        </w:tc>
        <w:tc>
          <w:tcPr>
            <w:tcW w:w="0" w:type="dxa"/>
            <w:vAlign w:val="bottom"/>
          </w:tcPr>
          <w:p>
            <w:pPr>
              <w:spacing w:after="0"/>
              <w:rPr>
                <w:sz w:val="1"/>
                <w:szCs w:val="1"/>
                <w:color w:val="auto"/>
              </w:rPr>
            </w:pPr>
          </w:p>
        </w:tc>
      </w:tr>
      <w:tr>
        <w:trPr>
          <w:trHeight w:val="223"/>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Option reserve (iii)</w:t>
            </w:r>
          </w:p>
        </w:tc>
        <w:tc>
          <w:tcPr>
            <w:tcW w:w="1580" w:type="dxa"/>
            <w:vAlign w:val="bottom"/>
          </w:tcPr>
          <w:p>
            <w:pPr>
              <w:spacing w:after="0"/>
              <w:rPr>
                <w:sz w:val="19"/>
                <w:szCs w:val="19"/>
                <w:color w:val="auto"/>
              </w:rPr>
            </w:pPr>
          </w:p>
        </w:tc>
        <w:tc>
          <w:tcPr>
            <w:tcW w:w="10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reserves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4,157,604</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5,294,925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 Movement in fair value of investments reserve:</w:t>
            </w:r>
          </w:p>
        </w:tc>
        <w:tc>
          <w:tcPr>
            <w:tcW w:w="1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Opening balance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477,391</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737,255</w:t>
            </w:r>
          </w:p>
        </w:tc>
        <w:tc>
          <w:tcPr>
            <w:tcW w:w="0" w:type="dxa"/>
            <w:vAlign w:val="bottom"/>
          </w:tcPr>
          <w:p>
            <w:pPr>
              <w:spacing w:after="0"/>
              <w:rPr>
                <w:sz w:val="1"/>
                <w:szCs w:val="1"/>
                <w:color w:val="auto"/>
              </w:rPr>
            </w:pPr>
          </w:p>
        </w:tc>
      </w:tr>
      <w:tr>
        <w:trPr>
          <w:trHeight w:val="223"/>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Fair value gains on investments in financial assets</w:t>
            </w:r>
          </w:p>
        </w:tc>
        <w:tc>
          <w:tcPr>
            <w:tcW w:w="15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259,864</w:t>
            </w:r>
          </w:p>
        </w:tc>
        <w:tc>
          <w:tcPr>
            <w:tcW w:w="3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Closing balance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737,255</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796,095</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(ii) Movement in share-based payments reserve:</w:t>
            </w:r>
          </w:p>
        </w:tc>
        <w:tc>
          <w:tcPr>
            <w:tcW w:w="15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Opening balance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2,452,838</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3,420,349</w:t>
            </w:r>
          </w:p>
        </w:tc>
        <w:tc>
          <w:tcPr>
            <w:tcW w:w="0" w:type="dxa"/>
            <w:vAlign w:val="bottom"/>
          </w:tcPr>
          <w:p>
            <w:pPr>
              <w:spacing w:after="0"/>
              <w:rPr>
                <w:sz w:val="1"/>
                <w:szCs w:val="1"/>
                <w:color w:val="auto"/>
              </w:rPr>
            </w:pPr>
          </w:p>
        </w:tc>
      </w:tr>
      <w:tr>
        <w:trPr>
          <w:trHeight w:val="223"/>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 based payments expense</w:t>
            </w:r>
          </w:p>
        </w:tc>
        <w:tc>
          <w:tcPr>
            <w:tcW w:w="15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967,511</w:t>
            </w:r>
          </w:p>
        </w:tc>
        <w:tc>
          <w:tcPr>
            <w:tcW w:w="3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Closing balance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3,420,349</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4,498,830</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(iii) Movement in option reserve:</w:t>
            </w:r>
          </w:p>
        </w:tc>
        <w:tc>
          <w:tcPr>
            <w:tcW w:w="15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Opening balance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1,989,067</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Transferred to contributed equity</w:t>
            </w:r>
          </w:p>
        </w:tc>
        <w:tc>
          <w:tcPr>
            <w:tcW w:w="158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(1,989,067)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Closing balance</w:t>
            </w:r>
          </w:p>
        </w:tc>
        <w:tc>
          <w:tcPr>
            <w:tcW w:w="158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4000" w:type="dxa"/>
            <w:vAlign w:val="bottom"/>
          </w:tcPr>
          <w:p>
            <w:pPr>
              <w:spacing w:after="0"/>
              <w:rPr>
                <w:sz w:val="24"/>
                <w:szCs w:val="24"/>
                <w:color w:val="auto"/>
              </w:rPr>
            </w:pPr>
          </w:p>
        </w:tc>
        <w:tc>
          <w:tcPr>
            <w:tcW w:w="3020" w:type="dxa"/>
            <w:vAlign w:val="bottom"/>
            <w:gridSpan w:val="3"/>
          </w:tcPr>
          <w:p>
            <w:pPr>
              <w:jc w:val="right"/>
              <w:ind w:right="2680"/>
              <w:spacing w:after="0"/>
              <w:rPr>
                <w:sz w:val="20"/>
                <w:szCs w:val="20"/>
                <w:color w:val="auto"/>
              </w:rPr>
            </w:pPr>
            <w:r>
              <w:rPr>
                <w:rFonts w:ascii="Times New Roman" w:cs="Times New Roman" w:eastAsia="Times New Roman" w:hAnsi="Times New Roman"/>
                <w:sz w:val="18"/>
                <w:szCs w:val="18"/>
                <w:color w:val="auto"/>
                <w:w w:val="93"/>
              </w:rPr>
              <w:t>F-28</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69" w:lineRule="exact"/>
        <w:rPr>
          <w:sz w:val="20"/>
          <w:szCs w:val="20"/>
          <w:color w:val="auto"/>
        </w:rPr>
      </w:pPr>
    </w:p>
    <w:p>
      <w:pPr>
        <w:ind w:left="340" w:right="8260" w:hanging="4"/>
        <w:spacing w:after="0" w:line="372" w:lineRule="auto"/>
        <w:tabs>
          <w:tab w:leader="none" w:pos="579" w:val="left"/>
        </w:tabs>
        <w:numPr>
          <w:ilvl w:val="0"/>
          <w:numId w:val="15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Nature and purpose of reserves </w:t>
      </w:r>
      <w:r>
        <w:rPr>
          <w:rFonts w:ascii="Times New Roman" w:cs="Times New Roman" w:eastAsia="Times New Roman" w:hAnsi="Times New Roman"/>
          <w:sz w:val="16"/>
          <w:szCs w:val="16"/>
          <w:i w:val="1"/>
          <w:iCs w:val="1"/>
          <w:color w:val="auto"/>
        </w:rPr>
        <w:t>Fair value of investments reserve</w:t>
      </w:r>
    </w:p>
    <w:p>
      <w:pPr>
        <w:ind w:left="5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This reserve records fair value changes on listed investments.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Share-based payment reserve</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reserve is used to record the value of equity benefits provided to executives and employees as part of their remuneration.</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 reserve</w:t>
      </w:r>
    </w:p>
    <w:p>
      <w:pPr>
        <w:spacing w:after="0" w:line="7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November 25, 2014, the Company issued options to purchase 49,726,672 ordinary shares with an exercise price of A$0.27 expiring on November 25, 2018. The fair value of the options at their issue date of A$1,989,067 was recognized in the option reserve. The same amount, A$1,989,067, was transferred to contributed equity on November 25, 2018 following the exercise and expiry of all quoted options. The balance on the option reserve at June 30, 2020 was nil (2019: nil).</w:t>
      </w:r>
    </w:p>
    <w:p>
      <w:pPr>
        <w:spacing w:after="0" w:line="120"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 objectives and policies</w:t>
      </w:r>
    </w:p>
    <w:p>
      <w:pPr>
        <w:spacing w:after="0" w:line="78"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principal financial assets comprise cash, receivables, short-term deposits and investments in listed shares.</w:t>
      </w:r>
    </w:p>
    <w:p>
      <w:pPr>
        <w:spacing w:after="0" w:line="158" w:lineRule="exact"/>
        <w:rPr>
          <w:sz w:val="20"/>
          <w:szCs w:val="20"/>
          <w:color w:val="auto"/>
        </w:rPr>
      </w:pPr>
    </w:p>
    <w:p>
      <w:pPr>
        <w:ind w:left="120" w:right="640" w:firstLine="440"/>
        <w:spacing w:after="0" w:line="275" w:lineRule="auto"/>
        <w:rPr>
          <w:sz w:val="20"/>
          <w:szCs w:val="20"/>
          <w:color w:val="auto"/>
        </w:rPr>
      </w:pPr>
      <w:r>
        <w:rPr>
          <w:rFonts w:ascii="Times New Roman" w:cs="Times New Roman" w:eastAsia="Times New Roman" w:hAnsi="Times New Roman"/>
          <w:sz w:val="18"/>
          <w:szCs w:val="18"/>
          <w:color w:val="auto"/>
        </w:rPr>
        <w:t>The Group manages its exposure to key financial risks, including interest rate and currency risk in accordance with the Group’s financial risk management practices. The objective is to support the delivery of the Group’s financial targets while protecting future financial security.</w:t>
      </w:r>
    </w:p>
    <w:p>
      <w:pPr>
        <w:spacing w:after="0" w:line="106"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The Group’s other various financial assets and liabilities, such as receivables and payables, arise directly from its operations. The main risks arising from the Group’s financial assets and liabilities are interest rate risk, foreign currency risk, equity securities price risk and liquidity risk.</w:t>
      </w:r>
    </w:p>
    <w:p>
      <w:pPr>
        <w:spacing w:after="0" w:line="106"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The Group uses different methods to measure and manage different types of risks to which it is exposed. These include monitoring levels of exposure to interest rate and foreign exchange risk and assessments of market forecasts for interest rates and foreign exchange rates. Liquidity risk is monitored through future rolling cash flow forecasts.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reviews and agrees policies for managing each of these risks as summarized below.</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exposures and responses</w:t>
      </w:r>
    </w:p>
    <w:p>
      <w:pPr>
        <w:spacing w:after="0" w:line="81"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The Group has investigated the main financial risk areas which could impact its financial assets and determined the impact on post tax (losses) or profits for a range of sensitivities. These can be seen in the post-tax (loss)/profit impact for each risk area.</w:t>
      </w:r>
    </w:p>
    <w:p>
      <w:pPr>
        <w:spacing w:after="0" w:line="106"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For each risk area, the equity impact relates solely to reserve movements and excludes movements in accumulated losses as the impact of these can be seen within the post-tax (loss)/profit impact.</w:t>
      </w:r>
    </w:p>
    <w:p>
      <w:pPr>
        <w:spacing w:after="0" w:line="104" w:lineRule="exact"/>
        <w:rPr>
          <w:sz w:val="20"/>
          <w:szCs w:val="20"/>
          <w:color w:val="auto"/>
        </w:rPr>
      </w:pPr>
    </w:p>
    <w:p>
      <w:pPr>
        <w:ind w:left="540" w:hanging="204"/>
        <w:spacing w:after="0"/>
        <w:tabs>
          <w:tab w:leader="none" w:pos="540" w:val="left"/>
        </w:tabs>
        <w:numPr>
          <w:ilvl w:val="0"/>
          <w:numId w:val="1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Interest rate risk</w:t>
      </w:r>
    </w:p>
    <w:p>
      <w:pPr>
        <w:spacing w:after="0" w:line="78" w:lineRule="exact"/>
        <w:rPr>
          <w:rFonts w:ascii="Times New Roman" w:cs="Times New Roman" w:eastAsia="Times New Roman" w:hAnsi="Times New Roman"/>
          <w:sz w:val="18"/>
          <w:szCs w:val="18"/>
          <w:i w:val="1"/>
          <w:iCs w:val="1"/>
          <w:color w:val="auto"/>
        </w:rPr>
      </w:pPr>
    </w:p>
    <w:p>
      <w:pPr>
        <w:ind w:left="5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The Group’s exposure to market interest rates relates primarily to the short-term deposits. The deposits are held with two of Australia’s largest banks.</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objective of managing interest rate risk is to minimize the Group’s exposure to fluctuations in interest rates that might impact its interest income and cash flow. To manage interest rate risk, the Group invests the majority of its cash in short-term deposits for varying periods of between 30 days and 90 days, depending on the short and long-term cash requirements of the Group which is determined based on the Group’s cash flow forecast. This consideration also takes into account the costs associated with recalling a term deposit should early access to cash and cash equivalents be required. Cash is not locked into long-term deposits at fixed rates so as to mitigate the risk of earning interest below the current floating rate.</w:t>
      </w:r>
    </w:p>
    <w:p>
      <w:pPr>
        <w:spacing w:after="0" w:line="125"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8"/>
          <w:szCs w:val="18"/>
          <w:color w:val="auto"/>
        </w:rPr>
        <w:t>The Group does not have any borrowings at June 30, 2019 or June 30, 2020. The following sensitivity analysis (an annual effect) is based on the interest rate risk exposures at June 30, 2019 and 2020.</w:t>
      </w:r>
    </w:p>
    <w:p>
      <w:pPr>
        <w:spacing w:after="0" w:line="106" w:lineRule="exact"/>
        <w:rPr>
          <w:sz w:val="20"/>
          <w:szCs w:val="20"/>
          <w:color w:val="auto"/>
        </w:rPr>
      </w:pPr>
    </w:p>
    <w:p>
      <w:pPr>
        <w:ind w:left="120" w:right="200" w:firstLine="440"/>
        <w:spacing w:after="0" w:line="275" w:lineRule="auto"/>
        <w:rPr>
          <w:sz w:val="20"/>
          <w:szCs w:val="20"/>
          <w:color w:val="auto"/>
        </w:rPr>
      </w:pPr>
      <w:r>
        <w:rPr>
          <w:rFonts w:ascii="Times New Roman" w:cs="Times New Roman" w:eastAsia="Times New Roman" w:hAnsi="Times New Roman"/>
          <w:sz w:val="18"/>
          <w:szCs w:val="18"/>
          <w:color w:val="auto"/>
        </w:rPr>
        <w:t>At June 30, 2020, if interest rates moved, with all variables held constant, post tax (loss)/profit and equity would have been affected as illustrated in the following table:</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460" w:type="dxa"/>
            <w:vAlign w:val="bottom"/>
          </w:tcPr>
          <w:p>
            <w:pPr>
              <w:spacing w:after="0"/>
              <w:rPr>
                <w:sz w:val="12"/>
                <w:szCs w:val="12"/>
                <w:color w:val="auto"/>
              </w:rPr>
            </w:pPr>
          </w:p>
        </w:tc>
        <w:tc>
          <w:tcPr>
            <w:tcW w:w="210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Post tax</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6460" w:type="dxa"/>
            <w:vAlign w:val="bottom"/>
          </w:tcPr>
          <w:p>
            <w:pPr>
              <w:spacing w:after="0"/>
              <w:rPr>
                <w:sz w:val="12"/>
                <w:szCs w:val="12"/>
                <w:color w:val="auto"/>
              </w:rPr>
            </w:pPr>
          </w:p>
        </w:tc>
        <w:tc>
          <w:tcPr>
            <w:tcW w:w="210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(loss)/profit</w:t>
            </w:r>
          </w:p>
        </w:tc>
        <w:tc>
          <w:tcPr>
            <w:tcW w:w="136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Cost of</w:t>
            </w:r>
          </w:p>
        </w:tc>
      </w:tr>
      <w:tr>
        <w:trPr>
          <w:trHeight w:val="165"/>
        </w:trPr>
        <w:tc>
          <w:tcPr>
            <w:tcW w:w="6460" w:type="dxa"/>
            <w:vAlign w:val="bottom"/>
          </w:tcPr>
          <w:p>
            <w:pPr>
              <w:spacing w:after="0"/>
              <w:rPr>
                <w:sz w:val="14"/>
                <w:szCs w:val="14"/>
                <w:color w:val="auto"/>
              </w:rPr>
            </w:pPr>
          </w:p>
        </w:tc>
        <w:tc>
          <w:tcPr>
            <w:tcW w:w="1060" w:type="dxa"/>
            <w:vAlign w:val="bottom"/>
          </w:tcPr>
          <w:p>
            <w:pPr>
              <w:jc w:val="center"/>
              <w:ind w:left="586"/>
              <w:spacing w:after="0"/>
              <w:rPr>
                <w:sz w:val="20"/>
                <w:szCs w:val="20"/>
                <w:color w:val="auto"/>
              </w:rPr>
            </w:pPr>
            <w:r>
              <w:rPr>
                <w:rFonts w:ascii="Times New Roman" w:cs="Times New Roman" w:eastAsia="Times New Roman" w:hAnsi="Times New Roman"/>
                <w:sz w:val="13"/>
                <w:szCs w:val="13"/>
                <w:b w:val="1"/>
                <w:bCs w:val="1"/>
                <w:color w:val="auto"/>
              </w:rPr>
              <w:t>impact</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investment</w:t>
            </w:r>
          </w:p>
        </w:tc>
      </w:tr>
      <w:tr>
        <w:trPr>
          <w:trHeight w:val="142"/>
        </w:trPr>
        <w:tc>
          <w:tcPr>
            <w:tcW w:w="6460" w:type="dxa"/>
            <w:vAlign w:val="bottom"/>
          </w:tcPr>
          <w:p>
            <w:pPr>
              <w:spacing w:after="0"/>
              <w:rPr>
                <w:sz w:val="12"/>
                <w:szCs w:val="12"/>
                <w:color w:val="auto"/>
              </w:rPr>
            </w:pPr>
          </w:p>
        </w:tc>
        <w:tc>
          <w:tcPr>
            <w:tcW w:w="1060" w:type="dxa"/>
            <w:vAlign w:val="bottom"/>
            <w:tcBorders>
              <w:top w:val="single" w:sz="8" w:color="auto"/>
            </w:tcBorders>
          </w:tcPr>
          <w:p>
            <w:pPr>
              <w:jc w:val="right"/>
              <w:ind w:right="446"/>
              <w:spacing w:after="0" w:line="142" w:lineRule="exact"/>
              <w:rPr>
                <w:sz w:val="20"/>
                <w:szCs w:val="20"/>
                <w:color w:val="auto"/>
              </w:rPr>
            </w:pPr>
            <w:r>
              <w:rPr>
                <w:rFonts w:ascii="Times New Roman" w:cs="Times New Roman" w:eastAsia="Times New Roman" w:hAnsi="Times New Roman"/>
                <w:sz w:val="13"/>
                <w:szCs w:val="13"/>
                <w:b w:val="1"/>
                <w:bCs w:val="1"/>
                <w:color w:val="auto"/>
              </w:rPr>
              <w:t>2019 A$</w:t>
            </w:r>
          </w:p>
        </w:tc>
        <w:tc>
          <w:tcPr>
            <w:tcW w:w="64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3"/>
                <w:szCs w:val="13"/>
                <w:b w:val="1"/>
                <w:bCs w:val="1"/>
                <w:color w:val="auto"/>
              </w:rPr>
              <w:t>2020 A$</w:t>
            </w:r>
          </w:p>
        </w:tc>
        <w:tc>
          <w:tcPr>
            <w:tcW w:w="400" w:type="dxa"/>
            <w:vAlign w:val="bottom"/>
          </w:tcPr>
          <w:p>
            <w:pPr>
              <w:spacing w:after="0"/>
              <w:rPr>
                <w:sz w:val="12"/>
                <w:szCs w:val="12"/>
                <w:color w:val="auto"/>
              </w:rPr>
            </w:pPr>
          </w:p>
        </w:tc>
        <w:tc>
          <w:tcPr>
            <w:tcW w:w="6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2019 A$</w:t>
            </w:r>
          </w:p>
        </w:tc>
        <w:tc>
          <w:tcPr>
            <w:tcW w:w="64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2020 A$</w:t>
            </w:r>
          </w:p>
        </w:tc>
        <w:tc>
          <w:tcPr>
            <w:tcW w:w="6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Judgments of reasonably possible movements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+ 0.50% (50 basis points)</w:t>
            </w:r>
          </w:p>
        </w:tc>
        <w:tc>
          <w:tcPr>
            <w:tcW w:w="1060" w:type="dxa"/>
            <w:vAlign w:val="bottom"/>
          </w:tcPr>
          <w:p>
            <w:pPr>
              <w:jc w:val="right"/>
              <w:ind w:right="366"/>
              <w:spacing w:after="0"/>
              <w:rPr>
                <w:sz w:val="20"/>
                <w:szCs w:val="20"/>
                <w:color w:val="auto"/>
              </w:rPr>
            </w:pPr>
            <w:r>
              <w:rPr>
                <w:rFonts w:ascii="Times New Roman" w:cs="Times New Roman" w:eastAsia="Times New Roman" w:hAnsi="Times New Roman"/>
                <w:sz w:val="18"/>
                <w:szCs w:val="18"/>
                <w:color w:val="auto"/>
              </w:rPr>
              <w:t>71,903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206,700</w:t>
            </w:r>
          </w:p>
        </w:tc>
        <w:tc>
          <w:tcPr>
            <w:tcW w:w="40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0.50% (50 basis points)</w:t>
            </w:r>
          </w:p>
        </w:tc>
        <w:tc>
          <w:tcPr>
            <w:tcW w:w="10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8"/>
                <w:szCs w:val="18"/>
                <w:color w:val="auto"/>
              </w:rPr>
              <w:t>(71,903)</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(206,700)</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bl>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post-tax figures include an offset for unrecognized tax losses (bringing the tax effect to nil) for the years ended June 30, 2019 and 2020.</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assumptions used in the interest rate sensitivity analysis include:</w:t>
      </w:r>
    </w:p>
    <w:p>
      <w:pPr>
        <w:spacing w:after="0" w:line="77" w:lineRule="exact"/>
        <w:rPr>
          <w:sz w:val="20"/>
          <w:szCs w:val="20"/>
          <w:color w:val="auto"/>
        </w:rPr>
      </w:pPr>
    </w:p>
    <w:p>
      <w:pPr>
        <w:ind w:left="760" w:right="260" w:hanging="212"/>
        <w:spacing w:after="0" w:line="275" w:lineRule="auto"/>
        <w:tabs>
          <w:tab w:leader="none" w:pos="76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reasonably possible movement of 0.5% was calculated by taking the interest rates as at balance date, moving these by plus and minus 0.5% and then re-calculating the interest on term deposits with the ‘new-interest-rate’.</w:t>
      </w:r>
    </w:p>
    <w:p>
      <w:pPr>
        <w:spacing w:after="0" w:line="25" w:lineRule="exact"/>
        <w:rPr>
          <w:rFonts w:ascii="Times New Roman" w:cs="Times New Roman" w:eastAsia="Times New Roman" w:hAnsi="Times New Roman"/>
          <w:sz w:val="18"/>
          <w:szCs w:val="18"/>
          <w:color w:val="auto"/>
        </w:rPr>
      </w:pPr>
    </w:p>
    <w:p>
      <w:pPr>
        <w:ind w:left="760" w:right="40" w:hanging="212"/>
        <w:spacing w:after="0" w:line="275" w:lineRule="auto"/>
        <w:tabs>
          <w:tab w:leader="none" w:pos="76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exposure at balance date is representative of what the Group was and is expecting to be exposed to in the next twelve months from balance date.</w:t>
      </w:r>
    </w:p>
    <w:p>
      <w:pPr>
        <w:spacing w:after="0" w:line="104" w:lineRule="exact"/>
        <w:rPr>
          <w:rFonts w:ascii="Times New Roman" w:cs="Times New Roman" w:eastAsia="Times New Roman" w:hAnsi="Times New Roman"/>
          <w:sz w:val="18"/>
          <w:szCs w:val="18"/>
          <w:color w:val="auto"/>
        </w:rPr>
      </w:pPr>
    </w:p>
    <w:p>
      <w:pPr>
        <w:ind w:left="600" w:hanging="264"/>
        <w:spacing w:after="0"/>
        <w:tabs>
          <w:tab w:leader="none" w:pos="600" w:val="left"/>
        </w:tabs>
        <w:numPr>
          <w:ilvl w:val="0"/>
          <w:numId w:val="1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Price risk</w:t>
      </w:r>
    </w:p>
    <w:p>
      <w:pPr>
        <w:spacing w:after="0" w:line="79"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The Group’s investment in listed shares is exposed to equity securities price risk and as such their fair values are exposed to fluctuations as a result of changes in market prices.</w:t>
      </w:r>
    </w:p>
    <w:p>
      <w:pPr>
        <w:spacing w:after="0" w:line="106" w:lineRule="exact"/>
        <w:rPr>
          <w:sz w:val="20"/>
          <w:szCs w:val="20"/>
          <w:color w:val="auto"/>
        </w:rPr>
      </w:pPr>
    </w:p>
    <w:p>
      <w:pPr>
        <w:ind w:left="120" w:right="460" w:firstLine="440"/>
        <w:spacing w:after="0" w:line="339" w:lineRule="auto"/>
        <w:rPr>
          <w:sz w:val="20"/>
          <w:szCs w:val="20"/>
          <w:color w:val="auto"/>
        </w:rPr>
      </w:pPr>
      <w:r>
        <w:rPr>
          <w:rFonts w:ascii="Times New Roman" w:cs="Times New Roman" w:eastAsia="Times New Roman" w:hAnsi="Times New Roman"/>
          <w:sz w:val="16"/>
          <w:szCs w:val="16"/>
          <w:color w:val="auto"/>
        </w:rPr>
        <w:t>Equity price risk is the risk that the fair value of equities will decrease as a result of share price movements. The Group’s equity investments are publicly traded on the Australian Securities Exchange (ASX) and are designated and accounted for as investments in financial assets.</w:t>
      </w:r>
    </w:p>
    <w:p>
      <w:pPr>
        <w:spacing w:after="0" w:line="61"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The investments in listed shares are not held for short-term trading. Their values are reviewed regularly by management and the board. The strategy for realizing any part of these investments is determined based on the liquidity of the respective stocks, potential off-market acquirers and likely developments in their values based on publicly available information.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right="600" w:firstLine="440"/>
        <w:spacing w:after="0" w:line="275" w:lineRule="auto"/>
        <w:rPr>
          <w:sz w:val="20"/>
          <w:szCs w:val="20"/>
          <w:color w:val="auto"/>
        </w:rPr>
      </w:pPr>
      <w:r>
        <w:rPr>
          <w:rFonts w:ascii="Times New Roman" w:cs="Times New Roman" w:eastAsia="Times New Roman" w:hAnsi="Times New Roman"/>
          <w:sz w:val="18"/>
          <w:szCs w:val="18"/>
          <w:color w:val="auto"/>
        </w:rPr>
        <w:t>At June 30, 2019 and 2020, had the share price moved with all other variables held constant, post tax (loss)/profit and equity would have been affected as illustrated in the table below:</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Impact of loss</w:t>
            </w: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Impact on equity</w:t>
            </w: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Impact of loss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Impact on equity</w:t>
            </w:r>
          </w:p>
        </w:tc>
      </w:tr>
      <w:tr>
        <w:trPr>
          <w:trHeight w:val="165"/>
        </w:trPr>
        <w:tc>
          <w:tcPr>
            <w:tcW w:w="556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after tax</w:t>
            </w: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after tax</w:t>
            </w: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after tax</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after tax</w:t>
            </w:r>
          </w:p>
        </w:tc>
      </w:tr>
      <w:tr>
        <w:trPr>
          <w:trHeight w:val="142"/>
        </w:trPr>
        <w:tc>
          <w:tcPr>
            <w:tcW w:w="55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2019 A$</w:t>
            </w:r>
          </w:p>
        </w:tc>
        <w:tc>
          <w:tcPr>
            <w:tcW w:w="5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2019 A$</w:t>
            </w:r>
          </w:p>
        </w:tc>
        <w:tc>
          <w:tcPr>
            <w:tcW w:w="5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2020 A$</w:t>
            </w:r>
          </w:p>
        </w:tc>
        <w:tc>
          <w:tcPr>
            <w:tcW w:w="60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2020 A$</w:t>
            </w:r>
          </w:p>
        </w:tc>
        <w:tc>
          <w:tcPr>
            <w:tcW w:w="120" w:type="dxa"/>
            <w:vAlign w:val="bottom"/>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Judgments of reasonably possible movements</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variables 10% increase in listed share price</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49,988</w:t>
            </w: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49,988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20,299</w:t>
            </w:r>
          </w:p>
        </w:tc>
        <w:tc>
          <w:tcPr>
            <w:tcW w:w="6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20,299</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decrease in listed share price</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(49,988)</w:t>
            </w: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(49,988)</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(20,299)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(20,299)</w:t>
            </w:r>
          </w:p>
        </w:tc>
      </w:tr>
    </w:tbl>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(iii) Foreign currency risk</w:t>
      </w:r>
    </w:p>
    <w:p>
      <w:pPr>
        <w:spacing w:after="0" w:line="79" w:lineRule="exact"/>
        <w:rPr>
          <w:sz w:val="20"/>
          <w:szCs w:val="20"/>
          <w:color w:val="auto"/>
        </w:rPr>
      </w:pPr>
    </w:p>
    <w:p>
      <w:pPr>
        <w:jc w:val="both"/>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As a result of services provided by non-related entities in the United States, Canada, United Kingdom and Europe, part of the Group’s financial assets and liabilities are affected by movements in the exchange rate.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does not enter into any hedging transactions.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reporting date, the Group has the following exposure to foreign currencies:</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As of June 30, 2019</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3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USD</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GBP</w:t>
            </w:r>
          </w:p>
        </w:tc>
        <w:tc>
          <w:tcPr>
            <w:tcW w:w="5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CAD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80" w:type="dxa"/>
            <w:vAlign w:val="bottom"/>
            <w:gridSpan w:val="2"/>
            <w:vMerge w:val="continue"/>
          </w:tcPr>
          <w:p>
            <w:pPr>
              <w:spacing w:after="0"/>
              <w:rPr>
                <w:sz w:val="13"/>
                <w:szCs w:val="13"/>
                <w:color w:val="auto"/>
              </w:rPr>
            </w:pPr>
          </w:p>
        </w:tc>
        <w:tc>
          <w:tcPr>
            <w:tcW w:w="32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EUR 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Financial assets</w:t>
            </w:r>
          </w:p>
        </w:tc>
        <w:tc>
          <w:tcPr>
            <w:tcW w:w="2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551,719</w:t>
            </w: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Payables</w:t>
            </w:r>
          </w:p>
        </w:tc>
        <w:tc>
          <w:tcPr>
            <w:tcW w:w="3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(5,135,089)</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(51,269)</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(4,351)</w:t>
            </w:r>
          </w:p>
        </w:tc>
        <w:tc>
          <w:tcPr>
            <w:tcW w:w="0" w:type="dxa"/>
            <w:vAlign w:val="bottom"/>
          </w:tcPr>
          <w:p>
            <w:pPr>
              <w:spacing w:after="0"/>
              <w:rPr>
                <w:sz w:val="1"/>
                <w:szCs w:val="1"/>
                <w:color w:val="auto"/>
              </w:rPr>
            </w:pPr>
          </w:p>
        </w:tc>
      </w:tr>
      <w:tr>
        <w:trPr>
          <w:trHeight w:val="222"/>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exposure</w:t>
            </w:r>
          </w:p>
        </w:tc>
        <w:tc>
          <w:tcPr>
            <w:tcW w:w="25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(4,481,482)</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4"/>
              </w:rPr>
              <w:t>(51,269)</w:t>
            </w: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As of June 30, 2020</w:t>
            </w: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3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USD</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GBP</w:t>
            </w:r>
          </w:p>
        </w:tc>
        <w:tc>
          <w:tcPr>
            <w:tcW w:w="5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CAD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80" w:type="dxa"/>
            <w:vAlign w:val="bottom"/>
            <w:gridSpan w:val="2"/>
            <w:vMerge w:val="continue"/>
          </w:tcPr>
          <w:p>
            <w:pPr>
              <w:spacing w:after="0"/>
              <w:rPr>
                <w:sz w:val="13"/>
                <w:szCs w:val="13"/>
                <w:color w:val="auto"/>
              </w:rPr>
            </w:pPr>
          </w:p>
        </w:tc>
        <w:tc>
          <w:tcPr>
            <w:tcW w:w="32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EUR 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Financial assets</w:t>
            </w:r>
          </w:p>
        </w:tc>
        <w:tc>
          <w:tcPr>
            <w:tcW w:w="2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61,680</w:t>
            </w: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Payables</w:t>
            </w:r>
          </w:p>
        </w:tc>
        <w:tc>
          <w:tcPr>
            <w:tcW w:w="3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(4,878,718)</w:t>
            </w:r>
          </w:p>
        </w:tc>
        <w:tc>
          <w:tcPr>
            <w:tcW w:w="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(14,887)</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(34,144)</w:t>
            </w:r>
          </w:p>
        </w:tc>
        <w:tc>
          <w:tcPr>
            <w:tcW w:w="72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5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(237,820)</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exposure</w:t>
            </w:r>
          </w:p>
        </w:tc>
        <w:tc>
          <w:tcPr>
            <w:tcW w:w="2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(5,017,313)</w:t>
            </w:r>
          </w:p>
        </w:tc>
        <w:tc>
          <w:tcPr>
            <w:tcW w:w="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(14,887)</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(34,144)</w:t>
            </w:r>
          </w:p>
        </w:tc>
        <w:tc>
          <w:tcPr>
            <w:tcW w:w="72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F-31</w:t>
            </w:r>
          </w:p>
        </w:tc>
        <w:tc>
          <w:tcPr>
            <w:tcW w:w="9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560" w:right="960" w:firstLine="508"/>
        <w:spacing w:after="0" w:line="431" w:lineRule="auto"/>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FOR THE YEARS ENDED JUNE 30, 2019 AND 2020 </w:t>
      </w:r>
      <w:r>
        <w:rPr>
          <w:rFonts w:ascii="Times New Roman" w:cs="Times New Roman" w:eastAsia="Times New Roman" w:hAnsi="Times New Roman"/>
          <w:sz w:val="18"/>
          <w:szCs w:val="18"/>
          <w:color w:val="auto"/>
        </w:rPr>
        <w:t>The following sensitivity is based on the foreign currency risk exposures in existence at June 30, 2019 and 2020.</w:t>
      </w:r>
    </w:p>
    <w:p>
      <w:pPr>
        <w:spacing w:after="0" w:line="1" w:lineRule="exact"/>
        <w:rPr>
          <w:sz w:val="20"/>
          <w:szCs w:val="20"/>
          <w:color w:val="auto"/>
        </w:rPr>
      </w:pPr>
    </w:p>
    <w:p>
      <w:pPr>
        <w:ind w:left="120" w:right="360" w:firstLine="440"/>
        <w:spacing w:after="0" w:line="275" w:lineRule="auto"/>
        <w:rPr>
          <w:sz w:val="20"/>
          <w:szCs w:val="20"/>
          <w:color w:val="auto"/>
        </w:rPr>
      </w:pPr>
      <w:r>
        <w:rPr>
          <w:rFonts w:ascii="Times New Roman" w:cs="Times New Roman" w:eastAsia="Times New Roman" w:hAnsi="Times New Roman"/>
          <w:sz w:val="18"/>
          <w:szCs w:val="18"/>
          <w:color w:val="auto"/>
        </w:rPr>
        <w:t>As of June 30, 2019 and 2020, had the Australian dollar moved with all other variables held constant, post tax (loss) profit and equity would have been affected as illustrated in the table below:</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140" w:type="dxa"/>
            <w:vAlign w:val="bottom"/>
            <w:gridSpan w:val="3"/>
          </w:tcPr>
          <w:p>
            <w:pPr>
              <w:jc w:val="center"/>
              <w:ind w:left="566"/>
              <w:spacing w:after="0"/>
              <w:rPr>
                <w:sz w:val="20"/>
                <w:szCs w:val="20"/>
                <w:color w:val="auto"/>
              </w:rPr>
            </w:pPr>
            <w:r>
              <w:rPr>
                <w:rFonts w:ascii="Times New Roman" w:cs="Times New Roman" w:eastAsia="Times New Roman" w:hAnsi="Times New Roman"/>
                <w:sz w:val="13"/>
                <w:szCs w:val="13"/>
                <w:b w:val="1"/>
                <w:bCs w:val="1"/>
                <w:color w:val="auto"/>
              </w:rPr>
              <w:t>Post tax</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6360" w:type="dxa"/>
            <w:vAlign w:val="bottom"/>
          </w:tcPr>
          <w:p>
            <w:pPr>
              <w:spacing w:after="0"/>
              <w:rPr>
                <w:sz w:val="12"/>
                <w:szCs w:val="12"/>
                <w:color w:val="auto"/>
              </w:rPr>
            </w:pPr>
          </w:p>
        </w:tc>
        <w:tc>
          <w:tcPr>
            <w:tcW w:w="2180" w:type="dxa"/>
            <w:vAlign w:val="bottom"/>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(loss)/profit</w:t>
            </w:r>
          </w:p>
        </w:tc>
        <w:tc>
          <w:tcPr>
            <w:tcW w:w="1380" w:type="dxa"/>
            <w:vAlign w:val="bottom"/>
            <w:gridSpan w:val="4"/>
          </w:tcPr>
          <w:p>
            <w:pPr>
              <w:ind w:left="460"/>
              <w:spacing w:after="0"/>
              <w:rPr>
                <w:sz w:val="20"/>
                <w:szCs w:val="20"/>
                <w:color w:val="auto"/>
              </w:rPr>
            </w:pPr>
            <w:r>
              <w:rPr>
                <w:rFonts w:ascii="Times New Roman" w:cs="Times New Roman" w:eastAsia="Times New Roman" w:hAnsi="Times New Roman"/>
                <w:sz w:val="13"/>
                <w:szCs w:val="13"/>
                <w:b w:val="1"/>
                <w:bCs w:val="1"/>
                <w:color w:val="auto"/>
              </w:rPr>
              <w:t>Cost of</w:t>
            </w:r>
          </w:p>
        </w:tc>
      </w:tr>
      <w:tr>
        <w:trPr>
          <w:trHeight w:val="165"/>
        </w:trPr>
        <w:tc>
          <w:tcPr>
            <w:tcW w:w="6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impact</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investment</w:t>
            </w:r>
          </w:p>
        </w:tc>
      </w:tr>
      <w:tr>
        <w:trPr>
          <w:trHeight w:val="125"/>
        </w:trPr>
        <w:tc>
          <w:tcPr>
            <w:tcW w:w="6360" w:type="dxa"/>
            <w:vAlign w:val="bottom"/>
          </w:tcPr>
          <w:p>
            <w:pPr>
              <w:spacing w:after="0"/>
              <w:rPr>
                <w:sz w:val="10"/>
                <w:szCs w:val="10"/>
                <w:color w:val="auto"/>
              </w:rPr>
            </w:pPr>
          </w:p>
        </w:tc>
        <w:tc>
          <w:tcPr>
            <w:tcW w:w="1140" w:type="dxa"/>
            <w:vAlign w:val="bottom"/>
            <w:tcBorders>
              <w:top w:val="single" w:sz="8" w:color="auto"/>
            </w:tcBorders>
            <w:gridSpan w:val="3"/>
          </w:tcPr>
          <w:p>
            <w:pPr>
              <w:ind w:left="100"/>
              <w:spacing w:after="0" w:line="12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40" w:type="dxa"/>
            <w:vAlign w:val="bottom"/>
            <w:tcBorders>
              <w:top w:val="single" w:sz="8" w:color="auto"/>
            </w:tcBorders>
          </w:tcPr>
          <w:p>
            <w:pPr>
              <w:jc w:val="right"/>
              <w:ind w:right="22"/>
              <w:spacing w:after="0" w:line="12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Pr>
          <w:p>
            <w:pPr>
              <w:spacing w:after="0"/>
              <w:rPr>
                <w:sz w:val="10"/>
                <w:szCs w:val="10"/>
                <w:color w:val="auto"/>
              </w:rPr>
            </w:pPr>
          </w:p>
        </w:tc>
        <w:tc>
          <w:tcPr>
            <w:tcW w:w="840" w:type="dxa"/>
            <w:vAlign w:val="bottom"/>
            <w:tcBorders>
              <w:top w:val="single" w:sz="8" w:color="auto"/>
            </w:tcBorders>
            <w:gridSpan w:val="2"/>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8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60" w:type="dxa"/>
            <w:vAlign w:val="bottom"/>
          </w:tcPr>
          <w:p>
            <w:pPr>
              <w:spacing w:after="0"/>
              <w:rPr>
                <w:sz w:val="10"/>
                <w:szCs w:val="10"/>
                <w:color w:val="auto"/>
              </w:rPr>
            </w:pPr>
          </w:p>
        </w:tc>
      </w:tr>
      <w:tr>
        <w:trPr>
          <w:trHeight w:val="165"/>
        </w:trPr>
        <w:tc>
          <w:tcPr>
            <w:tcW w:w="636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2019 A$</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2020 A$</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2019 </w:t>
            </w:r>
            <w:r>
              <w:rPr>
                <w:rFonts w:ascii="Times New Roman" w:cs="Times New Roman" w:eastAsia="Times New Roman" w:hAnsi="Times New Roman"/>
                <w:sz w:val="13"/>
                <w:szCs w:val="13"/>
                <w:b w:val="1"/>
                <w:bCs w:val="1"/>
                <w:u w:val="single" w:color="auto"/>
                <w:color w:val="auto"/>
              </w:rPr>
              <w:t>A</w:t>
            </w:r>
            <w:r>
              <w:rPr>
                <w:rFonts w:ascii="Times New Roman" w:cs="Times New Roman" w:eastAsia="Times New Roman" w:hAnsi="Times New Roman"/>
                <w:sz w:val="13"/>
                <w:szCs w:val="13"/>
                <w:b w:val="1"/>
                <w:bCs w:val="1"/>
                <w:color w:val="auto"/>
              </w:rPr>
              <w:t>$</w:t>
            </w: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2020 </w:t>
            </w:r>
            <w:r>
              <w:rPr>
                <w:rFonts w:ascii="Times New Roman" w:cs="Times New Roman" w:eastAsia="Times New Roman" w:hAnsi="Times New Roman"/>
                <w:sz w:val="13"/>
                <w:szCs w:val="13"/>
                <w:b w:val="1"/>
                <w:bCs w:val="1"/>
                <w:u w:val="single" w:color="auto"/>
                <w:color w:val="auto"/>
              </w:rPr>
              <w:t>A</w:t>
            </w:r>
            <w:r>
              <w:rPr>
                <w:rFonts w:ascii="Times New Roman" w:cs="Times New Roman" w:eastAsia="Times New Roman" w:hAnsi="Times New Roman"/>
                <w:sz w:val="13"/>
                <w:szCs w:val="13"/>
                <w:b w:val="1"/>
                <w:bCs w:val="1"/>
                <w:color w:val="auto"/>
              </w:rPr>
              <w:t>$</w:t>
            </w: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Judgments of reasonably possible movements</w:t>
            </w: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AUD/USD +10%</w:t>
            </w:r>
          </w:p>
        </w:tc>
        <w:tc>
          <w:tcPr>
            <w:tcW w:w="1080" w:type="dxa"/>
            <w:vAlign w:val="bottom"/>
            <w:gridSpan w:val="2"/>
          </w:tcPr>
          <w:p>
            <w:pPr>
              <w:jc w:val="right"/>
              <w:ind w:right="333"/>
              <w:spacing w:after="0"/>
              <w:rPr>
                <w:sz w:val="20"/>
                <w:szCs w:val="20"/>
                <w:color w:val="auto"/>
              </w:rPr>
            </w:pPr>
            <w:r>
              <w:rPr>
                <w:rFonts w:ascii="Times New Roman" w:cs="Times New Roman" w:eastAsia="Times New Roman" w:hAnsi="Times New Roman"/>
                <w:sz w:val="18"/>
                <w:szCs w:val="18"/>
                <w:color w:val="auto"/>
              </w:rPr>
              <w:t>285,185</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319,284</w:t>
            </w:r>
          </w:p>
        </w:tc>
        <w:tc>
          <w:tcPr>
            <w:tcW w:w="40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AUD/USD –10%</w:t>
            </w:r>
          </w:p>
        </w:tc>
        <w:tc>
          <w:tcPr>
            <w:tcW w:w="108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(348,560)</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(390,235)</w:t>
            </w: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was minimal or insignificant exposure to the GBP, EUR and CAD during the years ended June 30, 2019 and 2020.</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assumptions used in the foreign currency exposure sensitivity analysis include:</w:t>
      </w:r>
    </w:p>
    <w:p>
      <w:pPr>
        <w:spacing w:after="0" w:line="77"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The reasonably possible movement of 10% was calculated by taking the currency spot rates as at balance date, moving these up and down by 10% and then re-converting the currencies into AUD with the new spot rate. This methodology reflects the translation methodology undertaken by the Group.</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net exposure at balance date is representative of what the Group was and is expecting to be exposed to in the next 12 months from the balance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145" w:lineRule="exact"/>
        <w:rPr>
          <w:sz w:val="20"/>
          <w:szCs w:val="20"/>
          <w:color w:val="auto"/>
        </w:rPr>
      </w:pPr>
    </w:p>
    <w:p>
      <w:pPr>
        <w:ind w:left="340" w:right="1480" w:firstLine="220"/>
        <w:spacing w:after="0" w:line="375" w:lineRule="auto"/>
        <w:rPr>
          <w:sz w:val="20"/>
          <w:szCs w:val="20"/>
          <w:color w:val="auto"/>
        </w:rPr>
      </w:pPr>
      <w:r>
        <w:rPr>
          <w:rFonts w:ascii="Times New Roman" w:cs="Times New Roman" w:eastAsia="Times New Roman" w:hAnsi="Times New Roman"/>
          <w:sz w:val="18"/>
          <w:szCs w:val="18"/>
          <w:color w:val="auto"/>
        </w:rPr>
        <w:t xml:space="preserve">Management believes the balance date risk exposures are representative of the risk exposure inherent in the financial instruments. </w:t>
      </w:r>
      <w:r>
        <w:rPr>
          <w:rFonts w:ascii="Times New Roman" w:cs="Times New Roman" w:eastAsia="Times New Roman" w:hAnsi="Times New Roman"/>
          <w:sz w:val="18"/>
          <w:szCs w:val="18"/>
          <w:i w:val="1"/>
          <w:iCs w:val="1"/>
          <w:color w:val="auto"/>
        </w:rPr>
        <w:t>(iv) Credit risk</w:t>
      </w:r>
    </w:p>
    <w:p>
      <w:pPr>
        <w:spacing w:after="0" w:line="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Credit risk is associated with those financial assets of the Group which comprise cash and cash equivalents, receivables and listed investments. The Group’s exposure to credit risk arises from default of the counterparty, with a maximum exposure equal to the carrying amount of these investments. Credit risk is considered minimal as the Group transacts with reputable recognized Australian banks.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 Liquidity risk</w:t>
      </w:r>
    </w:p>
    <w:p>
      <w:pPr>
        <w:spacing w:after="0" w:line="79" w:lineRule="exact"/>
        <w:rPr>
          <w:sz w:val="20"/>
          <w:szCs w:val="20"/>
          <w:color w:val="auto"/>
        </w:rPr>
      </w:pPr>
    </w:p>
    <w:p>
      <w:pPr>
        <w:ind w:left="120" w:right="260" w:firstLine="440"/>
        <w:spacing w:after="0" w:line="301" w:lineRule="auto"/>
        <w:rPr>
          <w:sz w:val="20"/>
          <w:szCs w:val="20"/>
          <w:color w:val="auto"/>
        </w:rPr>
      </w:pPr>
      <w:r>
        <w:rPr>
          <w:rFonts w:ascii="Times New Roman" w:cs="Times New Roman" w:eastAsia="Times New Roman" w:hAnsi="Times New Roman"/>
          <w:sz w:val="16"/>
          <w:szCs w:val="16"/>
          <w:color w:val="auto"/>
        </w:rPr>
        <w:t>Liquidity risk arises from the financial liabilities of the Group and the Group’s subsequent ability to meet their obligations to repay their financial liabilities as and when they fall due. The Group has minimal liquidity risk because of the high balances of cash and cash equivalents; however, the Group manages liquidity risk by maintaining reserves and by monitoring forecast and actual cash flows and by matching the maturity profiles of financial assets and liabilities. The financial liabilities of the Group relate to trade payables that are all expected to be paid within 12 months.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Group’s objective is to maintain an appropriate cash asset balance to fund its operations.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(vi) Fair value</w:t>
      </w:r>
    </w:p>
    <w:p>
      <w:pPr>
        <w:spacing w:after="0" w:line="79"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color w:val="auto"/>
        </w:rPr>
        <w:t>The Group has investments in listed equities which are calculated using the quoted prices in an active market and are considered level 1 fair value measurements. The Group does not have any derivative investments where the fair value is estimated using inputs other than quoted prices that are observable for the asset or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right="580"/>
        <w:spacing w:after="0" w:line="275" w:lineRule="auto"/>
        <w:rPr>
          <w:sz w:val="20"/>
          <w:szCs w:val="20"/>
          <w:color w:val="auto"/>
        </w:rPr>
      </w:pPr>
      <w:r>
        <w:rPr>
          <w:rFonts w:ascii="Times New Roman" w:cs="Times New Roman" w:eastAsia="Times New Roman" w:hAnsi="Times New Roman"/>
          <w:sz w:val="18"/>
          <w:szCs w:val="18"/>
          <w:color w:val="auto"/>
        </w:rPr>
        <w:t>liability, either directly (as prices) or indirectly (i.e. derived from prices). The Group also does not hold any financial instruments where fair value measurement uses observable inputs that require significant adjustments based on observable inputs to estimate its value.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Details of the fair value of the investment in financial assets are disclosed in note 15 of the financial statements.</w:t>
      </w:r>
    </w:p>
    <w:p>
      <w:pPr>
        <w:spacing w:after="0" w:line="158"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in the consolidated statement of financial position at June 30, 2019 and 2020 is the same as their carrying amounts.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methods for estimating fair value are also outlined in the relevant notes to the financial statements.</w:t>
      </w:r>
    </w:p>
    <w:p>
      <w:pPr>
        <w:spacing w:after="0" w:line="156" w:lineRule="exact"/>
        <w:rPr>
          <w:sz w:val="20"/>
          <w:szCs w:val="20"/>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w:t>
      </w:r>
    </w:p>
    <w:p>
      <w:pPr>
        <w:spacing w:after="0" w:line="78"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financial statements of Opthea Limited and the subsidiary in the following table:</w:t>
      </w:r>
    </w:p>
    <w:p>
      <w:pPr>
        <w:spacing w:after="0" w:line="155"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3"/>
          <w:szCs w:val="13"/>
          <w:b w:val="1"/>
          <w:bCs w:val="1"/>
          <w:color w:val="auto"/>
        </w:rPr>
        <w:t>Company %</w:t>
      </w:r>
    </w:p>
    <w:p>
      <w:pPr>
        <w:spacing w:after="0" w:line="16"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3"/>
          <w:szCs w:val="13"/>
          <w:b w:val="1"/>
          <w:bCs w:val="1"/>
          <w:color w:val="auto"/>
        </w:rPr>
        <w:t>equity</w:t>
      </w:r>
    </w:p>
    <w:p>
      <w:pPr>
        <w:jc w:val="center"/>
        <w:ind w:left="6560"/>
        <w:spacing w:after="0" w:line="236" w:lineRule="auto"/>
        <w:rPr>
          <w:sz w:val="20"/>
          <w:szCs w:val="20"/>
          <w:color w:val="auto"/>
        </w:rPr>
      </w:pPr>
      <w:r>
        <w:rPr>
          <w:rFonts w:ascii="Times New Roman" w:cs="Times New Roman" w:eastAsia="Times New Roman" w:hAnsi="Times New Roman"/>
          <w:sz w:val="13"/>
          <w:szCs w:val="13"/>
          <w:b w:val="1"/>
          <w:bCs w:val="1"/>
          <w:color w:val="auto"/>
        </w:rPr>
        <w:t>interest</w:t>
      </w:r>
    </w:p>
    <w:p>
      <w:pPr>
        <w:spacing w:after="0" w:line="20" w:lineRule="exact"/>
        <w:rPr>
          <w:sz w:val="20"/>
          <w:szCs w:val="20"/>
          <w:color w:val="auto"/>
        </w:rPr>
      </w:pPr>
    </w:p>
    <w:tbl>
      <w:tblPr>
        <w:tblLayout w:type="fixed"/>
        <w:tblInd w:w="1440" w:type="dxa"/>
        <w:tblCellMar>
          <w:top w:w="0" w:type="dxa"/>
          <w:left w:w="0" w:type="dxa"/>
          <w:bottom w:w="0" w:type="dxa"/>
          <w:right w:w="0" w:type="dxa"/>
        </w:tblCellMar>
      </w:tblPr>
      <w:tr>
        <w:trPr>
          <w:trHeight w:val="20"/>
        </w:trPr>
        <w:tc>
          <w:tcPr>
            <w:tcW w:w="6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Name of company</w:t>
            </w: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60" w:type="dxa"/>
            <w:vAlign w:val="bottom"/>
            <w:vMerge w:val="continue"/>
            <w:shd w:val="clear" w:color="auto" w:fill="CCEEFF"/>
          </w:tcPr>
          <w:p>
            <w:pPr>
              <w:spacing w:after="0"/>
              <w:rPr>
                <w:sz w:val="16"/>
                <w:szCs w:val="16"/>
                <w:color w:val="auto"/>
              </w:rPr>
            </w:pPr>
          </w:p>
        </w:tc>
        <w:tc>
          <w:tcPr>
            <w:tcW w:w="800" w:type="dxa"/>
            <w:vAlign w:val="bottom"/>
            <w:shd w:val="clear" w:color="auto" w:fill="CCEEFF"/>
          </w:tcPr>
          <w:p>
            <w:pPr>
              <w:jc w:val="right"/>
              <w:ind w:right="152"/>
              <w:spacing w:after="0" w:line="189" w:lineRule="exact"/>
              <w:rPr>
                <w:sz w:val="20"/>
                <w:szCs w:val="20"/>
                <w:color w:val="auto"/>
              </w:rPr>
            </w:pPr>
            <w:r>
              <w:rPr>
                <w:rFonts w:ascii="Times New Roman" w:cs="Times New Roman" w:eastAsia="Times New Roman" w:hAnsi="Times New Roman"/>
                <w:sz w:val="18"/>
                <w:szCs w:val="18"/>
                <w:color w:val="auto"/>
              </w:rPr>
              <w:t>2019%</w:t>
            </w:r>
          </w:p>
        </w:tc>
        <w:tc>
          <w:tcPr>
            <w:tcW w:w="80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Vegenics Pty Ltd (1)</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7715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Limited is the ultimate parent entity. Vegenics Pty Ltd. is incorporated in Australia and has the same financial year as Opthea Limited.</w:t>
      </w:r>
    </w:p>
    <w:p>
      <w:pPr>
        <w:spacing w:after="0" w:line="158"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Balances and transactions between the Company and its subsidiary, which is a related party of the Company, have been eliminated on consolidation and are not disclosed in this note.</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0940"/>
          </w:cols>
          <w:pgMar w:left="320" w:top="455" w:right="6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w:t>
        <w:tab/>
        <w:t>Cash flow statement reconciliation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Reconciliation to cash at the end of the year</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June 30, 2020</w:t>
            </w:r>
          </w:p>
        </w:tc>
      </w:tr>
      <w:tr>
        <w:trPr>
          <w:trHeight w:val="165"/>
        </w:trPr>
        <w:tc>
          <w:tcPr>
            <w:tcW w:w="848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A$</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 and in hand (note 13)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21,534,919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62,020,382</w:t>
            </w:r>
          </w:p>
        </w:tc>
        <w:tc>
          <w:tcPr>
            <w:tcW w:w="140" w:type="dxa"/>
            <w:vAlign w:val="bottom"/>
            <w:tcBorders>
              <w:top w:val="single" w:sz="8" w:color="CCEEFF"/>
            </w:tcBorders>
            <w:shd w:val="clear" w:color="auto" w:fill="CCEEFF"/>
          </w:tcPr>
          <w:p>
            <w:pPr>
              <w:spacing w:after="0"/>
              <w:rPr>
                <w:sz w:val="18"/>
                <w:szCs w:val="18"/>
                <w:color w:val="auto"/>
              </w:rPr>
            </w:pPr>
          </w:p>
        </w:tc>
      </w:tr>
      <w:tr>
        <w:trPr>
          <w:trHeight w:val="222"/>
        </w:trPr>
        <w:tc>
          <w:tcPr>
            <w:tcW w:w="84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21,534,919</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62,020,382</w:t>
            </w:r>
          </w:p>
        </w:tc>
        <w:tc>
          <w:tcPr>
            <w:tcW w:w="14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Reconciliation of net loss after tax to net cash flows from operations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(20,910,061)</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recognized in profit or loss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(14,636,973)</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(8,533,123)</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non-current assets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22,267</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loss on disposal of non-current assets</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1,854</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121,754</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967,511</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1,078,481</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exchange differences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(259,092)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400,608</w:t>
            </w:r>
          </w:p>
        </w:tc>
      </w:tr>
      <w:tr>
        <w:trPr>
          <w:trHeight w:val="222"/>
        </w:trPr>
        <w:tc>
          <w:tcPr>
            <w:tcW w:w="84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(13,895,461)</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(6,908,159)</w:t>
            </w:r>
          </w:p>
        </w:tc>
        <w:tc>
          <w:tcPr>
            <w:tcW w:w="140" w:type="dxa"/>
            <w:vAlign w:val="bottom"/>
          </w:tcPr>
          <w:p>
            <w:pPr>
              <w:spacing w:after="0"/>
              <w:rPr>
                <w:sz w:val="19"/>
                <w:szCs w:val="19"/>
                <w:color w:val="auto"/>
              </w:rPr>
            </w:pPr>
          </w:p>
        </w:tc>
      </w:tr>
      <w:tr>
        <w:trPr>
          <w:trHeight w:val="217"/>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Payables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(1,427,978)</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(56,907)</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11,395</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(132,346)</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(54,029)</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117,740</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(36,202,403)</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(23,419,241)</w:t>
            </w:r>
          </w:p>
        </w:tc>
        <w:tc>
          <w:tcPr>
            <w:tcW w:w="140" w:type="dxa"/>
            <w:vAlign w:val="bottom"/>
          </w:tcPr>
          <w:p>
            <w:pPr>
              <w:spacing w:after="0"/>
              <w:rPr>
                <w:sz w:val="19"/>
                <w:szCs w:val="19"/>
                <w:color w:val="auto"/>
              </w:rPr>
            </w:pPr>
          </w:p>
        </w:tc>
      </w:tr>
      <w:tr>
        <w:trPr>
          <w:trHeight w:val="217"/>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incentive received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12,017,247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14,636,973</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by operating activities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(24,185,156)</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(8,782,268)</w:t>
            </w:r>
          </w:p>
        </w:tc>
        <w:tc>
          <w:tcPr>
            <w:tcW w:w="14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 Reconciliation of borrowings arising from financing activities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1</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additions(1)</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365,265</w:t>
            </w:r>
          </w:p>
        </w:tc>
      </w:tr>
      <w:tr>
        <w:trPr>
          <w:trHeight w:val="237"/>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(100,189)</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265,076</w:t>
            </w:r>
          </w:p>
        </w:tc>
        <w:tc>
          <w:tcPr>
            <w:tcW w:w="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540" w:hanging="424"/>
        <w:spacing w:after="0"/>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addition represents the new lease on the Company’s office premises in Melbourne, Australia that commenced on July 15, 2019.</w:t>
      </w:r>
    </w:p>
    <w:p>
      <w:pPr>
        <w:spacing w:after="0" w:line="156" w:lineRule="exact"/>
        <w:rPr>
          <w:sz w:val="20"/>
          <w:szCs w:val="20"/>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commitments—Group as lessee</w:t>
      </w:r>
    </w:p>
    <w:p>
      <w:pPr>
        <w:spacing w:after="0" w:line="81" w:lineRule="exact"/>
        <w:rPr>
          <w:sz w:val="20"/>
          <w:szCs w:val="20"/>
          <w:color w:val="auto"/>
        </w:rPr>
      </w:pPr>
    </w:p>
    <w:p>
      <w:pPr>
        <w:ind w:left="120" w:right="580" w:firstLine="440"/>
        <w:spacing w:after="0" w:line="275" w:lineRule="auto"/>
        <w:rPr>
          <w:sz w:val="20"/>
          <w:szCs w:val="20"/>
          <w:color w:val="auto"/>
        </w:rPr>
      </w:pPr>
      <w:r>
        <w:rPr>
          <w:rFonts w:ascii="Times New Roman" w:cs="Times New Roman" w:eastAsia="Times New Roman" w:hAnsi="Times New Roman"/>
          <w:sz w:val="18"/>
          <w:szCs w:val="18"/>
          <w:color w:val="auto"/>
        </w:rPr>
        <w:t>Lease commitments are in respect of low value leases which have not been recognized in the Statement of Financial Position. These leases are expensed on a straight-line basis over the term of the lease.</w:t>
      </w:r>
    </w:p>
    <w:p>
      <w:pPr>
        <w:spacing w:after="0" w:line="103"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00" w:type="dxa"/>
            <w:vAlign w:val="bottom"/>
          </w:tcPr>
          <w:p>
            <w:pPr>
              <w:spacing w:after="0"/>
              <w:rPr>
                <w:sz w:val="12"/>
                <w:szCs w:val="12"/>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8"/>
        </w:trPr>
        <w:tc>
          <w:tcPr>
            <w:tcW w:w="3520" w:type="dxa"/>
            <w:vAlign w:val="bottom"/>
          </w:tcPr>
          <w:p>
            <w:pPr>
              <w:spacing w:after="0"/>
              <w:rPr>
                <w:sz w:val="12"/>
                <w:szCs w:val="12"/>
                <w:color w:val="auto"/>
              </w:rPr>
            </w:pPr>
          </w:p>
        </w:tc>
        <w:tc>
          <w:tcPr>
            <w:tcW w:w="3320" w:type="dxa"/>
            <w:vAlign w:val="bottom"/>
            <w:gridSpan w:val="2"/>
          </w:tcPr>
          <w:p>
            <w:pPr>
              <w:jc w:val="center"/>
              <w:ind w:left="268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80" w:type="dxa"/>
            <w:vAlign w:val="bottom"/>
            <w:gridSpan w:val="2"/>
          </w:tcPr>
          <w:p>
            <w:pPr>
              <w:jc w:val="center"/>
              <w:ind w:left="813"/>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Pr>
          <w:p>
            <w:pPr>
              <w:spacing w:after="0"/>
              <w:rPr>
                <w:sz w:val="12"/>
                <w:szCs w:val="12"/>
                <w:color w:val="auto"/>
              </w:rPr>
            </w:pPr>
          </w:p>
        </w:tc>
      </w:tr>
      <w:tr>
        <w:trPr>
          <w:trHeight w:val="165"/>
        </w:trPr>
        <w:tc>
          <w:tcPr>
            <w:tcW w:w="3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90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7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9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but not more than five years</w:t>
            </w:r>
          </w:p>
        </w:tc>
        <w:tc>
          <w:tcPr>
            <w:tcW w:w="27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40" w:type="dxa"/>
            <w:vAlign w:val="bottom"/>
          </w:tcPr>
          <w:p>
            <w:pPr>
              <w:spacing w:after="0"/>
              <w:rPr>
                <w:sz w:val="19"/>
                <w:szCs w:val="19"/>
                <w:color w:val="auto"/>
              </w:rPr>
            </w:pPr>
          </w:p>
        </w:tc>
      </w:tr>
      <w:tr>
        <w:trPr>
          <w:trHeight w:val="216"/>
        </w:trPr>
        <w:tc>
          <w:tcPr>
            <w:tcW w:w="35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9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23,435</w:t>
            </w:r>
          </w:p>
        </w:tc>
        <w:tc>
          <w:tcPr>
            <w:tcW w:w="40" w:type="dxa"/>
            <w:vAlign w:val="bottom"/>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3520" w:type="dxa"/>
            <w:vAlign w:val="bottom"/>
          </w:tcPr>
          <w:p>
            <w:pPr>
              <w:spacing w:after="0"/>
              <w:rPr>
                <w:sz w:val="24"/>
                <w:szCs w:val="24"/>
                <w:color w:val="auto"/>
              </w:rPr>
            </w:pPr>
          </w:p>
        </w:tc>
        <w:tc>
          <w:tcPr>
            <w:tcW w:w="3320" w:type="dxa"/>
            <w:vAlign w:val="bottom"/>
            <w:gridSpan w:val="2"/>
          </w:tcPr>
          <w:p>
            <w:pPr>
              <w:jc w:val="right"/>
              <w:ind w:right="2420"/>
              <w:spacing w:after="0"/>
              <w:rPr>
                <w:sz w:val="20"/>
                <w:szCs w:val="20"/>
                <w:color w:val="auto"/>
              </w:rPr>
            </w:pPr>
            <w:r>
              <w:rPr>
                <w:rFonts w:ascii="Times New Roman" w:cs="Times New Roman" w:eastAsia="Times New Roman" w:hAnsi="Times New Roman"/>
                <w:sz w:val="18"/>
                <w:szCs w:val="18"/>
                <w:color w:val="auto"/>
              </w:rPr>
              <w:t>F-34</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right="960" w:firstLine="728"/>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FOR THE YEARS ENDED JUNE 30, 2019 AND 2020 </w:t>
      </w:r>
      <w:r>
        <w:rPr>
          <w:rFonts w:ascii="Times New Roman" w:cs="Times New Roman" w:eastAsia="Times New Roman" w:hAnsi="Times New Roman"/>
          <w:sz w:val="18"/>
          <w:szCs w:val="18"/>
          <w:b w:val="1"/>
          <w:bCs w:val="1"/>
          <w:i w:val="1"/>
          <w:iCs w:val="1"/>
          <w:color w:val="auto"/>
        </w:rPr>
        <w:t>Research projects and license commitments</w:t>
      </w:r>
    </w:p>
    <w:p>
      <w:pPr>
        <w:spacing w:after="0" w:line="1"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The Group has entered into R&amp;D contracts and intellectual property license agreements with various third parties in respect of services for the Phase 2a DME clinical trial and the clinical grade manufacture of OPT-302. Expenditure commitments relating to these and intellectual property license agreements are payable as follows: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6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280" w:type="dxa"/>
            <w:vAlign w:val="bottom"/>
          </w:tcPr>
          <w:p>
            <w:pPr>
              <w:spacing w:after="0"/>
              <w:rPr>
                <w:sz w:val="12"/>
                <w:szCs w:val="12"/>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 2020</w:t>
            </w:r>
          </w:p>
        </w:tc>
      </w:tr>
      <w:tr>
        <w:trPr>
          <w:trHeight w:val="165"/>
        </w:trPr>
        <w:tc>
          <w:tcPr>
            <w:tcW w:w="8680" w:type="dxa"/>
            <w:vAlign w:val="bottom"/>
          </w:tcPr>
          <w:p>
            <w:pPr>
              <w:spacing w:after="0"/>
              <w:rPr>
                <w:sz w:val="14"/>
                <w:szCs w:val="14"/>
                <w:color w:val="auto"/>
              </w:rPr>
            </w:pPr>
          </w:p>
        </w:tc>
        <w:tc>
          <w:tcPr>
            <w:tcW w:w="960" w:type="dxa"/>
            <w:vAlign w:val="bottom"/>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A$</w:t>
            </w:r>
          </w:p>
        </w:tc>
        <w:tc>
          <w:tcPr>
            <w:tcW w:w="28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7,776,947</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11,139,196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but not more than five years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427,248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more than five years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109,061</w:t>
            </w:r>
          </w:p>
        </w:tc>
        <w:tc>
          <w:tcPr>
            <w:tcW w:w="80" w:type="dxa"/>
            <w:vAlign w:val="bottom"/>
            <w:shd w:val="clear" w:color="auto" w:fill="CCEEFF"/>
          </w:tcPr>
          <w:p>
            <w:pPr>
              <w:spacing w:after="0"/>
              <w:rPr>
                <w:sz w:val="18"/>
                <w:szCs w:val="18"/>
                <w:color w:val="auto"/>
              </w:rPr>
            </w:pPr>
          </w:p>
        </w:tc>
      </w:tr>
      <w:tr>
        <w:trPr>
          <w:trHeight w:val="222"/>
        </w:trPr>
        <w:tc>
          <w:tcPr>
            <w:tcW w:w="86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7,990,562</w:t>
            </w: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11,675,505</w:t>
            </w: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p>
      <w:pPr>
        <w:ind w:left="540" w:hanging="424"/>
        <w:spacing w:after="0"/>
        <w:tabs>
          <w:tab w:leader="none" w:pos="5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7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Group is party to research license/collaboration agreements with three third parties with respect to which a commitment to pay is contingent on the achievement of research milestones. Assuming all milestones are achieved within the timeframes stipulated in the contracts, those which could become payable in less than one year total A$382,790 (2019: nil) and those which could become payable in more than one year total A$16,749,885 (2019: A$16,728,122).</w:t>
      </w:r>
    </w:p>
    <w:p>
      <w:pPr>
        <w:spacing w:after="0" w:line="122"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Under these license/collaboration agreements, payments are to be made only if certain research and clinical development milestones are achieved and royalties may become payable on any eventual sales of products developed under these agreements.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had a bank guarantee outstanding at June 30, 2020 in respect of a rental deposit for its office premises of A$57,281 (2019: A$43,841).</w:t>
      </w:r>
    </w:p>
    <w:p>
      <w:pPr>
        <w:spacing w:after="0" w:line="156" w:lineRule="exact"/>
        <w:rPr>
          <w:sz w:val="20"/>
          <w:szCs w:val="20"/>
          <w:color w:val="auto"/>
        </w:rPr>
      </w:pPr>
    </w:p>
    <w:p>
      <w:pPr>
        <w:ind w:left="540" w:hanging="424"/>
        <w:spacing w:after="0"/>
        <w:tabs>
          <w:tab w:leader="none" w:pos="54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Key management personnel</w:t>
      </w:r>
    </w:p>
    <w:p>
      <w:pPr>
        <w:spacing w:after="0" w:line="74" w:lineRule="exact"/>
        <w:rPr>
          <w:rFonts w:ascii="Times New Roman" w:cs="Times New Roman" w:eastAsia="Times New Roman" w:hAnsi="Times New Roman"/>
          <w:sz w:val="18"/>
          <w:szCs w:val="18"/>
          <w:b w:val="1"/>
          <w:bCs w:val="1"/>
          <w:color w:val="auto"/>
        </w:rPr>
      </w:pPr>
    </w:p>
    <w:p>
      <w:pPr>
        <w:ind w:left="580" w:hanging="244"/>
        <w:spacing w:after="0"/>
        <w:tabs>
          <w:tab w:leader="none" w:pos="580" w:val="left"/>
        </w:tabs>
        <w:numPr>
          <w:ilvl w:val="1"/>
          <w:numId w:val="1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Compensation of Key Management Personnel</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59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460" w:type="dxa"/>
            <w:vAlign w:val="bottom"/>
          </w:tcPr>
          <w:p>
            <w:pPr>
              <w:spacing w:after="0"/>
              <w:rPr>
                <w:sz w:val="12"/>
                <w:szCs w:val="12"/>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June 30, 2020</w:t>
            </w:r>
          </w:p>
        </w:tc>
      </w:tr>
      <w:tr>
        <w:trPr>
          <w:trHeight w:val="165"/>
        </w:trPr>
        <w:tc>
          <w:tcPr>
            <w:tcW w:w="5940" w:type="dxa"/>
            <w:vAlign w:val="bottom"/>
          </w:tcPr>
          <w:p>
            <w:pPr>
              <w:spacing w:after="0"/>
              <w:rPr>
                <w:sz w:val="14"/>
                <w:szCs w:val="14"/>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A$</w:t>
            </w:r>
          </w:p>
        </w:tc>
        <w:tc>
          <w:tcPr>
            <w:tcW w:w="4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1,002,359</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96,089</w:t>
            </w: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619,325</w:t>
            </w:r>
          </w:p>
        </w:tc>
        <w:tc>
          <w:tcPr>
            <w:tcW w:w="60" w:type="dxa"/>
            <w:vAlign w:val="bottom"/>
            <w:shd w:val="clear" w:color="auto" w:fill="CCEEFF"/>
          </w:tcPr>
          <w:p>
            <w:pPr>
              <w:spacing w:after="0"/>
              <w:rPr>
                <w:sz w:val="18"/>
                <w:szCs w:val="18"/>
                <w:color w:val="auto"/>
              </w:rPr>
            </w:pPr>
          </w:p>
        </w:tc>
      </w:tr>
      <w:tr>
        <w:trPr>
          <w:trHeight w:val="22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compensation</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1,849,890</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1,726,874</w:t>
            </w:r>
          </w:p>
        </w:tc>
        <w:tc>
          <w:tcPr>
            <w:tcW w:w="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Other transactions and balances with director and key management personnel and their related parties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other director and key management personnel related party transactions during the years ended June 30, 2019 and 2020.</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w:t>
        <w:tab/>
        <w:t>Share-based payments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Recognized share-based payment expenses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 recognized for share-based payments during the year is shown in the table below:</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66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480" w:type="dxa"/>
            <w:vAlign w:val="bottom"/>
          </w:tcPr>
          <w:p>
            <w:pPr>
              <w:spacing w:after="0"/>
              <w:rPr>
                <w:sz w:val="12"/>
                <w:szCs w:val="12"/>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June 30, 2020</w:t>
            </w:r>
          </w:p>
        </w:tc>
      </w:tr>
      <w:tr>
        <w:trPr>
          <w:trHeight w:val="165"/>
        </w:trPr>
        <w:tc>
          <w:tcPr>
            <w:tcW w:w="66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48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Expense arising from equity-settled share-based payment transactions:</w:t>
            </w:r>
          </w:p>
        </w:tc>
        <w:tc>
          <w:tcPr>
            <w:tcW w:w="8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employee services received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967,511</w:t>
            </w:r>
          </w:p>
        </w:tc>
        <w:tc>
          <w:tcPr>
            <w:tcW w:w="4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1,078,481</w:t>
            </w:r>
          </w:p>
        </w:tc>
        <w:tc>
          <w:tcPr>
            <w:tcW w:w="60" w:type="dxa"/>
            <w:vAlign w:val="bottom"/>
          </w:tcPr>
          <w:p>
            <w:pPr>
              <w:spacing w:after="0"/>
              <w:rPr>
                <w:sz w:val="18"/>
                <w:szCs w:val="18"/>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 and employee share option plans</w:t>
      </w:r>
    </w:p>
    <w:p>
      <w:pPr>
        <w:spacing w:after="0" w:line="8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During the 2015 financial year, the Group introduced an ownership-based compensation scheme for non-executive directors, executives and senior employees, the Long Term Incentive Plan (LTIP) and Non-Executive Directors Share and Option Plan (NED Plan). In accordance with the terms of the plans, as approved by shareholders at the 2014 annual general meeting, eligible non-executive directors, executives and senior employees with the Group may be granted options to purchase ordinary shares.</w:t>
      </w:r>
    </w:p>
    <w:p>
      <w:pPr>
        <w:spacing w:after="0" w:line="122"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Each director and employee option converts into one ordinary share of Opthea on exercise. No amounts are paid or payable by the recipient on receipt of the option. The options carry neither rights to dividends nor voting rights and are not transferable. Options may be exercised at any time from the date of vesting to the date of their expiration.</w:t>
      </w:r>
    </w:p>
    <w:p>
      <w:pPr>
        <w:spacing w:after="0" w:line="119"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The number of options granted is subject to approval by the board and rewards executives and senior employees to the extent of the Group’s and the individual’s achievement judged against both qualitative and quantitative criteria as determined by the board on a case by case basis.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vesting condition of options granted under the LTIP and NED Plan is continuous service.</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Options/Rights series</w:t>
            </w: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60" w:type="dxa"/>
            <w:vAlign w:val="bottom"/>
            <w:gridSpan w:val="2"/>
            <w:vMerge w:val="continue"/>
          </w:tcPr>
          <w:p>
            <w:pPr>
              <w:spacing w:after="0"/>
              <w:rPr>
                <w:sz w:val="14"/>
                <w:szCs w:val="14"/>
                <w:color w:val="auto"/>
              </w:rPr>
            </w:pPr>
          </w:p>
        </w:tc>
        <w:tc>
          <w:tcPr>
            <w:tcW w:w="182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w:t>
            </w:r>
          </w:p>
        </w:tc>
        <w:tc>
          <w:tcPr>
            <w:tcW w:w="186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Expiry date</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Vesting date</w:t>
            </w:r>
          </w:p>
        </w:tc>
        <w:tc>
          <w:tcPr>
            <w:tcW w:w="0" w:type="dxa"/>
            <w:vAlign w:val="bottom"/>
          </w:tcPr>
          <w:p>
            <w:pPr>
              <w:spacing w:after="0"/>
              <w:rPr>
                <w:sz w:val="1"/>
                <w:szCs w:val="1"/>
                <w:color w:val="auto"/>
              </w:rPr>
            </w:pPr>
          </w:p>
        </w:tc>
      </w:tr>
      <w:tr>
        <w:trPr>
          <w:trHeight w:val="203"/>
        </w:trPr>
        <w:tc>
          <w:tcPr>
            <w:tcW w:w="1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LTIP—director</w:t>
            </w:r>
          </w:p>
        </w:tc>
        <w:tc>
          <w:tcPr>
            <w:tcW w:w="27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March 7, 2016</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0.48</w:t>
            </w:r>
          </w:p>
        </w:tc>
        <w:tc>
          <w:tcPr>
            <w:tcW w:w="1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March 7, 2021</w:t>
            </w:r>
          </w:p>
        </w:tc>
        <w:tc>
          <w:tcPr>
            <w:tcW w:w="1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June 30, 2016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LTIP—director FY2019</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November 29, 2018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0.855</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November 29, 2022</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November 29, 2019</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LTIP—employees</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March 31, 2016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0.48</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January 1, 2022</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January 1, 2017</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LTIP—employees FY2018</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August 23, 2017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January 1, 2023</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June 30, 2018</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LTIP—employees FY2019</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April 3, 2019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0.855</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April 3, 2023</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April 3, 2020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NED Plan</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March 7, 2016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0.48</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March 7, 2021</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June 30, 2016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NED Plan FY2019</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November 29, 2018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0.855</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November 29, 2022</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November 29, 2019</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 w:right="1540" w:firstLine="440"/>
        <w:spacing w:after="0" w:line="375" w:lineRule="auto"/>
        <w:rPr>
          <w:sz w:val="20"/>
          <w:szCs w:val="20"/>
          <w:color w:val="auto"/>
        </w:rPr>
      </w:pPr>
      <w:r>
        <w:rPr>
          <w:rFonts w:ascii="Times New Roman" w:cs="Times New Roman" w:eastAsia="Times New Roman" w:hAnsi="Times New Roman"/>
          <w:sz w:val="18"/>
          <w:szCs w:val="18"/>
          <w:color w:val="auto"/>
        </w:rPr>
        <w:t xml:space="preserve">There has been no modification of the terms and conditions of the above share-based payment arrangements since the grant date. </w:t>
      </w:r>
      <w:r>
        <w:rPr>
          <w:rFonts w:ascii="Times New Roman" w:cs="Times New Roman" w:eastAsia="Times New Roman" w:hAnsi="Times New Roman"/>
          <w:sz w:val="18"/>
          <w:szCs w:val="18"/>
          <w:b w:val="1"/>
          <w:bCs w:val="1"/>
          <w:color w:val="auto"/>
        </w:rPr>
        <w:t>Fair value of options granted</w:t>
      </w:r>
    </w:p>
    <w:p>
      <w:pPr>
        <w:spacing w:after="0" w:line="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binomial model has been used to determine the fair value of all options granted. Where relevant, the expected life used in the model has been adjusted based on management’s best estimate for the effects of non-transferability, exercise restrictions (including the probability of meeting market conditions attached to the option), and behavioral considerations. Expected volatility is based on the historical share price volatility over the past four or five years.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Risk free</w:t>
            </w:r>
          </w:p>
        </w:tc>
      </w:tr>
      <w:tr>
        <w:trPr>
          <w:trHeight w:val="148"/>
        </w:trPr>
        <w:tc>
          <w:tcPr>
            <w:tcW w:w="448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share price</w:t>
            </w: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per option</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volatility</w:t>
            </w: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life</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165"/>
        </w:trPr>
        <w:tc>
          <w:tcPr>
            <w:tcW w:w="448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540" w:type="dxa"/>
            <w:vAlign w:val="bottom"/>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yield %</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LTIP—director</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LTIP—director FY2019</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0.855</w:t>
            </w:r>
          </w:p>
        </w:tc>
        <w:tc>
          <w:tcPr>
            <w:tcW w:w="4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0.20</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LTIP—employees</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0.70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0.24</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LTIP—employees FY2018</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0.43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0.32</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LTIP—employees FY2019</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0.67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0.26</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NED Plan</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0.38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0.19</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NED Plan FY2019</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0.57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0.20</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r>
    </w:tbl>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Movements in options during the year</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reconciles the options outstanding at the beginning and end of the year:</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6220" w:type="dxa"/>
            <w:vAlign w:val="bottom"/>
          </w:tcPr>
          <w:p>
            <w:pPr>
              <w:spacing w:after="0"/>
              <w:rPr>
                <w:sz w:val="14"/>
                <w:szCs w:val="14"/>
                <w:color w:val="auto"/>
              </w:rPr>
            </w:pPr>
          </w:p>
        </w:tc>
        <w:tc>
          <w:tcPr>
            <w:tcW w:w="210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480" w:type="dxa"/>
            <w:vAlign w:val="bottom"/>
          </w:tcPr>
          <w:p>
            <w:pPr>
              <w:spacing w:after="0"/>
              <w:rPr>
                <w:sz w:val="14"/>
                <w:szCs w:val="14"/>
                <w:color w:val="auto"/>
              </w:rPr>
            </w:pPr>
          </w:p>
        </w:tc>
        <w:tc>
          <w:tcPr>
            <w:tcW w:w="222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June 30, 2020</w:t>
            </w:r>
          </w:p>
        </w:tc>
      </w:tr>
      <w:tr>
        <w:trPr>
          <w:trHeight w:val="125"/>
        </w:trPr>
        <w:tc>
          <w:tcPr>
            <w:tcW w:w="62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r>
      <w:tr>
        <w:trPr>
          <w:trHeight w:val="148"/>
        </w:trPr>
        <w:tc>
          <w:tcPr>
            <w:tcW w:w="6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average</w:t>
            </w:r>
          </w:p>
        </w:tc>
      </w:tr>
      <w:tr>
        <w:trPr>
          <w:trHeight w:val="148"/>
        </w:trPr>
        <w:tc>
          <w:tcPr>
            <w:tcW w:w="6220" w:type="dxa"/>
            <w:vAlign w:val="bottom"/>
          </w:tcPr>
          <w:p>
            <w:pPr>
              <w:spacing w:after="0"/>
              <w:rPr>
                <w:sz w:val="12"/>
                <w:szCs w:val="12"/>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480" w:type="dxa"/>
            <w:vAlign w:val="bottom"/>
          </w:tcPr>
          <w:p>
            <w:pPr>
              <w:spacing w:after="0"/>
              <w:rPr>
                <w:sz w:val="12"/>
                <w:szCs w:val="12"/>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exercise price</w:t>
            </w:r>
          </w:p>
        </w:tc>
      </w:tr>
      <w:tr>
        <w:trPr>
          <w:trHeight w:val="165"/>
        </w:trPr>
        <w:tc>
          <w:tcPr>
            <w:tcW w:w="622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48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10,075,000</w:t>
            </w:r>
          </w:p>
        </w:tc>
        <w:tc>
          <w:tcPr>
            <w:tcW w:w="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18,919,000</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employees and directors under the LTIP and NED Plan</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8,844,000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0.855</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(875,000)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0.48</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during the year</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18,919,000</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18,044,000</w:t>
            </w:r>
          </w:p>
        </w:tc>
        <w:tc>
          <w:tcPr>
            <w:tcW w:w="5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6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9,905,000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18,044,000</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0.68</w:t>
            </w:r>
          </w:p>
        </w:tc>
      </w:tr>
      <w:tr>
        <w:trPr>
          <w:trHeight w:val="20"/>
        </w:trPr>
        <w:tc>
          <w:tcPr>
            <w:tcW w:w="6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options outstanding at June 30, 2020 had a weighted average exercise price of A$0.68 (2019: A$0.67) and a weighted average remaining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contractual life of 626 days (2019: 716 days).</w:t>
      </w:r>
    </w:p>
    <w:p>
      <w:pPr>
        <w:spacing w:after="0" w:line="143" w:lineRule="exact"/>
        <w:rPr>
          <w:sz w:val="20"/>
          <w:szCs w:val="20"/>
          <w:color w:val="auto"/>
        </w:rPr>
      </w:pPr>
    </w:p>
    <w:p>
      <w:pPr>
        <w:ind w:left="540" w:hanging="424"/>
        <w:spacing w:after="0"/>
        <w:tabs>
          <w:tab w:leader="none" w:pos="54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after the balance sheet date</w:t>
      </w:r>
    </w:p>
    <w:p>
      <w:pPr>
        <w:spacing w:after="0" w:line="7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August 21, 2020, the Company announced it had completed End-of-Phase 2 meetings with the U.S. Food and Drug Administration and a Scientific Advice meeting with the European Medicines Agency to obtain guidance on the Company’s Phase 3 clinical development plans. The outcome of the meetings support the progression of OPT-302 into Phase 3 and pre-commercial development. No other matters or circumstances have arisen since the end of the reporting period which significantly affected, or may significantly affect, the operations of the Group, the results of those operations, or the state of affairs of the Group in future financial years.</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396875</wp:posOffset>
            </wp:positionV>
            <wp:extent cx="2743200" cy="6172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432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9,300,000 American Depositary Shares</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Representing 74,400,000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165100</wp:posOffset>
            </wp:positionV>
            <wp:extent cx="7715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8160" w:type="dxa"/>
            <w:vAlign w:val="bottom"/>
            <w:gridSpan w:val="3"/>
          </w:tcPr>
          <w:p>
            <w:pPr>
              <w:jc w:val="center"/>
              <w:ind w:right="2691"/>
              <w:spacing w:after="0"/>
              <w:rPr>
                <w:sz w:val="20"/>
                <w:szCs w:val="20"/>
                <w:color w:val="auto"/>
              </w:rPr>
            </w:pPr>
            <w:r>
              <w:rPr>
                <w:rFonts w:ascii="Times New Roman" w:cs="Times New Roman" w:eastAsia="Times New Roman" w:hAnsi="Times New Roman"/>
                <w:sz w:val="18"/>
                <w:szCs w:val="18"/>
                <w:b w:val="1"/>
                <w:bCs w:val="1"/>
                <w:color w:val="auto"/>
                <w:w w:val="97"/>
              </w:rPr>
              <w:t>PRELIMINARY PROSPECTUS</w:t>
            </w:r>
          </w:p>
        </w:tc>
      </w:tr>
      <w:tr>
        <w:trPr>
          <w:trHeight w:val="364"/>
        </w:trPr>
        <w:tc>
          <w:tcPr>
            <w:tcW w:w="2860" w:type="dxa"/>
            <w:vAlign w:val="bottom"/>
          </w:tcPr>
          <w:p>
            <w:pPr>
              <w:spacing w:after="0"/>
              <w:rPr>
                <w:sz w:val="24"/>
                <w:szCs w:val="24"/>
                <w:color w:val="auto"/>
              </w:rPr>
            </w:pPr>
          </w:p>
        </w:tc>
        <w:tc>
          <w:tcPr>
            <w:tcW w:w="8160" w:type="dxa"/>
            <w:vAlign w:val="bottom"/>
            <w:gridSpan w:val="3"/>
          </w:tcPr>
          <w:p>
            <w:pPr>
              <w:jc w:val="right"/>
              <w:ind w:right="4671"/>
              <w:spacing w:after="0"/>
              <w:rPr>
                <w:sz w:val="20"/>
                <w:szCs w:val="20"/>
                <w:color w:val="auto"/>
              </w:rPr>
            </w:pPr>
            <w:r>
              <w:rPr>
                <w:rFonts w:ascii="Times New Roman" w:cs="Times New Roman" w:eastAsia="Times New Roman" w:hAnsi="Times New Roman"/>
                <w:sz w:val="18"/>
                <w:szCs w:val="18"/>
                <w:b w:val="1"/>
                <w:bCs w:val="1"/>
                <w:color w:val="auto"/>
              </w:rPr>
              <w:t>, 2020</w:t>
            </w:r>
          </w:p>
        </w:tc>
      </w:tr>
      <w:tr>
        <w:trPr>
          <w:trHeight w:val="232"/>
        </w:trPr>
        <w:tc>
          <w:tcPr>
            <w:tcW w:w="2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900" w:type="dxa"/>
            <w:vAlign w:val="bottom"/>
          </w:tcPr>
          <w:p>
            <w:pPr>
              <w:spacing w:after="0"/>
              <w:rPr>
                <w:sz w:val="20"/>
                <w:szCs w:val="20"/>
                <w:color w:val="auto"/>
              </w:rPr>
            </w:pPr>
          </w:p>
        </w:tc>
      </w:tr>
      <w:tr>
        <w:trPr>
          <w:trHeight w:val="383"/>
        </w:trPr>
        <w:tc>
          <w:tcPr>
            <w:tcW w:w="2860" w:type="dxa"/>
            <w:vAlign w:val="bottom"/>
          </w:tcPr>
          <w:p>
            <w:pPr>
              <w:spacing w:after="0"/>
              <w:rPr>
                <w:sz w:val="24"/>
                <w:szCs w:val="24"/>
                <w:color w:val="auto"/>
              </w:rPr>
            </w:pPr>
          </w:p>
        </w:tc>
        <w:tc>
          <w:tcPr>
            <w:tcW w:w="8160" w:type="dxa"/>
            <w:vAlign w:val="bottom"/>
            <w:gridSpan w:val="3"/>
          </w:tcPr>
          <w:p>
            <w:pPr>
              <w:jc w:val="center"/>
              <w:ind w:right="2691"/>
              <w:spacing w:after="0"/>
              <w:rPr>
                <w:sz w:val="20"/>
                <w:szCs w:val="20"/>
                <w:color w:val="auto"/>
              </w:rPr>
            </w:pPr>
            <w:r>
              <w:rPr>
                <w:rFonts w:ascii="Times New Roman" w:cs="Times New Roman" w:eastAsia="Times New Roman" w:hAnsi="Times New Roman"/>
                <w:sz w:val="18"/>
                <w:szCs w:val="18"/>
                <w:b w:val="1"/>
                <w:bCs w:val="1"/>
                <w:i w:val="1"/>
                <w:iCs w:val="1"/>
                <w:color w:val="auto"/>
                <w:w w:val="97"/>
              </w:rPr>
              <w:t>Joint Book-Running Managers</w:t>
            </w:r>
          </w:p>
        </w:tc>
      </w:tr>
      <w:tr>
        <w:trPr>
          <w:trHeight w:val="674"/>
        </w:trPr>
        <w:tc>
          <w:tcPr>
            <w:tcW w:w="2860" w:type="dxa"/>
            <w:vAlign w:val="bottom"/>
          </w:tcPr>
          <w:p>
            <w:pPr>
              <w:spacing w:after="0"/>
              <w:rPr>
                <w:sz w:val="20"/>
                <w:szCs w:val="20"/>
                <w:color w:val="auto"/>
              </w:rPr>
            </w:pPr>
            <w:r>
              <w:rPr>
                <w:rFonts w:ascii="Times New Roman" w:cs="Times New Roman" w:eastAsia="Times New Roman" w:hAnsi="Times New Roman"/>
                <w:sz w:val="43"/>
                <w:szCs w:val="43"/>
                <w:b w:val="1"/>
                <w:bCs w:val="1"/>
                <w:color w:val="auto"/>
              </w:rPr>
              <w:t>Citigroup</w:t>
            </w: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43"/>
                <w:szCs w:val="43"/>
                <w:b w:val="1"/>
                <w:bCs w:val="1"/>
                <w:color w:val="auto"/>
              </w:rPr>
              <w:t>SVB Leerink</w:t>
            </w:r>
          </w:p>
        </w:tc>
      </w:tr>
      <w:tr>
        <w:trPr>
          <w:trHeight w:val="339"/>
        </w:trPr>
        <w:tc>
          <w:tcPr>
            <w:tcW w:w="2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120" w:type="dxa"/>
            <w:vAlign w:val="bottom"/>
            <w:gridSpan w:val="2"/>
          </w:tcPr>
          <w:p>
            <w:pPr>
              <w:jc w:val="center"/>
              <w:ind w:right="4711"/>
              <w:spacing w:after="0"/>
              <w:rPr>
                <w:sz w:val="20"/>
                <w:szCs w:val="20"/>
                <w:color w:val="auto"/>
              </w:rPr>
            </w:pPr>
            <w:r>
              <w:rPr>
                <w:rFonts w:ascii="Times New Roman" w:cs="Times New Roman" w:eastAsia="Times New Roman" w:hAnsi="Times New Roman"/>
                <w:sz w:val="18"/>
                <w:szCs w:val="18"/>
                <w:b w:val="1"/>
                <w:bCs w:val="1"/>
                <w:i w:val="1"/>
                <w:iCs w:val="1"/>
                <w:color w:val="auto"/>
                <w:w w:val="97"/>
              </w:rPr>
              <w:t>Lead Managers</w:t>
            </w:r>
          </w:p>
        </w:tc>
      </w:tr>
      <w:tr>
        <w:trPr>
          <w:trHeight w:val="532"/>
        </w:trPr>
        <w:tc>
          <w:tcPr>
            <w:tcW w:w="286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Oppenheimer &amp; Co.</w:t>
            </w: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32"/>
                <w:szCs w:val="32"/>
                <w:b w:val="1"/>
                <w:bCs w:val="1"/>
                <w:color w:val="auto"/>
              </w:rPr>
              <w:t>Truist Securities</w:t>
            </w:r>
          </w:p>
        </w:tc>
      </w:tr>
      <w:tr>
        <w:trPr>
          <w:trHeight w:val="345"/>
        </w:trPr>
        <w:tc>
          <w:tcPr>
            <w:tcW w:w="28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Through and including</w:t>
            </w:r>
          </w:p>
        </w:tc>
        <w:tc>
          <w:tcPr>
            <w:tcW w:w="8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2020 (the 25th day after the date of this prospectus), all dealers effecting transactions in the ADSs, whether</w:t>
            </w:r>
          </w:p>
        </w:tc>
      </w:tr>
    </w:tbl>
    <w:p>
      <w:pPr>
        <w:ind w:left="120" w:right="440"/>
        <w:spacing w:after="0" w:line="260" w:lineRule="auto"/>
        <w:rPr>
          <w:sz w:val="20"/>
          <w:szCs w:val="20"/>
          <w:color w:val="auto"/>
        </w:rPr>
      </w:pPr>
      <w:r>
        <w:rPr>
          <w:rFonts w:ascii="Times New Roman" w:cs="Times New Roman" w:eastAsia="Times New Roman" w:hAnsi="Times New Roman"/>
          <w:sz w:val="18"/>
          <w:szCs w:val="18"/>
          <w:b w:val="1"/>
          <w:bCs w:val="1"/>
          <w:color w:val="auto"/>
        </w:rPr>
        <w:t>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162560</wp:posOffset>
            </wp:positionV>
            <wp:extent cx="6995160"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6.Indemnification of Directors and Officers.</w:t>
      </w:r>
    </w:p>
    <w:p>
      <w:pPr>
        <w:spacing w:after="0" w:line="77"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8"/>
          <w:szCs w:val="18"/>
          <w:i w:val="1"/>
          <w:iCs w:val="1"/>
          <w:color w:val="auto"/>
        </w:rPr>
        <w:t>Australian law</w:t>
      </w:r>
      <w:r>
        <w:rPr>
          <w:rFonts w:ascii="Times New Roman" w:cs="Times New Roman" w:eastAsia="Times New Roman" w:hAnsi="Times New Roman"/>
          <w:sz w:val="18"/>
          <w:szCs w:val="18"/>
          <w:color w:val="auto"/>
        </w:rPr>
        <w:t>. Australian law provides that a company or a related body corporate of the company may provide for indemnification of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except to the extent of any of the following liabilities incurred as an officer or director of the company:</w:t>
      </w:r>
    </w:p>
    <w:p>
      <w:pPr>
        <w:spacing w:after="0" w:line="24" w:lineRule="exact"/>
        <w:rPr>
          <w:sz w:val="20"/>
          <w:szCs w:val="20"/>
          <w:color w:val="auto"/>
        </w:rPr>
      </w:pPr>
    </w:p>
    <w:p>
      <w:pPr>
        <w:ind w:left="760" w:hanging="212"/>
        <w:spacing w:after="0"/>
        <w:tabs>
          <w:tab w:leader="none" w:pos="7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liability owed to the company or a related body corporate of the company;</w:t>
      </w:r>
    </w:p>
    <w:p>
      <w:pPr>
        <w:spacing w:after="0" w:line="103" w:lineRule="exact"/>
        <w:rPr>
          <w:rFonts w:ascii="Times New Roman" w:cs="Times New Roman" w:eastAsia="Times New Roman" w:hAnsi="Times New Roman"/>
          <w:sz w:val="18"/>
          <w:szCs w:val="18"/>
          <w:color w:val="auto"/>
        </w:rPr>
      </w:pPr>
    </w:p>
    <w:p>
      <w:pPr>
        <w:ind w:left="760" w:right="540" w:hanging="212"/>
        <w:spacing w:after="0" w:line="275" w:lineRule="auto"/>
        <w:tabs>
          <w:tab w:leader="none" w:pos="7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liability for a pecuniary penalty order made under section 1317G or a compensation order under section 961M, 1317H, 1317HA, 1317HB 1317HC or 1317HE of the Corporations Act;</w:t>
      </w:r>
    </w:p>
    <w:p>
      <w:pPr>
        <w:spacing w:after="0" w:line="25" w:lineRule="exact"/>
        <w:rPr>
          <w:rFonts w:ascii="Times New Roman" w:cs="Times New Roman" w:eastAsia="Times New Roman" w:hAnsi="Times New Roman"/>
          <w:sz w:val="18"/>
          <w:szCs w:val="18"/>
          <w:color w:val="auto"/>
        </w:rPr>
      </w:pPr>
    </w:p>
    <w:p>
      <w:pPr>
        <w:ind w:left="760" w:right="340" w:hanging="212"/>
        <w:spacing w:after="0" w:line="275" w:lineRule="auto"/>
        <w:tabs>
          <w:tab w:leader="none" w:pos="7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liability that is owed to someone other than the company or a related body corporate of the company and did not arise out of conduct in good faith; or</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costs incurred in defending an action for a liability incurred as an officer or auditor of the company if the costs are incurred:</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defending or resisting proceedings in which the person is found to have a liability for which they cannot be indemnified as set out above;</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defending or resisting criminal proceedings in which the person is found guilty;</w:t>
      </w:r>
    </w:p>
    <w:p>
      <w:pPr>
        <w:spacing w:after="0" w:line="103" w:lineRule="exact"/>
        <w:rPr>
          <w:rFonts w:ascii="Times New Roman" w:cs="Times New Roman" w:eastAsia="Times New Roman" w:hAnsi="Times New Roman"/>
          <w:sz w:val="18"/>
          <w:szCs w:val="18"/>
          <w:color w:val="auto"/>
        </w:rPr>
      </w:pPr>
    </w:p>
    <w:p>
      <w:pPr>
        <w:ind w:left="980" w:right="140" w:hanging="216"/>
        <w:spacing w:after="0" w:line="258" w:lineRule="auto"/>
        <w:tabs>
          <w:tab w:leader="none" w:pos="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 &amp; Investments Commission or a liquidator as part of an investigation before commencing proceedings for a court order); or</w:t>
      </w:r>
    </w:p>
    <w:p>
      <w:pPr>
        <w:spacing w:after="0" w:line="41" w:lineRule="exact"/>
        <w:rPr>
          <w:rFonts w:ascii="Times New Roman" w:cs="Times New Roman" w:eastAsia="Times New Roman" w:hAnsi="Times New Roman"/>
          <w:sz w:val="18"/>
          <w:szCs w:val="18"/>
          <w:color w:val="auto"/>
        </w:rPr>
      </w:pPr>
    </w:p>
    <w:p>
      <w:pPr>
        <w:ind w:left="980" w:right="440" w:hanging="216"/>
        <w:spacing w:after="0" w:line="275" w:lineRule="auto"/>
        <w:tabs>
          <w:tab w:leader="none" w:pos="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proceedings for relief to the person under the Corporations Act 2001 (Cth), or the Corporations Act, in which the court denies the relief.</w:t>
      </w:r>
    </w:p>
    <w:p>
      <w:pPr>
        <w:spacing w:after="0" w:line="104"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Constitution</w:t>
      </w:r>
      <w:r>
        <w:rPr>
          <w:rFonts w:ascii="Times New Roman" w:cs="Times New Roman" w:eastAsia="Times New Roman" w:hAnsi="Times New Roman"/>
          <w:sz w:val="18"/>
          <w:szCs w:val="18"/>
          <w:color w:val="auto"/>
        </w:rPr>
        <w:t>. Our Constitution provides, except to the extent prohibited by the law and the Corporations Act and, to the extent that the officer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indemnified by us pursuant to an indemnity, we indemnify every person who is or has been an officer of the company against any liability or claim (other than legal costs that are unreasonable) incurred by that person as an officer. This includes any liability or claim incurred by that person in their capacity as an officer of a subsidiary of the company where the company requested that person to accept that appointment.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Indemnification and Insurance Agreements</w:t>
      </w:r>
      <w:r>
        <w:rPr>
          <w:rFonts w:ascii="Times New Roman" w:cs="Times New Roman" w:eastAsia="Times New Roman" w:hAnsi="Times New Roman"/>
          <w:sz w:val="18"/>
          <w:szCs w:val="18"/>
          <w:color w:val="auto"/>
        </w:rPr>
        <w:t>. Pursuant to Deeds of Access, Insurance and Indemnity, the form of which is filed as an exhibit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we have agreed to indemnify our executive officers and non-employee directors against certain liabilities and expenses incurred by such persons in connection with claims made by reason of their being such a director or officer. We also maintain insurance policies that indemnify our directors and executive officers against various liabilities arising under the Securities Act of 1933, as amended, or the Securities Act, and the Securities Exchange Act of 1934, as amended, or the Exchange Act, that might be incurred by any director or officer in his or her capacity as such. The underwriters are obligated, under certain circumstances, pursuant to the underwriting agreement filed as Exhibit 1.1 hereto, to indemnify us, our officers and our directors against liabilities under the Securities Act.</w:t>
      </w:r>
    </w:p>
    <w:p>
      <w:pPr>
        <w:spacing w:after="0" w:line="127" w:lineRule="exact"/>
        <w:rPr>
          <w:sz w:val="20"/>
          <w:szCs w:val="20"/>
          <w:color w:val="auto"/>
        </w:rPr>
      </w:pPr>
    </w:p>
    <w:p>
      <w:pPr>
        <w:jc w:val="both"/>
        <w:ind w:left="120" w:right="40" w:firstLine="440"/>
        <w:spacing w:after="0" w:line="264" w:lineRule="auto"/>
        <w:rPr>
          <w:sz w:val="20"/>
          <w:szCs w:val="20"/>
          <w:color w:val="auto"/>
        </w:rPr>
      </w:pPr>
      <w:r>
        <w:rPr>
          <w:rFonts w:ascii="Times New Roman" w:cs="Times New Roman" w:eastAsia="Times New Roman" w:hAnsi="Times New Roman"/>
          <w:sz w:val="18"/>
          <w:szCs w:val="18"/>
          <w:i w:val="1"/>
          <w:iCs w:val="1"/>
          <w:color w:val="auto"/>
        </w:rPr>
        <w:t>SEC Position</w:t>
      </w:r>
      <w:r>
        <w:rPr>
          <w:rFonts w:ascii="Times New Roman" w:cs="Times New Roman" w:eastAsia="Times New Roman" w:hAnsi="Times New Roman"/>
          <w:sz w:val="18"/>
          <w:szCs w:val="18"/>
          <w:color w:val="auto"/>
        </w:rPr>
        <w:t>. Insofar as indemnification for liabilities arising under the Securities Act may be permitted to directors, officers or persons 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pursuant to the foregoing provisions, we have been informed that in the opinion of the SEC such indemnification is against public policy as expressed in the Securities Act and is therefore unenforceable.</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7.Recent Sales of Unregistered Securities.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information regarding share capital issued and options granted by us since July 1, 2017.</w:t>
      </w:r>
    </w:p>
    <w:p>
      <w:pPr>
        <w:spacing w:after="0" w:line="77" w:lineRule="exact"/>
        <w:rPr>
          <w:sz w:val="20"/>
          <w:szCs w:val="20"/>
          <w:color w:val="auto"/>
        </w:rPr>
      </w:pPr>
    </w:p>
    <w:p>
      <w:pPr>
        <w:ind w:left="760" w:hanging="212"/>
        <w:spacing w:after="0" w:line="258" w:lineRule="auto"/>
        <w:tabs>
          <w:tab w:leader="none" w:pos="7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2017 through the date of this registration statement, we granted to certain of our directors, officers and employees options to purchase 8,844,000 ordinary shares under our equity incentive plans at an exercise price per share of A$0.86 and an additional 4,000,000 ordinary shares under our non-executive director share and option plan, subject to shareholder approval at our annual general meeting for 2020, upon which time an exercise price per ordinary share will be determined;</w:t>
      </w:r>
    </w:p>
    <w:p>
      <w:pPr>
        <w:spacing w:after="0" w:line="41" w:lineRule="exact"/>
        <w:rPr>
          <w:rFonts w:ascii="Times New Roman" w:cs="Times New Roman" w:eastAsia="Times New Roman" w:hAnsi="Times New Roman"/>
          <w:sz w:val="18"/>
          <w:szCs w:val="18"/>
          <w:color w:val="auto"/>
        </w:rPr>
      </w:pPr>
    </w:p>
    <w:p>
      <w:pPr>
        <w:ind w:left="760" w:right="80" w:hanging="212"/>
        <w:spacing w:after="0" w:line="262" w:lineRule="auto"/>
        <w:tabs>
          <w:tab w:leader="none" w:pos="7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2017 through the date of this registration statement, we issued an aggregate of 48,840,469 ordinary shares upon the exercise of options previously granted in connection with capital raise transactions at a weighted-average exercise price per share of A$0.27, for an aggregate exercise price of approximately A$13.2 million;</w:t>
      </w:r>
    </w:p>
    <w:p>
      <w:pPr>
        <w:spacing w:after="0" w:line="37" w:lineRule="exact"/>
        <w:rPr>
          <w:rFonts w:ascii="Times New Roman" w:cs="Times New Roman" w:eastAsia="Times New Roman" w:hAnsi="Times New Roman"/>
          <w:sz w:val="18"/>
          <w:szCs w:val="18"/>
          <w:color w:val="auto"/>
        </w:rPr>
      </w:pPr>
    </w:p>
    <w:p>
      <w:pPr>
        <w:ind w:left="760" w:right="160" w:hanging="212"/>
        <w:spacing w:after="0" w:line="275" w:lineRule="auto"/>
        <w:tabs>
          <w:tab w:leader="none" w:pos="7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2017 through the date of this registration statement, we issued an aggregate of 875,000 ordinary shares upon the exercise of options by certain of our officers and employees at an exercise price per share of A$0.48, for an aggregate exercise price of A$420,000; and</w:t>
      </w:r>
    </w:p>
    <w:p>
      <w:pPr>
        <w:spacing w:after="0" w:line="25"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2017 through the date of this registration statement, we issued and sold an aggregate of 18,867,930 shares of common stock to certain institutional shareholders at a price per share of A$2.65, for an aggregate purchase price of approximately A$181.7 million.</w:t>
      </w:r>
    </w:p>
    <w:p>
      <w:pPr>
        <w:spacing w:after="0" w:line="10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(i) Section 4(a)(2) of the Securities Act (and Regulation D promulgated thereunder), (ii) Rule 701 promulgated under Section 3(b) of the Securities Act as transactions by an issuer not involving any public offering or under benefit plans and contracts relating to compensation as provided under Rule 701 or (iii) Regulation S promulgated under the Securities Act as transactions not made to persons in the United States with no directed selling efforts made in the United States.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8.Exhibits and Financial Statement Schedules.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4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65"/>
        </w:trPr>
        <w:tc>
          <w:tcPr>
            <w:tcW w:w="1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6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4"/>
                <w:szCs w:val="24"/>
                <w:color w:val="auto"/>
              </w:rPr>
            </w:pPr>
          </w:p>
        </w:tc>
        <w:tc>
          <w:tcPr>
            <w:tcW w:w="3200" w:type="dxa"/>
            <w:vAlign w:val="bottom"/>
            <w:tcBorders>
              <w:top w:val="single" w:sz="8" w:color="auto"/>
            </w:tcBorders>
            <w:gridSpan w:val="2"/>
          </w:tcPr>
          <w:p>
            <w:pPr>
              <w:spacing w:after="0"/>
              <w:rPr>
                <w:rFonts w:ascii="Times New Roman" w:cs="Times New Roman" w:eastAsia="Times New Roman" w:hAnsi="Times New Roman"/>
                <w:sz w:val="18"/>
                <w:szCs w:val="18"/>
                <w:u w:val="single" w:color="auto"/>
                <w:color w:val="0000EE"/>
              </w:rPr>
            </w:pPr>
            <w:hyperlink w:anchor="page257">
              <w:r>
                <w:rPr>
                  <w:rFonts w:ascii="Times New Roman" w:cs="Times New Roman" w:eastAsia="Times New Roman" w:hAnsi="Times New Roman"/>
                  <w:sz w:val="18"/>
                  <w:szCs w:val="18"/>
                  <w:u w:val="single" w:color="auto"/>
                  <w:color w:val="0000EE"/>
                </w:rPr>
                <w:t>Form of Underwriting Agreement.</w:t>
              </w:r>
            </w:hyperlink>
          </w:p>
        </w:tc>
        <w:tc>
          <w:tcPr>
            <w:tcW w:w="80" w:type="dxa"/>
            <w:vAlign w:val="bottom"/>
            <w:tcBorders>
              <w:top w:val="single" w:sz="8" w:color="auto"/>
            </w:tcBorders>
          </w:tcPr>
          <w:p>
            <w:pPr>
              <w:spacing w:after="0"/>
              <w:rPr>
                <w:sz w:val="24"/>
                <w:szCs w:val="24"/>
                <w:color w:val="auto"/>
              </w:rPr>
            </w:pPr>
          </w:p>
        </w:tc>
        <w:tc>
          <w:tcPr>
            <w:tcW w:w="6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3200" w:type="dxa"/>
            <w:vAlign w:val="bottom"/>
            <w:gridSpan w:val="2"/>
          </w:tcPr>
          <w:p>
            <w:pPr>
              <w:spacing w:after="0"/>
              <w:rPr>
                <w:rFonts w:ascii="Times New Roman" w:cs="Times New Roman" w:eastAsia="Times New Roman" w:hAnsi="Times New Roman"/>
                <w:sz w:val="18"/>
                <w:szCs w:val="18"/>
                <w:u w:val="single" w:color="auto"/>
                <w:color w:val="0000EE"/>
              </w:rPr>
            </w:pPr>
            <w:hyperlink r:id="rId355">
              <w:r>
                <w:rPr>
                  <w:rFonts w:ascii="Times New Roman" w:cs="Times New Roman" w:eastAsia="Times New Roman" w:hAnsi="Times New Roman"/>
                  <w:sz w:val="18"/>
                  <w:szCs w:val="18"/>
                  <w:u w:val="single" w:color="auto"/>
                  <w:color w:val="0000EE"/>
                </w:rPr>
                <w:t>Certificate of Registration of the Registrant.</w:t>
              </w:r>
            </w:hyperlink>
          </w:p>
        </w:tc>
        <w:tc>
          <w:tcPr>
            <w:tcW w:w="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3200" w:type="dxa"/>
            <w:vAlign w:val="bottom"/>
            <w:gridSpan w:val="2"/>
          </w:tcPr>
          <w:p>
            <w:pPr>
              <w:spacing w:after="0"/>
              <w:rPr>
                <w:rFonts w:ascii="Times New Roman" w:cs="Times New Roman" w:eastAsia="Times New Roman" w:hAnsi="Times New Roman"/>
                <w:sz w:val="18"/>
                <w:szCs w:val="18"/>
                <w:color w:val="0000EE"/>
              </w:rPr>
            </w:pPr>
            <w:hyperlink r:id="rId356">
              <w:r>
                <w:rPr>
                  <w:rFonts w:ascii="Times New Roman" w:cs="Times New Roman" w:eastAsia="Times New Roman" w:hAnsi="Times New Roman"/>
                  <w:sz w:val="18"/>
                  <w:szCs w:val="18"/>
                  <w:u w:val="single" w:color="auto"/>
                  <w:color w:val="0000EE"/>
                </w:rPr>
                <w:t>Constitution of the Registrant</w:t>
              </w:r>
              <w:r>
                <w:rPr>
                  <w:rFonts w:ascii="Times New Roman" w:cs="Times New Roman" w:eastAsia="Times New Roman" w:hAnsi="Times New Roman"/>
                  <w:sz w:val="18"/>
                  <w:szCs w:val="18"/>
                  <w:color w:val="0000EE"/>
                </w:rPr>
                <w:t>.</w:t>
              </w:r>
            </w:hyperlink>
          </w:p>
        </w:tc>
        <w:tc>
          <w:tcPr>
            <w:tcW w:w="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9920" w:type="dxa"/>
            <w:vAlign w:val="bottom"/>
            <w:gridSpan w:val="6"/>
          </w:tcPr>
          <w:p>
            <w:pPr>
              <w:spacing w:after="0"/>
              <w:rPr>
                <w:rFonts w:ascii="Times New Roman" w:cs="Times New Roman" w:eastAsia="Times New Roman" w:hAnsi="Times New Roman"/>
                <w:sz w:val="18"/>
                <w:szCs w:val="18"/>
                <w:u w:val="single" w:color="auto"/>
                <w:color w:val="0000EE"/>
              </w:rPr>
            </w:pPr>
            <w:hyperlink w:anchor="page300">
              <w:r>
                <w:rPr>
                  <w:rFonts w:ascii="Times New Roman" w:cs="Times New Roman" w:eastAsia="Times New Roman" w:hAnsi="Times New Roman"/>
                  <w:sz w:val="18"/>
                  <w:szCs w:val="18"/>
                  <w:u w:val="single" w:color="auto"/>
                  <w:color w:val="0000EE"/>
                </w:rPr>
                <w:t>Form of Amended and Restated Deposit Agreement.</w:t>
              </w:r>
            </w:hyperlink>
          </w:p>
        </w:tc>
        <w:tc>
          <w:tcPr>
            <w:tcW w:w="0" w:type="dxa"/>
            <w:vAlign w:val="bottom"/>
          </w:tcPr>
          <w:p>
            <w:pPr>
              <w:spacing w:after="0"/>
              <w:rPr>
                <w:sz w:val="1"/>
                <w:szCs w:val="1"/>
                <w:color w:val="auto"/>
              </w:rPr>
            </w:pPr>
          </w:p>
        </w:tc>
      </w:tr>
      <w:tr>
        <w:trPr>
          <w:trHeight w:val="32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9920" w:type="dxa"/>
            <w:vAlign w:val="bottom"/>
            <w:gridSpan w:val="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American Depositary Receipt evidencing American Depositary Shares </w:t>
            </w:r>
            <w:hyperlink w:anchor="page300">
              <w:r>
                <w:rPr>
                  <w:rFonts w:ascii="Times New Roman" w:cs="Times New Roman" w:eastAsia="Times New Roman" w:hAnsi="Times New Roman"/>
                  <w:sz w:val="18"/>
                  <w:szCs w:val="18"/>
                  <w:u w:val="single" w:color="auto"/>
                  <w:color w:val="0000EE"/>
                </w:rPr>
                <w:t>(included in Exhibit 4.1).</w:t>
              </w:r>
            </w:hyperlink>
          </w:p>
        </w:tc>
        <w:tc>
          <w:tcPr>
            <w:tcW w:w="0" w:type="dxa"/>
            <w:vAlign w:val="bottom"/>
          </w:tcPr>
          <w:p>
            <w:pPr>
              <w:spacing w:after="0"/>
              <w:rPr>
                <w:sz w:val="1"/>
                <w:szCs w:val="1"/>
                <w:color w:val="auto"/>
              </w:rPr>
            </w:pPr>
          </w:p>
        </w:tc>
      </w:tr>
      <w:tr>
        <w:trPr>
          <w:trHeight w:val="32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3200" w:type="dxa"/>
            <w:vAlign w:val="bottom"/>
            <w:gridSpan w:val="2"/>
          </w:tcPr>
          <w:p>
            <w:pPr>
              <w:spacing w:after="0"/>
              <w:rPr>
                <w:rFonts w:ascii="Times New Roman" w:cs="Times New Roman" w:eastAsia="Times New Roman" w:hAnsi="Times New Roman"/>
                <w:sz w:val="18"/>
                <w:szCs w:val="18"/>
                <w:u w:val="single" w:color="auto"/>
                <w:color w:val="0000EE"/>
              </w:rPr>
            </w:pPr>
            <w:hyperlink w:anchor="page332">
              <w:r>
                <w:rPr>
                  <w:rFonts w:ascii="Times New Roman" w:cs="Times New Roman" w:eastAsia="Times New Roman" w:hAnsi="Times New Roman"/>
                  <w:sz w:val="18"/>
                  <w:szCs w:val="18"/>
                  <w:u w:val="single" w:color="auto"/>
                  <w:color w:val="0000EE"/>
                </w:rPr>
                <w:t>Opinion of Gilbert + Tobin.</w:t>
              </w:r>
            </w:hyperlink>
          </w:p>
        </w:tc>
        <w:tc>
          <w:tcPr>
            <w:tcW w:w="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gridSpan w:val="6"/>
          </w:tcPr>
          <w:p>
            <w:pPr>
              <w:spacing w:after="0"/>
              <w:rPr>
                <w:rFonts w:ascii="Times New Roman" w:cs="Times New Roman" w:eastAsia="Times New Roman" w:hAnsi="Times New Roman"/>
                <w:sz w:val="18"/>
                <w:szCs w:val="18"/>
                <w:u w:val="single" w:color="auto"/>
                <w:color w:val="0000EE"/>
              </w:rPr>
            </w:pPr>
            <w:hyperlink w:anchor="page336">
              <w:r>
                <w:rPr>
                  <w:rFonts w:ascii="Times New Roman" w:cs="Times New Roman" w:eastAsia="Times New Roman" w:hAnsi="Times New Roman"/>
                  <w:sz w:val="18"/>
                  <w:szCs w:val="18"/>
                  <w:u w:val="single" w:color="auto"/>
                  <w:color w:val="0000EE"/>
                </w:rPr>
                <w:t>Commercial License Agreement, dated as of October 28, 2013, between the Registrant and Selexis SA.</w:t>
              </w:r>
            </w:hyperlink>
          </w:p>
        </w:tc>
        <w:tc>
          <w:tcPr>
            <w:tcW w:w="0" w:type="dxa"/>
            <w:vAlign w:val="bottom"/>
          </w:tcPr>
          <w:p>
            <w:pPr>
              <w:spacing w:after="0"/>
              <w:rPr>
                <w:sz w:val="1"/>
                <w:szCs w:val="1"/>
                <w:color w:val="auto"/>
              </w:rPr>
            </w:pPr>
          </w:p>
        </w:tc>
      </w:tr>
      <w:tr>
        <w:trPr>
          <w:trHeight w:val="28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9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r:id="rId357">
              <w:r>
                <w:rPr>
                  <w:rFonts w:ascii="Times New Roman" w:cs="Times New Roman" w:eastAsia="Times New Roman" w:hAnsi="Times New Roman"/>
                  <w:sz w:val="18"/>
                  <w:szCs w:val="18"/>
                  <w:color w:val="0000EE"/>
                  <w:w w:val="97"/>
                </w:rPr>
                <w:t>Biopharmaceutical Manufacturing Agreement, dated as of October 28, 2013, between the Registrant, Patheon Biologics Company Australia</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357">
              <w:r>
                <w:rPr>
                  <w:rFonts w:ascii="Times New Roman" w:cs="Times New Roman" w:eastAsia="Times New Roman" w:hAnsi="Times New Roman"/>
                  <w:sz w:val="18"/>
                  <w:szCs w:val="18"/>
                  <w:color w:val="0000EE"/>
                  <w:w w:val="96"/>
                </w:rPr>
                <w:t>Pty Ltd. and Patheon Biologics Company B.V.</w:t>
              </w:r>
            </w:hyperlink>
          </w:p>
        </w:tc>
        <w:tc>
          <w:tcPr>
            <w:tcW w:w="6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24"/>
                <w:szCs w:val="24"/>
                <w:color w:val="auto"/>
              </w:rPr>
            </w:pPr>
          </w:p>
        </w:tc>
        <w:tc>
          <w:tcPr>
            <w:tcW w:w="9920" w:type="dxa"/>
            <w:vAlign w:val="bottom"/>
            <w:gridSpan w:val="6"/>
          </w:tcPr>
          <w:p>
            <w:pPr>
              <w:spacing w:after="0"/>
              <w:rPr>
                <w:rFonts w:ascii="Times New Roman" w:cs="Times New Roman" w:eastAsia="Times New Roman" w:hAnsi="Times New Roman"/>
                <w:sz w:val="18"/>
                <w:szCs w:val="18"/>
                <w:u w:val="single" w:color="auto"/>
                <w:color w:val="0000EE"/>
              </w:rPr>
            </w:pPr>
            <w:hyperlink r:id="rId358">
              <w:r>
                <w:rPr>
                  <w:rFonts w:ascii="Times New Roman" w:cs="Times New Roman" w:eastAsia="Times New Roman" w:hAnsi="Times New Roman"/>
                  <w:sz w:val="18"/>
                  <w:szCs w:val="18"/>
                  <w:u w:val="single" w:color="auto"/>
                  <w:color w:val="0000EE"/>
                </w:rPr>
                <w:t>Form of Deed of Indemnity, Insurance and Access</w:t>
              </w:r>
            </w:hyperlink>
          </w:p>
        </w:tc>
        <w:tc>
          <w:tcPr>
            <w:tcW w:w="0" w:type="dxa"/>
            <w:vAlign w:val="bottom"/>
          </w:tcPr>
          <w:p>
            <w:pPr>
              <w:spacing w:after="0"/>
              <w:rPr>
                <w:sz w:val="1"/>
                <w:szCs w:val="1"/>
                <w:color w:val="auto"/>
              </w:rPr>
            </w:pPr>
          </w:p>
        </w:tc>
      </w:tr>
      <w:tr>
        <w:trPr>
          <w:trHeight w:val="28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920" w:type="dxa"/>
            <w:vAlign w:val="bottom"/>
            <w:gridSpan w:val="6"/>
          </w:tcPr>
          <w:p>
            <w:pPr>
              <w:spacing w:after="0"/>
              <w:rPr>
                <w:rFonts w:ascii="Times New Roman" w:cs="Times New Roman" w:eastAsia="Times New Roman" w:hAnsi="Times New Roman"/>
                <w:sz w:val="18"/>
                <w:szCs w:val="18"/>
                <w:color w:val="0000EE"/>
              </w:rPr>
            </w:pPr>
            <w:hyperlink r:id="rId359">
              <w:r>
                <w:rPr>
                  <w:rFonts w:ascii="Times New Roman" w:cs="Times New Roman" w:eastAsia="Times New Roman" w:hAnsi="Times New Roman"/>
                  <w:sz w:val="18"/>
                  <w:szCs w:val="18"/>
                  <w:color w:val="0000EE"/>
                </w:rPr>
                <w:t>Lease Agreement, dated November 12, 2019, between the Registrant and The Trust Company (Australia) Limited, as custodian for the</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359">
              <w:r>
                <w:rPr>
                  <w:rFonts w:ascii="Times New Roman" w:cs="Times New Roman" w:eastAsia="Times New Roman" w:hAnsi="Times New Roman"/>
                  <w:sz w:val="18"/>
                  <w:szCs w:val="18"/>
                  <w:color w:val="0000EE"/>
                </w:rPr>
                <w:t>Newmark Como Property Trust.</w:t>
              </w:r>
            </w:hyperlink>
          </w:p>
        </w:tc>
        <w:tc>
          <w:tcPr>
            <w:tcW w:w="80" w:type="dxa"/>
            <w:vAlign w:val="bottom"/>
            <w:tcBorders>
              <w:top w:val="single" w:sz="8" w:color="0000EE"/>
            </w:tcBorders>
          </w:tcPr>
          <w:p>
            <w:pPr>
              <w:spacing w:after="0"/>
              <w:rPr>
                <w:sz w:val="17"/>
                <w:szCs w:val="17"/>
                <w:color w:val="auto"/>
              </w:rPr>
            </w:pPr>
          </w:p>
        </w:tc>
        <w:tc>
          <w:tcPr>
            <w:tcW w:w="62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spacing w:after="0"/>
              <w:rPr>
                <w:sz w:val="24"/>
                <w:szCs w:val="24"/>
                <w:color w:val="auto"/>
              </w:rPr>
            </w:pPr>
          </w:p>
        </w:tc>
        <w:tc>
          <w:tcPr>
            <w:tcW w:w="3200" w:type="dxa"/>
            <w:vAlign w:val="bottom"/>
            <w:gridSpan w:val="2"/>
          </w:tcPr>
          <w:p>
            <w:pPr>
              <w:spacing w:after="0"/>
              <w:rPr>
                <w:rFonts w:ascii="Times New Roman" w:cs="Times New Roman" w:eastAsia="Times New Roman" w:hAnsi="Times New Roman"/>
                <w:sz w:val="18"/>
                <w:szCs w:val="18"/>
                <w:u w:val="single" w:color="auto"/>
                <w:color w:val="0000EE"/>
              </w:rPr>
            </w:pPr>
            <w:hyperlink r:id="rId360">
              <w:r>
                <w:rPr>
                  <w:rFonts w:ascii="Times New Roman" w:cs="Times New Roman" w:eastAsia="Times New Roman" w:hAnsi="Times New Roman"/>
                  <w:sz w:val="18"/>
                  <w:szCs w:val="18"/>
                  <w:u w:val="single" w:color="auto"/>
                  <w:color w:val="0000EE"/>
                </w:rPr>
                <w:t>Long Term Incentive Plan Rules.</w:t>
              </w:r>
            </w:hyperlink>
          </w:p>
        </w:tc>
        <w:tc>
          <w:tcPr>
            <w:tcW w:w="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spacing w:after="0"/>
              <w:rPr>
                <w:sz w:val="24"/>
                <w:szCs w:val="24"/>
                <w:color w:val="auto"/>
              </w:rPr>
            </w:pPr>
          </w:p>
        </w:tc>
        <w:tc>
          <w:tcPr>
            <w:tcW w:w="9920" w:type="dxa"/>
            <w:vAlign w:val="bottom"/>
            <w:gridSpan w:val="6"/>
          </w:tcPr>
          <w:p>
            <w:pPr>
              <w:spacing w:after="0"/>
              <w:rPr>
                <w:rFonts w:ascii="Times New Roman" w:cs="Times New Roman" w:eastAsia="Times New Roman" w:hAnsi="Times New Roman"/>
                <w:sz w:val="18"/>
                <w:szCs w:val="18"/>
                <w:u w:val="single" w:color="auto"/>
                <w:color w:val="0000EE"/>
              </w:rPr>
            </w:pPr>
            <w:hyperlink r:id="rId361">
              <w:r>
                <w:rPr>
                  <w:rFonts w:ascii="Times New Roman" w:cs="Times New Roman" w:eastAsia="Times New Roman" w:hAnsi="Times New Roman"/>
                  <w:sz w:val="18"/>
                  <w:szCs w:val="18"/>
                  <w:u w:val="single" w:color="auto"/>
                  <w:color w:val="0000EE"/>
                </w:rPr>
                <w:t>Non-Executive Directors Share and Option Plan Rules.</w:t>
              </w:r>
            </w:hyperlink>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3200" w:type="dxa"/>
            <w:vAlign w:val="bottom"/>
            <w:gridSpan w:val="2"/>
          </w:tcPr>
          <w:p>
            <w:pPr>
              <w:spacing w:after="0"/>
              <w:rPr>
                <w:rFonts w:ascii="Times New Roman" w:cs="Times New Roman" w:eastAsia="Times New Roman" w:hAnsi="Times New Roman"/>
                <w:sz w:val="18"/>
                <w:szCs w:val="18"/>
                <w:u w:val="single" w:color="auto"/>
                <w:color w:val="0000EE"/>
                <w:w w:val="97"/>
              </w:rPr>
            </w:pPr>
            <w:hyperlink r:id="rId362">
              <w:r>
                <w:rPr>
                  <w:rFonts w:ascii="Times New Roman" w:cs="Times New Roman" w:eastAsia="Times New Roman" w:hAnsi="Times New Roman"/>
                  <w:sz w:val="18"/>
                  <w:szCs w:val="18"/>
                  <w:u w:val="single" w:color="auto"/>
                  <w:color w:val="0000EE"/>
                  <w:w w:val="97"/>
                </w:rPr>
                <w:t>Executive Employment Contract, dated April</w:t>
              </w:r>
            </w:hyperlink>
          </w:p>
        </w:tc>
        <w:tc>
          <w:tcPr>
            <w:tcW w:w="80" w:type="dxa"/>
            <w:vAlign w:val="bottom"/>
          </w:tcPr>
          <w:p>
            <w:pPr>
              <w:spacing w:after="0"/>
              <w:rPr>
                <w:sz w:val="24"/>
                <w:szCs w:val="24"/>
                <w:color w:val="auto"/>
              </w:rPr>
            </w:pPr>
          </w:p>
        </w:tc>
        <w:tc>
          <w:tcPr>
            <w:tcW w:w="6640" w:type="dxa"/>
            <w:vAlign w:val="bottom"/>
            <w:gridSpan w:val="3"/>
          </w:tcPr>
          <w:p>
            <w:pPr>
              <w:spacing w:after="0"/>
              <w:rPr>
                <w:rFonts w:ascii="Times New Roman" w:cs="Times New Roman" w:eastAsia="Times New Roman" w:hAnsi="Times New Roman"/>
                <w:sz w:val="18"/>
                <w:szCs w:val="18"/>
                <w:u w:val="single" w:color="auto"/>
                <w:color w:val="0000EE"/>
              </w:rPr>
            </w:pPr>
            <w:hyperlink r:id="rId362">
              <w:r>
                <w:rPr>
                  <w:rFonts w:ascii="Times New Roman" w:cs="Times New Roman" w:eastAsia="Times New Roman" w:hAnsi="Times New Roman"/>
                  <w:sz w:val="18"/>
                  <w:szCs w:val="18"/>
                  <w:u w:val="single" w:color="auto"/>
                  <w:color w:val="0000EE"/>
                </w:rPr>
                <w:t>23, 2014, between the Registrant and Megan Baldwin, Ph.D.</w:t>
              </w:r>
            </w:hyperlink>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spacing w:after="0"/>
              <w:rPr>
                <w:sz w:val="24"/>
                <w:szCs w:val="24"/>
                <w:color w:val="auto"/>
              </w:rPr>
            </w:pPr>
          </w:p>
        </w:tc>
        <w:tc>
          <w:tcPr>
            <w:tcW w:w="3200" w:type="dxa"/>
            <w:vAlign w:val="bottom"/>
            <w:gridSpan w:val="2"/>
          </w:tcPr>
          <w:p>
            <w:pPr>
              <w:spacing w:after="0"/>
              <w:rPr>
                <w:rFonts w:ascii="Times New Roman" w:cs="Times New Roman" w:eastAsia="Times New Roman" w:hAnsi="Times New Roman"/>
                <w:sz w:val="18"/>
                <w:szCs w:val="18"/>
                <w:u w:val="single" w:color="auto"/>
                <w:color w:val="0000EE"/>
                <w:w w:val="98"/>
              </w:rPr>
            </w:pPr>
            <w:hyperlink r:id="rId363">
              <w:r>
                <w:rPr>
                  <w:rFonts w:ascii="Times New Roman" w:cs="Times New Roman" w:eastAsia="Times New Roman" w:hAnsi="Times New Roman"/>
                  <w:sz w:val="18"/>
                  <w:szCs w:val="18"/>
                  <w:u w:val="single" w:color="auto"/>
                  <w:color w:val="0000EE"/>
                  <w:w w:val="98"/>
                </w:rPr>
                <w:t>Executive Employment Contract, dated May</w:t>
              </w:r>
            </w:hyperlink>
          </w:p>
        </w:tc>
        <w:tc>
          <w:tcPr>
            <w:tcW w:w="6720" w:type="dxa"/>
            <w:vAlign w:val="bottom"/>
            <w:gridSpan w:val="4"/>
          </w:tcPr>
          <w:p>
            <w:pPr>
              <w:ind w:left="20"/>
              <w:spacing w:after="0"/>
              <w:rPr>
                <w:rFonts w:ascii="Times New Roman" w:cs="Times New Roman" w:eastAsia="Times New Roman" w:hAnsi="Times New Roman"/>
                <w:sz w:val="18"/>
                <w:szCs w:val="18"/>
                <w:u w:val="single" w:color="auto"/>
                <w:color w:val="0000EE"/>
              </w:rPr>
            </w:pPr>
            <w:hyperlink r:id="rId363">
              <w:r>
                <w:rPr>
                  <w:rFonts w:ascii="Times New Roman" w:cs="Times New Roman" w:eastAsia="Times New Roman" w:hAnsi="Times New Roman"/>
                  <w:sz w:val="18"/>
                  <w:szCs w:val="18"/>
                  <w:u w:val="single" w:color="auto"/>
                  <w:color w:val="0000EE"/>
                </w:rPr>
                <w:t>8, 2014, between the Registrant and Michael Tonroe.</w:t>
              </w:r>
            </w:hyperlink>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tcPr>
          <w:p>
            <w:pPr>
              <w:spacing w:after="0"/>
              <w:rPr>
                <w:sz w:val="24"/>
                <w:szCs w:val="24"/>
                <w:color w:val="auto"/>
              </w:rPr>
            </w:pPr>
          </w:p>
        </w:tc>
        <w:tc>
          <w:tcPr>
            <w:tcW w:w="3200" w:type="dxa"/>
            <w:vAlign w:val="bottom"/>
            <w:gridSpan w:val="2"/>
          </w:tcPr>
          <w:p>
            <w:pPr>
              <w:spacing w:after="0"/>
              <w:rPr>
                <w:rFonts w:ascii="Times New Roman" w:cs="Times New Roman" w:eastAsia="Times New Roman" w:hAnsi="Times New Roman"/>
                <w:sz w:val="18"/>
                <w:szCs w:val="18"/>
                <w:u w:val="single" w:color="auto"/>
                <w:color w:val="0000EE"/>
                <w:w w:val="97"/>
              </w:rPr>
            </w:pPr>
            <w:hyperlink w:anchor="page363">
              <w:r>
                <w:rPr>
                  <w:rFonts w:ascii="Times New Roman" w:cs="Times New Roman" w:eastAsia="Times New Roman" w:hAnsi="Times New Roman"/>
                  <w:sz w:val="18"/>
                  <w:szCs w:val="18"/>
                  <w:u w:val="single" w:color="auto"/>
                  <w:color w:val="0000EE"/>
                  <w:w w:val="97"/>
                </w:rPr>
                <w:t>Form of Non-Executive Director Agreement.</w:t>
              </w:r>
            </w:hyperlink>
          </w:p>
        </w:tc>
        <w:tc>
          <w:tcPr>
            <w:tcW w:w="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24"/>
                <w:szCs w:val="24"/>
                <w:color w:val="auto"/>
              </w:rPr>
            </w:pPr>
          </w:p>
        </w:tc>
        <w:tc>
          <w:tcPr>
            <w:tcW w:w="3200" w:type="dxa"/>
            <w:vAlign w:val="bottom"/>
            <w:gridSpan w:val="2"/>
          </w:tcPr>
          <w:p>
            <w:pPr>
              <w:spacing w:after="0"/>
              <w:rPr>
                <w:rFonts w:ascii="Times New Roman" w:cs="Times New Roman" w:eastAsia="Times New Roman" w:hAnsi="Times New Roman"/>
                <w:sz w:val="18"/>
                <w:szCs w:val="18"/>
                <w:u w:val="single" w:color="auto"/>
                <w:color w:val="0000EE"/>
              </w:rPr>
            </w:pPr>
            <w:hyperlink r:id="rId364">
              <w:r>
                <w:rPr>
                  <w:rFonts w:ascii="Times New Roman" w:cs="Times New Roman" w:eastAsia="Times New Roman" w:hAnsi="Times New Roman"/>
                  <w:sz w:val="18"/>
                  <w:szCs w:val="18"/>
                  <w:u w:val="single" w:color="auto"/>
                  <w:color w:val="0000EE"/>
                </w:rPr>
                <w:t>List of subsidiaries.</w:t>
              </w:r>
            </w:hyperlink>
          </w:p>
        </w:tc>
        <w:tc>
          <w:tcPr>
            <w:tcW w:w="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9920" w:type="dxa"/>
            <w:vAlign w:val="bottom"/>
            <w:gridSpan w:val="6"/>
          </w:tcPr>
          <w:p>
            <w:pPr>
              <w:spacing w:after="0"/>
              <w:rPr>
                <w:rFonts w:ascii="Times New Roman" w:cs="Times New Roman" w:eastAsia="Times New Roman" w:hAnsi="Times New Roman"/>
                <w:sz w:val="18"/>
                <w:szCs w:val="18"/>
                <w:u w:val="single" w:color="auto"/>
                <w:color w:val="0000EE"/>
              </w:rPr>
            </w:pPr>
            <w:hyperlink w:anchor="page368">
              <w:r>
                <w:rPr>
                  <w:rFonts w:ascii="Times New Roman" w:cs="Times New Roman" w:eastAsia="Times New Roman" w:hAnsi="Times New Roman"/>
                  <w:sz w:val="18"/>
                  <w:szCs w:val="18"/>
                  <w:u w:val="single" w:color="auto"/>
                  <w:color w:val="0000EE"/>
                </w:rPr>
                <w:t>Consent of Deloitte Touche Tohmatsu, independent registered public accounting firm.</w:t>
              </w:r>
            </w:hyperlink>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9920" w:type="dxa"/>
            <w:vAlign w:val="bottom"/>
            <w:gridSpan w:val="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 of Gilbert + Tobin </w:t>
            </w:r>
            <w:hyperlink w:anchor="page332">
              <w:r>
                <w:rPr>
                  <w:rFonts w:ascii="Times New Roman" w:cs="Times New Roman" w:eastAsia="Times New Roman" w:hAnsi="Times New Roman"/>
                  <w:sz w:val="18"/>
                  <w:szCs w:val="18"/>
                  <w:u w:val="single" w:color="auto"/>
                  <w:color w:val="0000EE"/>
                </w:rPr>
                <w:t>(included in Exhibit 5.1)</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9920" w:type="dxa"/>
            <w:vAlign w:val="bottom"/>
            <w:gridSpan w:val="6"/>
          </w:tcPr>
          <w:p>
            <w:pPr>
              <w:spacing w:after="0"/>
              <w:rPr>
                <w:rFonts w:ascii="Times New Roman" w:cs="Times New Roman" w:eastAsia="Times New Roman" w:hAnsi="Times New Roman"/>
                <w:sz w:val="18"/>
                <w:szCs w:val="18"/>
                <w:u w:val="single" w:color="auto"/>
                <w:color w:val="0000EE"/>
              </w:rPr>
            </w:pPr>
            <w:hyperlink r:id="rId365">
              <w:r>
                <w:rPr>
                  <w:rFonts w:ascii="Times New Roman" w:cs="Times New Roman" w:eastAsia="Times New Roman" w:hAnsi="Times New Roman"/>
                  <w:sz w:val="18"/>
                  <w:szCs w:val="18"/>
                  <w:u w:val="single" w:color="auto"/>
                  <w:color w:val="0000EE"/>
                </w:rPr>
                <w:t>Power of Attorney (included on signature page to the original filing of this registration statement on Form F-1).</w:t>
              </w:r>
            </w:hyperlink>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9920" w:type="dxa"/>
            <w:vAlign w:val="bottom"/>
            <w:gridSpan w:val="6"/>
          </w:tcPr>
          <w:p>
            <w:pPr>
              <w:spacing w:after="0"/>
              <w:rPr>
                <w:rFonts w:ascii="Times New Roman" w:cs="Times New Roman" w:eastAsia="Times New Roman" w:hAnsi="Times New Roman"/>
                <w:sz w:val="18"/>
                <w:szCs w:val="18"/>
                <w:color w:val="0000EE"/>
              </w:rPr>
            </w:pPr>
            <w:hyperlink w:anchor="page369">
              <w:r>
                <w:rPr>
                  <w:rFonts w:ascii="Times New Roman" w:cs="Times New Roman" w:eastAsia="Times New Roman" w:hAnsi="Times New Roman"/>
                  <w:sz w:val="18"/>
                  <w:szCs w:val="18"/>
                  <w:u w:val="single" w:color="auto"/>
                  <w:color w:val="0000EE"/>
                </w:rPr>
                <w:t>Consent of Jeremy Levin, DPhil, MB BChir, as director nominee</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7715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6" w:lineRule="exact"/>
        <w:rPr>
          <w:sz w:val="20"/>
          <w:szCs w:val="20"/>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1"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540" w:right="140" w:hanging="424"/>
        <w:spacing w:after="0" w:line="260" w:lineRule="auto"/>
        <w:tabs>
          <w:tab w:leader="none" w:pos="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as the Registrant has determined that the omitted information (i) is not material and (ii) would likely cause competitive harm to the Registrant if publicly disclosed.</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81"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All schedules have been omitted because the information required to be set forth therein is not applicable or has been included in the consolidated financial statements and notes thereto.</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9.Undertakings.</w:t>
      </w:r>
    </w:p>
    <w:p>
      <w:pPr>
        <w:spacing w:after="0" w:line="79"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6"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77" w:lineRule="exact"/>
        <w:rPr>
          <w:sz w:val="20"/>
          <w:szCs w:val="20"/>
          <w:color w:val="auto"/>
        </w:rPr>
      </w:pPr>
    </w:p>
    <w:p>
      <w:pPr>
        <w:jc w:val="both"/>
        <w:ind w:left="120" w:right="260" w:firstLine="436"/>
        <w:spacing w:after="0" w:line="262" w:lineRule="auto"/>
        <w:tabs>
          <w:tab w:leader="none" w:pos="80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8" w:lineRule="exact"/>
        <w:rPr>
          <w:rFonts w:ascii="Times New Roman" w:cs="Times New Roman" w:eastAsia="Times New Roman" w:hAnsi="Times New Roman"/>
          <w:sz w:val="18"/>
          <w:szCs w:val="18"/>
          <w:color w:val="auto"/>
        </w:rPr>
      </w:pPr>
    </w:p>
    <w:p>
      <w:pPr>
        <w:ind w:left="120" w:firstLine="436"/>
        <w:spacing w:after="0" w:line="262" w:lineRule="auto"/>
        <w:tabs>
          <w:tab w:leader="none" w:pos="80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Melbourne, Australia on this 9th day of October, 2020.</w:t>
      </w:r>
    </w:p>
    <w:p>
      <w:pPr>
        <w:spacing w:after="0" w:line="11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Megan Baldwin, Ph.D.</w:t>
      </w:r>
    </w:p>
    <w:p>
      <w:pPr>
        <w:spacing w:after="0" w:line="21" w:lineRule="exact"/>
        <w:rPr>
          <w:sz w:val="20"/>
          <w:szCs w:val="20"/>
          <w:color w:val="auto"/>
        </w:rPr>
      </w:pPr>
    </w:p>
    <w:p>
      <w:pPr>
        <w:jc w:val="center"/>
        <w:ind w:left="6800"/>
        <w:spacing w:after="0"/>
        <w:tabs>
          <w:tab w:leader="none" w:pos="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 and</w:t>
      </w:r>
    </w:p>
    <w:p>
      <w:pPr>
        <w:spacing w:after="0" w:line="9"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159"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Amendment No. 1 to the Registration Statement has been signed by the following persons on behalf of the registrant and in the capacities and on the dates indicated:</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gridSpan w:val="2"/>
          </w:tcPr>
          <w:p>
            <w:pPr>
              <w:jc w:val="center"/>
              <w:ind w:right="166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140" w:type="dxa"/>
            <w:vAlign w:val="bottom"/>
            <w:gridSpan w:val="3"/>
          </w:tcPr>
          <w:p>
            <w:pPr>
              <w:jc w:val="center"/>
              <w:ind w:left="915"/>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20"/>
        </w:trPr>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4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7"/>
              </w:rPr>
              <w:t>/s/ Megan Baldwin</w:t>
            </w:r>
          </w:p>
        </w:tc>
        <w:tc>
          <w:tcPr>
            <w:tcW w:w="4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Managing Director</w:t>
            </w:r>
          </w:p>
        </w:tc>
        <w:tc>
          <w:tcPr>
            <w:tcW w:w="2140" w:type="dxa"/>
            <w:vAlign w:val="bottom"/>
            <w:gridSpan w:val="3"/>
          </w:tcPr>
          <w:p>
            <w:pPr>
              <w:jc w:val="center"/>
              <w:ind w:left="915"/>
              <w:spacing w:after="0"/>
              <w:rPr>
                <w:sz w:val="20"/>
                <w:szCs w:val="20"/>
                <w:color w:val="auto"/>
              </w:rPr>
            </w:pPr>
            <w:r>
              <w:rPr>
                <w:rFonts w:ascii="Times New Roman" w:cs="Times New Roman" w:eastAsia="Times New Roman" w:hAnsi="Times New Roman"/>
                <w:sz w:val="18"/>
                <w:szCs w:val="18"/>
                <w:color w:val="auto"/>
                <w:w w:val="97"/>
              </w:rPr>
              <w:t>October 9, 2020</w:t>
            </w:r>
          </w:p>
        </w:tc>
      </w:tr>
      <w:tr>
        <w:trPr>
          <w:trHeight w:val="222"/>
        </w:trPr>
        <w:tc>
          <w:tcPr>
            <w:tcW w:w="440" w:type="dxa"/>
            <w:vAlign w:val="bottom"/>
          </w:tcPr>
          <w:p>
            <w:pPr>
              <w:spacing w:after="0"/>
              <w:rPr>
                <w:sz w:val="19"/>
                <w:szCs w:val="19"/>
                <w:color w:val="auto"/>
              </w:rPr>
            </w:pPr>
          </w:p>
        </w:tc>
        <w:tc>
          <w:tcPr>
            <w:tcW w:w="3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7"/>
              </w:rPr>
              <w:t>Megan Baldwin, Ph.D.</w:t>
            </w:r>
          </w:p>
        </w:tc>
        <w:tc>
          <w:tcPr>
            <w:tcW w:w="448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52"/>
        </w:trPr>
        <w:tc>
          <w:tcPr>
            <w:tcW w:w="4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6"/>
              </w:rPr>
              <w:t>/s/ Michael Tonroe</w:t>
            </w:r>
          </w:p>
        </w:tc>
        <w:tc>
          <w:tcPr>
            <w:tcW w:w="4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Company Secretary</w:t>
            </w:r>
          </w:p>
        </w:tc>
        <w:tc>
          <w:tcPr>
            <w:tcW w:w="2140" w:type="dxa"/>
            <w:vAlign w:val="bottom"/>
            <w:gridSpan w:val="3"/>
          </w:tcPr>
          <w:p>
            <w:pPr>
              <w:jc w:val="center"/>
              <w:ind w:left="915"/>
              <w:spacing w:after="0"/>
              <w:rPr>
                <w:sz w:val="20"/>
                <w:szCs w:val="20"/>
                <w:color w:val="auto"/>
              </w:rPr>
            </w:pPr>
            <w:r>
              <w:rPr>
                <w:rFonts w:ascii="Times New Roman" w:cs="Times New Roman" w:eastAsia="Times New Roman" w:hAnsi="Times New Roman"/>
                <w:sz w:val="18"/>
                <w:szCs w:val="18"/>
                <w:color w:val="auto"/>
                <w:w w:val="97"/>
              </w:rPr>
              <w:t>October 9, 2020</w:t>
            </w:r>
          </w:p>
        </w:tc>
      </w:tr>
      <w:tr>
        <w:trPr>
          <w:trHeight w:val="222"/>
        </w:trPr>
        <w:tc>
          <w:tcPr>
            <w:tcW w:w="440" w:type="dxa"/>
            <w:vAlign w:val="bottom"/>
          </w:tcPr>
          <w:p>
            <w:pPr>
              <w:spacing w:after="0"/>
              <w:rPr>
                <w:sz w:val="19"/>
                <w:szCs w:val="19"/>
                <w:color w:val="auto"/>
              </w:rPr>
            </w:pPr>
          </w:p>
        </w:tc>
        <w:tc>
          <w:tcPr>
            <w:tcW w:w="3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6"/>
              </w:rPr>
              <w:t>Michael Tonroe</w:t>
            </w:r>
          </w:p>
        </w:tc>
        <w:tc>
          <w:tcPr>
            <w:tcW w:w="448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51"/>
        </w:trPr>
        <w:tc>
          <w:tcPr>
            <w:tcW w:w="2200" w:type="dxa"/>
            <w:vAlign w:val="bottom"/>
            <w:tcBorders>
              <w:bottom w:val="single" w:sz="8" w:color="auto"/>
            </w:tcBorders>
            <w:gridSpan w:val="3"/>
          </w:tcPr>
          <w:p>
            <w:pPr>
              <w:jc w:val="center"/>
              <w:ind w:left="15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spacing w:after="0"/>
              <w:rPr>
                <w:sz w:val="24"/>
                <w:szCs w:val="24"/>
                <w:color w:val="auto"/>
              </w:rPr>
            </w:pPr>
          </w:p>
        </w:tc>
        <w:tc>
          <w:tcPr>
            <w:tcW w:w="4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2140" w:type="dxa"/>
            <w:vAlign w:val="bottom"/>
            <w:gridSpan w:val="3"/>
          </w:tcPr>
          <w:p>
            <w:pPr>
              <w:jc w:val="center"/>
              <w:ind w:left="915"/>
              <w:spacing w:after="0"/>
              <w:rPr>
                <w:sz w:val="20"/>
                <w:szCs w:val="20"/>
                <w:color w:val="auto"/>
              </w:rPr>
            </w:pPr>
            <w:r>
              <w:rPr>
                <w:rFonts w:ascii="Times New Roman" w:cs="Times New Roman" w:eastAsia="Times New Roman" w:hAnsi="Times New Roman"/>
                <w:sz w:val="18"/>
                <w:szCs w:val="18"/>
                <w:color w:val="auto"/>
                <w:w w:val="97"/>
              </w:rPr>
              <w:t>October 9, 2020</w:t>
            </w:r>
          </w:p>
        </w:tc>
      </w:tr>
      <w:tr>
        <w:trPr>
          <w:trHeight w:val="223"/>
        </w:trPr>
        <w:tc>
          <w:tcPr>
            <w:tcW w:w="440" w:type="dxa"/>
            <w:vAlign w:val="bottom"/>
          </w:tcPr>
          <w:p>
            <w:pPr>
              <w:spacing w:after="0"/>
              <w:rPr>
                <w:sz w:val="19"/>
                <w:szCs w:val="19"/>
                <w:color w:val="auto"/>
              </w:rPr>
            </w:pPr>
          </w:p>
        </w:tc>
        <w:tc>
          <w:tcPr>
            <w:tcW w:w="3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Geoffrey Kempler</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51"/>
        </w:trPr>
        <w:tc>
          <w:tcPr>
            <w:tcW w:w="2200" w:type="dxa"/>
            <w:vAlign w:val="bottom"/>
            <w:tcBorders>
              <w:bottom w:val="single" w:sz="8" w:color="auto"/>
            </w:tcBorders>
            <w:gridSpan w:val="3"/>
          </w:tcPr>
          <w:p>
            <w:pPr>
              <w:jc w:val="center"/>
              <w:ind w:left="15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spacing w:after="0"/>
              <w:rPr>
                <w:sz w:val="24"/>
                <w:szCs w:val="24"/>
                <w:color w:val="auto"/>
              </w:rPr>
            </w:pPr>
          </w:p>
        </w:tc>
        <w:tc>
          <w:tcPr>
            <w:tcW w:w="4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3"/>
          </w:tcPr>
          <w:p>
            <w:pPr>
              <w:jc w:val="center"/>
              <w:ind w:left="915"/>
              <w:spacing w:after="0"/>
              <w:rPr>
                <w:sz w:val="20"/>
                <w:szCs w:val="20"/>
                <w:color w:val="auto"/>
              </w:rPr>
            </w:pPr>
            <w:r>
              <w:rPr>
                <w:rFonts w:ascii="Times New Roman" w:cs="Times New Roman" w:eastAsia="Times New Roman" w:hAnsi="Times New Roman"/>
                <w:sz w:val="18"/>
                <w:szCs w:val="18"/>
                <w:color w:val="auto"/>
                <w:w w:val="97"/>
              </w:rPr>
              <w:t>October 9, 2020</w:t>
            </w:r>
          </w:p>
        </w:tc>
      </w:tr>
      <w:tr>
        <w:trPr>
          <w:trHeight w:val="223"/>
        </w:trPr>
        <w:tc>
          <w:tcPr>
            <w:tcW w:w="440" w:type="dxa"/>
            <w:vAlign w:val="bottom"/>
          </w:tcPr>
          <w:p>
            <w:pPr>
              <w:spacing w:after="0"/>
              <w:rPr>
                <w:sz w:val="19"/>
                <w:szCs w:val="19"/>
                <w:color w:val="auto"/>
              </w:rPr>
            </w:pPr>
          </w:p>
        </w:tc>
        <w:tc>
          <w:tcPr>
            <w:tcW w:w="3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7"/>
              </w:rPr>
              <w:t>Lawrence Gozlan</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51"/>
        </w:trPr>
        <w:tc>
          <w:tcPr>
            <w:tcW w:w="2200" w:type="dxa"/>
            <w:vAlign w:val="bottom"/>
            <w:tcBorders>
              <w:bottom w:val="single" w:sz="8" w:color="auto"/>
            </w:tcBorders>
            <w:gridSpan w:val="3"/>
          </w:tcPr>
          <w:p>
            <w:pPr>
              <w:jc w:val="center"/>
              <w:ind w:left="15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spacing w:after="0"/>
              <w:rPr>
                <w:sz w:val="24"/>
                <w:szCs w:val="24"/>
                <w:color w:val="auto"/>
              </w:rPr>
            </w:pPr>
          </w:p>
        </w:tc>
        <w:tc>
          <w:tcPr>
            <w:tcW w:w="4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3"/>
          </w:tcPr>
          <w:p>
            <w:pPr>
              <w:jc w:val="center"/>
              <w:ind w:left="915"/>
              <w:spacing w:after="0"/>
              <w:rPr>
                <w:sz w:val="20"/>
                <w:szCs w:val="20"/>
                <w:color w:val="auto"/>
              </w:rPr>
            </w:pPr>
            <w:r>
              <w:rPr>
                <w:rFonts w:ascii="Times New Roman" w:cs="Times New Roman" w:eastAsia="Times New Roman" w:hAnsi="Times New Roman"/>
                <w:sz w:val="18"/>
                <w:szCs w:val="18"/>
                <w:color w:val="auto"/>
                <w:w w:val="97"/>
              </w:rPr>
              <w:t>October 9, 2020</w:t>
            </w:r>
          </w:p>
        </w:tc>
      </w:tr>
      <w:tr>
        <w:trPr>
          <w:trHeight w:val="223"/>
        </w:trPr>
        <w:tc>
          <w:tcPr>
            <w:tcW w:w="440" w:type="dxa"/>
            <w:vAlign w:val="bottom"/>
          </w:tcPr>
          <w:p>
            <w:pPr>
              <w:spacing w:after="0"/>
              <w:rPr>
                <w:sz w:val="19"/>
                <w:szCs w:val="19"/>
                <w:color w:val="auto"/>
              </w:rPr>
            </w:pPr>
          </w:p>
        </w:tc>
        <w:tc>
          <w:tcPr>
            <w:tcW w:w="3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7"/>
              </w:rPr>
              <w:t>Michael Sistenich</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51"/>
        </w:trPr>
        <w:tc>
          <w:tcPr>
            <w:tcW w:w="2200" w:type="dxa"/>
            <w:vAlign w:val="bottom"/>
            <w:tcBorders>
              <w:bottom w:val="single" w:sz="8" w:color="auto"/>
            </w:tcBorders>
            <w:gridSpan w:val="3"/>
          </w:tcPr>
          <w:p>
            <w:pPr>
              <w:jc w:val="center"/>
              <w:ind w:left="15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spacing w:after="0"/>
              <w:rPr>
                <w:sz w:val="24"/>
                <w:szCs w:val="24"/>
                <w:color w:val="auto"/>
              </w:rPr>
            </w:pPr>
          </w:p>
        </w:tc>
        <w:tc>
          <w:tcPr>
            <w:tcW w:w="4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3"/>
          </w:tcPr>
          <w:p>
            <w:pPr>
              <w:jc w:val="center"/>
              <w:ind w:left="915"/>
              <w:spacing w:after="0"/>
              <w:rPr>
                <w:sz w:val="20"/>
                <w:szCs w:val="20"/>
                <w:color w:val="auto"/>
              </w:rPr>
            </w:pPr>
            <w:r>
              <w:rPr>
                <w:rFonts w:ascii="Times New Roman" w:cs="Times New Roman" w:eastAsia="Times New Roman" w:hAnsi="Times New Roman"/>
                <w:sz w:val="18"/>
                <w:szCs w:val="18"/>
                <w:color w:val="auto"/>
                <w:w w:val="97"/>
              </w:rPr>
              <w:t>October 9, 2020</w:t>
            </w:r>
          </w:p>
        </w:tc>
      </w:tr>
      <w:tr>
        <w:trPr>
          <w:trHeight w:val="223"/>
        </w:trPr>
        <w:tc>
          <w:tcPr>
            <w:tcW w:w="440" w:type="dxa"/>
            <w:vAlign w:val="bottom"/>
          </w:tcPr>
          <w:p>
            <w:pPr>
              <w:spacing w:after="0"/>
              <w:rPr>
                <w:sz w:val="19"/>
                <w:szCs w:val="19"/>
                <w:color w:val="auto"/>
              </w:rPr>
            </w:pPr>
          </w:p>
        </w:tc>
        <w:tc>
          <w:tcPr>
            <w:tcW w:w="3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7"/>
              </w:rPr>
              <w:t>Daniel Spiegelman</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5"/>
        </w:trPr>
        <w:tc>
          <w:tcPr>
            <w:tcW w:w="3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Megan Baldwin</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4"/>
        </w:trPr>
        <w:tc>
          <w:tcPr>
            <w:tcW w:w="440" w:type="dxa"/>
            <w:vAlign w:val="bottom"/>
          </w:tcPr>
          <w:p>
            <w:pPr>
              <w:spacing w:after="0"/>
              <w:rPr>
                <w:sz w:val="16"/>
                <w:szCs w:val="16"/>
                <w:color w:val="auto"/>
              </w:rPr>
            </w:pPr>
          </w:p>
        </w:tc>
        <w:tc>
          <w:tcPr>
            <w:tcW w:w="3420" w:type="dxa"/>
            <w:vAlign w:val="bottom"/>
            <w:tcBorders>
              <w:top w:val="single" w:sz="8" w:color="auto"/>
            </w:tcBorders>
            <w:gridSpan w:val="3"/>
          </w:tcPr>
          <w:p>
            <w:pPr>
              <w:spacing w:after="0" w:line="195" w:lineRule="exact"/>
              <w:rPr>
                <w:sz w:val="20"/>
                <w:szCs w:val="20"/>
                <w:color w:val="auto"/>
              </w:rPr>
            </w:pPr>
            <w:r>
              <w:rPr>
                <w:rFonts w:ascii="Times New Roman" w:cs="Times New Roman" w:eastAsia="Times New Roman" w:hAnsi="Times New Roman"/>
                <w:sz w:val="18"/>
                <w:szCs w:val="18"/>
                <w:color w:val="auto"/>
              </w:rPr>
              <w:t>Megan Baldwin, Ph.D.</w:t>
            </w:r>
          </w:p>
        </w:tc>
        <w:tc>
          <w:tcPr>
            <w:tcW w:w="540" w:type="dxa"/>
            <w:vAlign w:val="bottom"/>
            <w:tcBorders>
              <w:top w:val="single" w:sz="8" w:color="auto"/>
            </w:tcBorders>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0"/>
        </w:trPr>
        <w:tc>
          <w:tcPr>
            <w:tcW w:w="440" w:type="dxa"/>
            <w:vAlign w:val="bottom"/>
          </w:tcPr>
          <w:p>
            <w:pPr>
              <w:spacing w:after="0"/>
              <w:rPr>
                <w:sz w:val="20"/>
                <w:szCs w:val="20"/>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Attorney-in-fact</w:t>
            </w: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78"/>
        </w:trPr>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II-5</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60"/>
          </w:cols>
          <w:pgMar w:left="320" w:top="455" w:right="61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160"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Opthea Limited, has signed this Amendment No. 1 to the Registration Statement on October 9, 2020.</w:t>
      </w:r>
    </w:p>
    <w:p>
      <w:pPr>
        <w:spacing w:after="0" w:line="106" w:lineRule="exact"/>
        <w:rPr>
          <w:sz w:val="20"/>
          <w:szCs w:val="20"/>
          <w:color w:val="auto"/>
        </w:rPr>
      </w:pPr>
    </w:p>
    <w:p>
      <w:pPr>
        <w:ind w:left="6740"/>
        <w:spacing w:after="0"/>
        <w:tabs>
          <w:tab w:leader="none" w:pos="7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003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380" w:val="left"/>
        </w:tabs>
        <w:rPr>
          <w:sz w:val="20"/>
          <w:szCs w:val="20"/>
          <w:color w:val="auto"/>
        </w:rPr>
      </w:pPr>
      <w:r>
        <w:rPr>
          <w:rFonts w:ascii="Times New Roman" w:cs="Times New Roman" w:eastAsia="Times New Roman" w:hAnsi="Times New Roman"/>
          <w:sz w:val="18"/>
          <w:szCs w:val="18"/>
          <w:color w:val="auto"/>
        </w:rPr>
        <w:t>Name:</w:t>
        <w:tab/>
        <w:t>Donald J. Puglisi</w:t>
      </w:r>
    </w:p>
    <w:p>
      <w:pPr>
        <w:spacing w:after="0" w:line="21" w:lineRule="exact"/>
        <w:rPr>
          <w:sz w:val="20"/>
          <w:szCs w:val="20"/>
          <w:color w:val="auto"/>
        </w:rPr>
      </w:pPr>
    </w:p>
    <w:p>
      <w:pPr>
        <w:ind w:left="674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14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840"/>
          </w:cols>
          <w:pgMar w:left="320" w:top="455" w:right="7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American Depositary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Ordinary Shares (no par value)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SVB Leerink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 California Street, 12th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20" w:firstLine="991"/>
        <w:spacing w:after="0" w:line="271" w:lineRule="auto"/>
        <w:rPr>
          <w:sz w:val="20"/>
          <w:szCs w:val="20"/>
          <w:color w:val="auto"/>
        </w:rPr>
      </w:pPr>
      <w:r>
        <w:rPr>
          <w:rFonts w:ascii="Times New Roman" w:cs="Times New Roman" w:eastAsia="Times New Roman" w:hAnsi="Times New Roman"/>
          <w:sz w:val="17"/>
          <w:szCs w:val="17"/>
          <w:color w:val="auto"/>
        </w:rPr>
        <w:t>Opthea Limited, a corporation incorporated under the laws of Australia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proposes to sell to the several underwriters (the “</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xml:space="preserve">”) named in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to this underwriting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for whom you (in such capacity, the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are acting as representatives, an aggregate of [●] American Depositary Shares (the “</w:t>
      </w:r>
      <w:r>
        <w:rPr>
          <w:rFonts w:ascii="Times New Roman" w:cs="Times New Roman" w:eastAsia="Times New Roman" w:hAnsi="Times New Roman"/>
          <w:sz w:val="17"/>
          <w:szCs w:val="17"/>
          <w:u w:val="single" w:color="auto"/>
          <w:color w:val="auto"/>
        </w:rPr>
        <w:t>ADSs</w:t>
      </w:r>
      <w:r>
        <w:rPr>
          <w:rFonts w:ascii="Times New Roman" w:cs="Times New Roman" w:eastAsia="Times New Roman" w:hAnsi="Times New Roman"/>
          <w:sz w:val="17"/>
          <w:szCs w:val="17"/>
          <w:color w:val="auto"/>
        </w:rPr>
        <w:t>”, and each an “</w:t>
      </w:r>
      <w:r>
        <w:rPr>
          <w:rFonts w:ascii="Times New Roman" w:cs="Times New Roman" w:eastAsia="Times New Roman" w:hAnsi="Times New Roman"/>
          <w:sz w:val="17"/>
          <w:szCs w:val="17"/>
          <w:u w:val="single" w:color="auto"/>
          <w:color w:val="auto"/>
        </w:rPr>
        <w:t>ADS</w:t>
      </w:r>
      <w:r>
        <w:rPr>
          <w:rFonts w:ascii="Times New Roman" w:cs="Times New Roman" w:eastAsia="Times New Roman" w:hAnsi="Times New Roman"/>
          <w:sz w:val="17"/>
          <w:szCs w:val="17"/>
          <w:color w:val="auto"/>
        </w:rPr>
        <w:t>”), each representing [●] ordinary shares, no par value, of the Company (“</w:t>
      </w:r>
      <w:r>
        <w:rPr>
          <w:rFonts w:ascii="Times New Roman" w:cs="Times New Roman" w:eastAsia="Times New Roman" w:hAnsi="Times New Roman"/>
          <w:sz w:val="17"/>
          <w:szCs w:val="17"/>
          <w:u w:val="single" w:color="auto"/>
          <w:color w:val="auto"/>
        </w:rPr>
        <w:t>Ordinary Shares</w:t>
      </w:r>
      <w:r>
        <w:rPr>
          <w:rFonts w:ascii="Times New Roman" w:cs="Times New Roman" w:eastAsia="Times New Roman" w:hAnsi="Times New Roman"/>
          <w:sz w:val="17"/>
          <w:szCs w:val="17"/>
          <w:color w:val="auto"/>
        </w:rPr>
        <w:t>”). The aggregate of [●] ADSs to be issued and sold by the Company are hereinafter collectively referred to as the “Underwritten ADSs.” In addition, the Company proposes to issue and sell, at the option of the Underwriters, up to an additional [●] ADSs, representing [●] additional Ordinary Shares (the “</w:t>
      </w:r>
      <w:r>
        <w:rPr>
          <w:rFonts w:ascii="Times New Roman" w:cs="Times New Roman" w:eastAsia="Times New Roman" w:hAnsi="Times New Roman"/>
          <w:sz w:val="17"/>
          <w:szCs w:val="17"/>
          <w:u w:val="single" w:color="auto"/>
          <w:color w:val="auto"/>
        </w:rPr>
        <w:t>Option ADSs</w:t>
      </w:r>
      <w:r>
        <w:rPr>
          <w:rFonts w:ascii="Times New Roman" w:cs="Times New Roman" w:eastAsia="Times New Roman" w:hAnsi="Times New Roman"/>
          <w:sz w:val="17"/>
          <w:szCs w:val="17"/>
          <w:color w:val="auto"/>
        </w:rPr>
        <w:t>”). The Underwritten ADSs and the Option ADSs are herein referred to as the “</w:t>
      </w:r>
      <w:r>
        <w:rPr>
          <w:rFonts w:ascii="Times New Roman" w:cs="Times New Roman" w:eastAsia="Times New Roman" w:hAnsi="Times New Roman"/>
          <w:sz w:val="17"/>
          <w:szCs w:val="17"/>
          <w:u w:val="single" w:color="auto"/>
          <w:color w:val="auto"/>
        </w:rPr>
        <w:t>Offered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ADSs</w:t>
      </w:r>
      <w:r>
        <w:rPr>
          <w:rFonts w:ascii="Times New Roman" w:cs="Times New Roman" w:eastAsia="Times New Roman" w:hAnsi="Times New Roman"/>
          <w:sz w:val="17"/>
          <w:szCs w:val="17"/>
          <w:color w:val="auto"/>
        </w:rPr>
        <w:t>.” The Ordinary Shares represented by the Underwritten ADSs are hereinafter referred to as the “</w:t>
      </w:r>
      <w:r>
        <w:rPr>
          <w:rFonts w:ascii="Times New Roman" w:cs="Times New Roman" w:eastAsia="Times New Roman" w:hAnsi="Times New Roman"/>
          <w:sz w:val="17"/>
          <w:szCs w:val="17"/>
          <w:u w:val="single" w:color="auto"/>
          <w:color w:val="auto"/>
        </w:rPr>
        <w:t>Underwritten Securities</w:t>
      </w:r>
      <w:r>
        <w:rPr>
          <w:rFonts w:ascii="Times New Roman" w:cs="Times New Roman" w:eastAsia="Times New Roman" w:hAnsi="Times New Roman"/>
          <w:sz w:val="17"/>
          <w:szCs w:val="17"/>
          <w:color w:val="auto"/>
        </w:rPr>
        <w:t>,” the Ordinary Shares represented by the Option ADSs are hereinafter referred to as the “</w:t>
      </w:r>
      <w:r>
        <w:rPr>
          <w:rFonts w:ascii="Times New Roman" w:cs="Times New Roman" w:eastAsia="Times New Roman" w:hAnsi="Times New Roman"/>
          <w:sz w:val="17"/>
          <w:szCs w:val="17"/>
          <w:u w:val="single" w:color="auto"/>
          <w:color w:val="auto"/>
        </w:rPr>
        <w:t>Option Securities</w:t>
      </w:r>
      <w:r>
        <w:rPr>
          <w:rFonts w:ascii="Times New Roman" w:cs="Times New Roman" w:eastAsia="Times New Roman" w:hAnsi="Times New Roman"/>
          <w:sz w:val="17"/>
          <w:szCs w:val="17"/>
          <w:color w:val="auto"/>
        </w:rPr>
        <w:t>”, and the Underwritten Securities and the Option Securities are hereinafter referred to as the “</w:t>
      </w:r>
      <w:r>
        <w:rPr>
          <w:rFonts w:ascii="Times New Roman" w:cs="Times New Roman" w:eastAsia="Times New Roman" w:hAnsi="Times New Roman"/>
          <w:sz w:val="17"/>
          <w:szCs w:val="17"/>
          <w:u w:val="single" w:color="auto"/>
          <w:color w:val="auto"/>
        </w:rPr>
        <w:t>Underlying Securities</w:t>
      </w:r>
      <w:r>
        <w:rPr>
          <w:rFonts w:ascii="Times New Roman" w:cs="Times New Roman" w:eastAsia="Times New Roman" w:hAnsi="Times New Roman"/>
          <w:sz w:val="17"/>
          <w:szCs w:val="17"/>
          <w:color w:val="auto"/>
        </w:rPr>
        <w:t>.” The Offered ADSs and the Underlying Securities are herein called, collectively,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The Representatives have also advised the Company that the Underwriters may elect to cause the Company to deposit on their behalf all or any portion of the Underlying Securities to be purchased by them hereunder pursuant to the Deposit Agreement, dated as of [●], 2020 (the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be entered into among the Company, The Bank of New York Mellon,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from time to time of the ADSs. Upon deposit of any Ordinary Shares, the Depositary will issue ADSs representing the Ordinary Shares so deposited. The ADSs will be evidenced by American Depositary Receipts (the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The Offered ADSs will represent Ordinary Shares and each ADR may represent any number of ADSs.</w:t>
      </w:r>
    </w:p>
    <w:p>
      <w:pPr>
        <w:sectPr>
          <w:pgSz w:w="11900" w:h="16838" w:orient="portrait"/>
          <w:cols w:equalWidth="0" w:num="1">
            <w:col w:w="11020"/>
          </w:cols>
          <w:pgMar w:left="440" w:top="117" w:right="439" w:bottom="1440" w:gutter="0" w:footer="0" w:header="0"/>
        </w:sectPr>
      </w:pPr>
    </w:p>
    <w:bookmarkStart w:id="257" w:name="page258"/>
    <w:bookmarkEnd w:id="257"/>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there are no additional Underwriters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other than you, the term Representatives as used in this Agreement shall mean you, as Underwriters, and the terms Representatives and Underwriters shall mean either the singular or plural as the context requires. The use of the neuter in this Agreement shall include the feminine and masculine wherever appropriate.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Agreement,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means the registration statement referred to in </w:t>
      </w:r>
      <w:r>
        <w:rPr>
          <w:rFonts w:ascii="Times New Roman" w:cs="Times New Roman" w:eastAsia="Times New Roman" w:hAnsi="Times New Roman"/>
          <w:sz w:val="18"/>
          <w:szCs w:val="18"/>
          <w:u w:val="single" w:color="auto"/>
          <w:color w:val="auto"/>
        </w:rPr>
        <w:t>Section 1(i)(a)</w:t>
      </w:r>
      <w:r>
        <w:rPr>
          <w:rFonts w:ascii="Times New Roman" w:cs="Times New Roman" w:eastAsia="Times New Roman" w:hAnsi="Times New Roman"/>
          <w:sz w:val="18"/>
          <w:szCs w:val="18"/>
          <w:color w:val="auto"/>
        </w:rPr>
        <w:t xml:space="preserve"> hereof,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schedules and financial statements and any prospectus relating to the Securities that is filed with the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Rule 424(b) under the Securities Act of 1933, as amended, and the rules and regulations promulgated thereunder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deemed part of such registration statement pursuant to Rule 430A under the Securities Act (“</w:t>
      </w:r>
      <w:r>
        <w:rPr>
          <w:rFonts w:ascii="Times New Roman" w:cs="Times New Roman" w:eastAsia="Times New Roman" w:hAnsi="Times New Roman"/>
          <w:sz w:val="18"/>
          <w:szCs w:val="18"/>
          <w:u w:val="single" w:color="auto"/>
          <w:color w:val="auto"/>
        </w:rPr>
        <w:t>Rule 430A</w:t>
      </w:r>
      <w:r>
        <w:rPr>
          <w:rFonts w:ascii="Times New Roman" w:cs="Times New Roman" w:eastAsia="Times New Roman" w:hAnsi="Times New Roman"/>
          <w:sz w:val="18"/>
          <w:szCs w:val="18"/>
          <w:color w:val="auto"/>
        </w:rPr>
        <w:t>”), as amended at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time that this Agreement is executed and delivered by the parties hereto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and, in the event any post-effective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or any registration statement and any amendments thereto filed pursuant to Rule 462(b) under the Securities Act (a “</w:t>
      </w:r>
      <w:r>
        <w:rPr>
          <w:rFonts w:ascii="Times New Roman" w:cs="Times New Roman" w:eastAsia="Times New Roman" w:hAnsi="Times New Roman"/>
          <w:sz w:val="18"/>
          <w:szCs w:val="18"/>
          <w:u w:val="single" w:color="auto"/>
          <w:color w:val="auto"/>
        </w:rPr>
        <w:t>Rule 462(b)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becomes effective prior to the Closing Date (as defined in Section 3 hereof), shall also mean such registration statement as so amended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Rule 462(b) Registration Statement, as the case may be;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each date and time that the Registration Statement, any post-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amendment or amendments thereto or any Rule 462(b) Registration Statement became or becomes effective; the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any preliminary prospectus with respect to the offering of the Securities included in the Registration Statement at the Effective Date that omits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the Securities and the offering thereof permitted to be omitted from the Registration Statement when it becomes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430A; and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relating to the Securities that is first filed pursuant to Rule 424(b)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after the Execution Time.</w:t>
      </w:r>
    </w:p>
    <w:p>
      <w:pPr>
        <w:spacing w:after="0" w:line="207" w:lineRule="exact"/>
        <w:rPr>
          <w:sz w:val="20"/>
          <w:szCs w:val="20"/>
          <w:color w:val="auto"/>
        </w:rPr>
      </w:pPr>
    </w:p>
    <w:p>
      <w:pPr>
        <w:ind w:right="280" w:firstLine="991"/>
        <w:spacing w:after="0" w:line="258" w:lineRule="auto"/>
        <w:rPr>
          <w:sz w:val="20"/>
          <w:szCs w:val="20"/>
          <w:color w:val="auto"/>
        </w:rPr>
      </w:pPr>
      <w:r>
        <w:rPr>
          <w:rFonts w:ascii="Times New Roman" w:cs="Times New Roman" w:eastAsia="Times New Roman" w:hAnsi="Times New Roman"/>
          <w:sz w:val="18"/>
          <w:szCs w:val="18"/>
          <w:color w:val="auto"/>
        </w:rPr>
        <w:t>As used in this Agreement, the “</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shall mean (i) the Preliminary Prospectus dated October [●], 2020, as generally distributed to investors and used to offer the Securities, (ii) any issuer free writing prospectus, as defined in Rule 433 under the Securities Act (“</w:t>
      </w:r>
      <w:r>
        <w:rPr>
          <w:rFonts w:ascii="Times New Roman" w:cs="Times New Roman" w:eastAsia="Times New Roman" w:hAnsi="Times New Roman"/>
          <w:sz w:val="18"/>
          <w:szCs w:val="18"/>
          <w:u w:val="single" w:color="auto"/>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433</w:t>
      </w:r>
      <w:r>
        <w:rPr>
          <w:rFonts w:ascii="Times New Roman" w:cs="Times New Roman" w:eastAsia="Times New Roman" w:hAnsi="Times New Roman"/>
          <w:sz w:val="18"/>
          <w:szCs w:val="18"/>
          <w:color w:val="auto"/>
        </w:rPr>
        <w:t>” and, any such issuer free writing prospectus, 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identified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(iii) any other free writing prospectus, as defined in Rule 405 under the Securities Act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and, any such free writing prospectus,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that the parties hereto shall hereafter expressly agree in writing to treat as part of the Disclosure Package.</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As used in this Agreement, a person is “</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when: (i) it is (or states it is) an insolvent under administration or insolvent (each as defined in the Corporations Act 2001 (Cth) (“</w:t>
      </w:r>
      <w:r>
        <w:rPr>
          <w:rFonts w:ascii="Times New Roman" w:cs="Times New Roman" w:eastAsia="Times New Roman" w:hAnsi="Times New Roman"/>
          <w:sz w:val="18"/>
          <w:szCs w:val="18"/>
          <w:u w:val="single" w:color="auto"/>
          <w:color w:val="auto"/>
        </w:rPr>
        <w:t>Corporations Act</w:t>
      </w:r>
      <w:r>
        <w:rPr>
          <w:rFonts w:ascii="Times New Roman" w:cs="Times New Roman" w:eastAsia="Times New Roman" w:hAnsi="Times New Roman"/>
          <w:sz w:val="18"/>
          <w:szCs w:val="18"/>
          <w:color w:val="auto"/>
        </w:rPr>
        <w:t>”)); (ii) it is in liquidation, in provisional liquidation, under administration or wound up or it has had a controller appointed to its property; or it is subject to any arrangement, assignment, moratorium or composition, protected from creditors under any statute or dissolved (in each case, other than to carry out a reconstruction or amalgamation while solvent on terms approved by the other parties to this Agreement); (iii) an application or order has been made (and in the case of an application, it is not stayed, withdrawn or dismissed within 30 days), resolution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58" w:name="page259"/>
    <w:bookmarkEnd w:id="25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passed, proposal put forward, or any other action taken, in each case in connection with that person, which is preparatory to or could result in any of (i),</w:t>
      </w:r>
    </w:p>
    <w:p>
      <w:pPr>
        <w:spacing w:after="0" w:line="27" w:lineRule="exact"/>
        <w:rPr>
          <w:sz w:val="20"/>
          <w:szCs w:val="20"/>
          <w:color w:val="auto"/>
        </w:rPr>
      </w:pPr>
    </w:p>
    <w:p>
      <w:pPr>
        <w:jc w:val="both"/>
        <w:ind w:left="4" w:right="80" w:hanging="4"/>
        <w:spacing w:after="0" w:line="253" w:lineRule="auto"/>
        <w:tabs>
          <w:tab w:leader="none" w:pos="26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above occurring; (iv) it is taken (under section 459F(1) of the Corporations Act) to have failed to comply with a statutory demand; (v) or it is the subject of an event described in section 459C(2)(b) or section 585 of the Corporations Act (or it makes a statement from which another party to this Agreement reasonably deduces it is so subject) (vi) it is otherwise unable to pay its debts when they fall due; or (vii) something having a substantially similar effect to (i) to (vi) happens in connection with that person under the law of any jurisdiction.</w:t>
      </w:r>
    </w:p>
    <w:p>
      <w:pPr>
        <w:spacing w:after="0" w:line="189"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shall mean the Company and its Related Bodies Corporate (as defined below), and “</w:t>
      </w:r>
      <w:r>
        <w:rPr>
          <w:rFonts w:ascii="Times New Roman" w:cs="Times New Roman" w:eastAsia="Times New Roman" w:hAnsi="Times New Roman"/>
          <w:sz w:val="18"/>
          <w:szCs w:val="18"/>
          <w:u w:val="single" w:color="auto"/>
          <w:color w:val="auto"/>
        </w:rPr>
        <w:t>Group Member</w:t>
      </w:r>
      <w:r>
        <w:rPr>
          <w:rFonts w:ascii="Times New Roman" w:cs="Times New Roman" w:eastAsia="Times New Roman" w:hAnsi="Times New Roman"/>
          <w:sz w:val="18"/>
          <w:szCs w:val="18"/>
          <w:color w:val="auto"/>
        </w:rPr>
        <w:t>” means any one or more of them.</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Related Bodies Corporate</w:t>
      </w:r>
      <w:r>
        <w:rPr>
          <w:rFonts w:ascii="Times New Roman" w:cs="Times New Roman" w:eastAsia="Times New Roman" w:hAnsi="Times New Roman"/>
          <w:sz w:val="18"/>
          <w:szCs w:val="18"/>
          <w:color w:val="auto"/>
        </w:rPr>
        <w:t>” has the meaning set out in section 50 of the Corporations Act.</w:t>
      </w:r>
    </w:p>
    <w:p>
      <w:pPr>
        <w:spacing w:after="0" w:line="117" w:lineRule="exact"/>
        <w:rPr>
          <w:sz w:val="20"/>
          <w:szCs w:val="20"/>
          <w:color w:val="auto"/>
        </w:rPr>
      </w:pPr>
    </w:p>
    <w:p>
      <w:pPr>
        <w:ind w:left="1164" w:hanging="173"/>
        <w:spacing w:after="0"/>
        <w:tabs>
          <w:tab w:leader="none" w:pos="116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4" w:hanging="213"/>
        <w:spacing w:after="0"/>
        <w:tabs>
          <w:tab w:leader="none" w:pos="120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represents and warrants to, and agrees with, each Underwriter as set forth below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00" w:firstLine="419"/>
        <w:spacing w:after="0" w:line="253" w:lineRule="auto"/>
        <w:tabs>
          <w:tab w:leader="none" w:pos="111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prepared and filed with the SEC a registration statement (file number 333-249020) on Form F-1, including the Preliminary Prospectus, for the registration of the offering and sale of the Securities under the Securities Act. Such Registration Statement, including any amendments thereto filed prior to the Execution Time, has become effective. The Company may have filed one or more amendments thereto, including the Preliminary Prospectus, each of which has previously been furnished to you. The Company will file with the SEC the Prospectus relating to the Securities in accordance with Rule 424(b) after the Execution Time. As filed, the Prospectus shall contain all information with respect to the Underlying Securities and the offering thereof in the form of ADSs required by the Securities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86" w:lineRule="exact"/>
        <w:rPr>
          <w:rFonts w:ascii="Times New Roman" w:cs="Times New Roman" w:eastAsia="Times New Roman" w:hAnsi="Times New Roman"/>
          <w:sz w:val="18"/>
          <w:szCs w:val="18"/>
          <w:color w:val="auto"/>
        </w:rPr>
      </w:pPr>
    </w:p>
    <w:p>
      <w:pPr>
        <w:ind w:left="444" w:firstLine="419"/>
        <w:spacing w:after="0" w:line="255" w:lineRule="auto"/>
        <w:tabs>
          <w:tab w:leader="none" w:pos="112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the Registration Statement did, and when the Prospectus is first filed in accordance with Rule 424(b) and on the Closing Date (as defined in this Agreement) and on any date on which Option Securities are purchased, if such date is not the Closing Date (each such date,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the Prospectus (and any supplements thereto) will comply in all material respects with the applicable requirements of the Securities Act and the rules thereunder; on the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59" w:name="page260"/>
    <w:bookmarkEnd w:id="25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makes no representations or warranties as to the information contained in or omitted from the Registration Statement, the Preliminary Prospectus or the Prospectus (or any supplement thereto) in reliance upon and in conformity with information furnished in writing to the Company by or on behalf of any Underwriter through the Representatives specifically for inclusion in the Registration Statement, the Preliminary Prospectus or the Prospectus (or any supplement thereto), it being understood and agreed that the only such information furnished by or on behalf of any Underwriter consists of the information described as such in Section 8 hereof.</w:t>
      </w:r>
    </w:p>
    <w:p>
      <w:pPr>
        <w:spacing w:after="0" w:line="81" w:lineRule="exact"/>
        <w:rPr>
          <w:sz w:val="20"/>
          <w:szCs w:val="20"/>
          <w:color w:val="auto"/>
        </w:rPr>
      </w:pPr>
    </w:p>
    <w:p>
      <w:pPr>
        <w:ind w:right="140" w:firstLine="419"/>
        <w:spacing w:after="0" w:line="256" w:lineRule="auto"/>
        <w:tabs>
          <w:tab w:leader="none" w:pos="66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with the SEC a registration statement (file number 333-249327) on Form F-6 for the registration under the Securities Act of the offering and sale of the Offered ADSs (“</w:t>
      </w:r>
      <w:r>
        <w:rPr>
          <w:rFonts w:ascii="Times New Roman" w:cs="Times New Roman" w:eastAsia="Times New Roman" w:hAnsi="Times New Roman"/>
          <w:sz w:val="18"/>
          <w:szCs w:val="18"/>
          <w:u w:val="single" w:color="auto"/>
          <w:color w:val="auto"/>
        </w:rPr>
        <w:t>ADS Registration Statement</w:t>
      </w:r>
      <w:r>
        <w:rPr>
          <w:rFonts w:ascii="Times New Roman" w:cs="Times New Roman" w:eastAsia="Times New Roman" w:hAnsi="Times New Roman"/>
          <w:sz w:val="18"/>
          <w:szCs w:val="18"/>
          <w:color w:val="auto"/>
        </w:rPr>
        <w:t>”). The Company may have filed one or more amendments thereto, each of which has previously been furnished to you. Such ADS Registration Statement at the time of its effectiveness did comply and on the Closing Date, will comply, in all material respects with the applicable requirements of the Securities Act and the rules thereunder and at the time of its Effective Date and at the Execution Time, did not contain any untrue statement of a material fact or omit to state any material fact required to be stated therein or necessary in order to make the statements therein not misleading.</w:t>
      </w:r>
    </w:p>
    <w:p>
      <w:pPr>
        <w:spacing w:after="0" w:line="79" w:lineRule="exact"/>
        <w:rPr>
          <w:rFonts w:ascii="Times New Roman" w:cs="Times New Roman" w:eastAsia="Times New Roman" w:hAnsi="Times New Roman"/>
          <w:sz w:val="18"/>
          <w:szCs w:val="18"/>
          <w:color w:val="auto"/>
        </w:rPr>
      </w:pPr>
    </w:p>
    <w:p>
      <w:pPr>
        <w:ind w:right="80" w:firstLine="419"/>
        <w:spacing w:after="0" w:line="258"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by the Depositary of ADSs evidenced by ADRs against deposit of Underlying Securities in accordance with the provisions of the Deposit Agreement, such ADRs will be duly and validly issued and persons in whose names the ADRs are registered will be entitled to the rights specified in the ADRs and in the Deposit Agreement; and upon the sale and delivery to the Underwriters of the Securities, and payment therefor, pursuant to this Agreement, the Underwriters will acquire good, marketable and valid title to such Securities, free and clear of all pledges, liens, security interests, charges, claims or encumbrances of any kind.</w:t>
      </w:r>
    </w:p>
    <w:p>
      <w:pPr>
        <w:spacing w:after="0" w:line="75" w:lineRule="exact"/>
        <w:rPr>
          <w:rFonts w:ascii="Times New Roman" w:cs="Times New Roman" w:eastAsia="Times New Roman" w:hAnsi="Times New Roman"/>
          <w:sz w:val="18"/>
          <w:szCs w:val="18"/>
          <w:color w:val="auto"/>
        </w:rPr>
      </w:pPr>
    </w:p>
    <w:p>
      <w:pPr>
        <w:ind w:right="200" w:firstLine="419"/>
        <w:spacing w:after="0" w:line="254" w:lineRule="auto"/>
        <w:tabs>
          <w:tab w:leader="none" w:pos="66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(i) no Underwriter is resident in Australia for tax purposes and (ii) each Underwriter is a resident of a jurisdiction for the purposes of a double tax treaty between Australia and the jurisdiction, is entitled to the benefits of the treaty and does not, and is not deemed to, carry on business through a permanent establishment in Australia, no stamp, registration, issuance, transfer taxes or other similar taxes, duties, fees or charges (“Transfer Taxes”) are payable by or on behalf of the Underwriters in connection with (A) the issuance of the Underlying Securities and the delivery of the Offered ADSs in the manner contemplated by this Agreement, (B) the deposit with the Depositary of the Underlying Securities against issuance of the Offered ADSs or (C) the sale and delivery by the Underwriters of the Underlying Securities or the Offered ADSs, as the case may be, as contemplated herein. For the avoidance of doubt, income taxes, withholding taxes, capital gains taxes and taxes on dividends shall not be considered “Transfer Taxes.”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260" w:name="page261"/>
    <w:bookmarkEnd w:id="260"/>
    <w:p>
      <w:pPr>
        <w:ind w:firstLine="419"/>
        <w:spacing w:after="0" w:line="261" w:lineRule="auto"/>
        <w:tabs>
          <w:tab w:leader="none" w:pos="64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described in each of the Disclosure Package and the Prospectus, all dividends and other distributions declared and payable on the Ordinary Shares may under current Australian law and regulations be paid to the Depositary and to the holders of Ordinary Shares or ADSs, as the case may be, in Australian dollars and may be converted into foreign currency that may be transferred out of Australia in accordance with the Deposit Agreement.</w:t>
      </w:r>
    </w:p>
    <w:p>
      <w:pPr>
        <w:spacing w:after="0" w:line="71" w:lineRule="exact"/>
        <w:rPr>
          <w:rFonts w:ascii="Times New Roman" w:cs="Times New Roman" w:eastAsia="Times New Roman" w:hAnsi="Times New Roman"/>
          <w:sz w:val="18"/>
          <w:szCs w:val="18"/>
          <w:color w:val="auto"/>
        </w:rPr>
      </w:pPr>
    </w:p>
    <w:p>
      <w:pPr>
        <w:ind w:right="140" w:firstLine="419"/>
        <w:spacing w:after="0" w:line="261" w:lineRule="auto"/>
        <w:tabs>
          <w:tab w:leader="none" w:pos="6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current and anticipated value of its assets and the nature and composition of its income and assets, and subject to the qualifications set forth in the Registration Statement, the General Disclosure Package and the Prospectus, the Company does not expect to be a “passive foreign investment company” within the meaning of Section 1297 of the United States Internal Revenue Code of 1986, as amended, for the taxable year ending June 30, 2020.</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40" w:firstLine="419"/>
        <w:spacing w:after="0" w:line="253" w:lineRule="auto"/>
        <w:tabs>
          <w:tab w:leader="none" w:pos="63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Disclosure Package and the price to the public, the number of Underwritten Securities and the number of Option Securities to be included on the cover page of the Prospectus, when taken together as a whole, (ii) each electronic road show, when taken together as a whole with the Disclosure Package and the price to the public, the number of Underwritten Securities and the number of Option Securities to be included on the cover page of the Prospectus, and (iii) any individual Written Testing-the-Waters Communication (as defined below), when taken together as a whole with the Disclosure Package and the price to the public, the number of Underwritten Securities and the number of Option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 it being understood and agreed that the only such information furnished by or on behalf of any Underwriter consists of the information described as such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w:t>
      </w:r>
    </w:p>
    <w:p>
      <w:pPr>
        <w:spacing w:after="0" w:line="81" w:lineRule="exact"/>
        <w:rPr>
          <w:rFonts w:ascii="Times New Roman" w:cs="Times New Roman" w:eastAsia="Times New Roman" w:hAnsi="Times New Roman"/>
          <w:sz w:val="18"/>
          <w:szCs w:val="18"/>
          <w:color w:val="auto"/>
        </w:rPr>
      </w:pPr>
    </w:p>
    <w:p>
      <w:pPr>
        <w:ind w:right="80" w:firstLine="419"/>
        <w:spacing w:after="0" w:line="266" w:lineRule="auto"/>
        <w:tabs>
          <w:tab w:leader="none" w:pos="63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SEC pursuant to Rule 405 that it is not necessary that the Company be considered an Ineligible Issuer.</w:t>
      </w:r>
    </w:p>
    <w:p>
      <w:pPr>
        <w:spacing w:after="0" w:line="67"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Registration Statement to the SEC (or, if earlier, the first date on which the Company engaged directly or through any person authorized to act on its behalf in any Testing-the-Waters Communication) through the Execution Time, the Company has been and is an “emerging growth company,” as defined in Section 2(a) of the Securities Act (an “</w:t>
      </w:r>
      <w:r>
        <w:rPr>
          <w:rFonts w:ascii="Times New Roman" w:cs="Times New Roman" w:eastAsia="Times New Roman" w:hAnsi="Times New Roman"/>
          <w:sz w:val="18"/>
          <w:szCs w:val="18"/>
          <w:u w:val="single" w:color="auto"/>
          <w:color w:val="auto"/>
        </w:rPr>
        <w:t>Emerging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261" w:name="page262"/>
    <w:bookmarkEnd w:id="261"/>
    <w:p>
      <w:pPr>
        <w:ind w:right="60" w:firstLine="419"/>
        <w:spacing w:after="0" w:line="256" w:lineRule="auto"/>
        <w:tabs>
          <w:tab w:leader="none" w:pos="63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w:t>
      </w:r>
    </w:p>
    <w:p>
      <w:pPr>
        <w:spacing w:after="0" w:line="79" w:lineRule="exact"/>
        <w:rPr>
          <w:rFonts w:ascii="Times New Roman" w:cs="Times New Roman" w:eastAsia="Times New Roman" w:hAnsi="Times New Roman"/>
          <w:sz w:val="18"/>
          <w:szCs w:val="18"/>
          <w:color w:val="auto"/>
        </w:rPr>
      </w:pPr>
    </w:p>
    <w:p>
      <w:pPr>
        <w:ind w:firstLine="419"/>
        <w:spacing w:after="0" w:line="258" w:lineRule="auto"/>
        <w:tabs>
          <w:tab w:leader="none" w:pos="72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 it being understood and agreed that the only such information furnished by or on behalf of any Underwriter consists of the information described as such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140" w:firstLine="419"/>
        <w:spacing w:after="0" w:line="258" w:lineRule="auto"/>
        <w:tabs>
          <w:tab w:leader="none" w:pos="67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been duly incorporated and is validly existing as a corporation in good standing under the laws of the jurisdiction in which it is incorporated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except in each case where such failure would not reasonably be expected to have a Material Adverse Effect (as defined below).</w:t>
      </w:r>
    </w:p>
    <w:p>
      <w:pPr>
        <w:spacing w:after="0" w:line="75" w:lineRule="exact"/>
        <w:rPr>
          <w:rFonts w:ascii="Times New Roman" w:cs="Times New Roman" w:eastAsia="Times New Roman" w:hAnsi="Times New Roman"/>
          <w:sz w:val="18"/>
          <w:szCs w:val="18"/>
          <w:color w:val="auto"/>
        </w:rPr>
      </w:pPr>
    </w:p>
    <w:p>
      <w:pPr>
        <w:jc w:val="both"/>
        <w:ind w:right="80" w:firstLine="419"/>
        <w:spacing w:after="0" w:line="266" w:lineRule="auto"/>
        <w:tabs>
          <w:tab w:leader="none" w:pos="67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outstanding share capital of each subsidiary has been duly and validly issued and is fully paid, and, except as otherwise set forth in the Disclosure Package and the Prospectus, all outstanding share capital of the subsidiaries is owned by the Company either directly or through wholly owned subsidiaries free and clear of any perfected security interest or any other security interests, claims, liens or encumbrances.</w:t>
      </w:r>
    </w:p>
    <w:p>
      <w:pPr>
        <w:spacing w:after="0" w:line="67" w:lineRule="exact"/>
        <w:rPr>
          <w:rFonts w:ascii="Times New Roman" w:cs="Times New Roman" w:eastAsia="Times New Roman" w:hAnsi="Times New Roman"/>
          <w:sz w:val="18"/>
          <w:szCs w:val="18"/>
          <w:color w:val="auto"/>
        </w:rPr>
      </w:pPr>
    </w:p>
    <w:p>
      <w:pPr>
        <w:ind w:right="140" w:firstLine="419"/>
        <w:spacing w:after="0" w:line="266" w:lineRule="auto"/>
        <w:tabs>
          <w:tab w:leader="none" w:pos="67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franchise, contract or other document of a character required to be described in the Registration Statement, Preliminary Prospectus or Prospectus, or to be filed as an exhibit thereto, which is not described or filed as required (and the Preliminary Prospectus contains in all material respects the same description of the foregoing matters contained in the Prospectus).</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4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full legal capacity and power to enter into this Agreement and the Deposit Agreement, and each of this Agreement and the Deposit Agreement has been duly authorized, executed and delivered by the Company.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262" w:name="page263"/>
    <w:bookmarkEnd w:id="262"/>
    <w:p>
      <w:pPr>
        <w:ind w:firstLine="419"/>
        <w:spacing w:after="0" w:line="266" w:lineRule="auto"/>
        <w:tabs>
          <w:tab w:leader="none" w:pos="65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is not and, after giving effect to the offering and sale of the Securities and the application of the proceeds thereof as described in the Registration Statement, Disclosure Package and the Prospectus, will not be an “investment company” as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right="100" w:firstLine="419"/>
        <w:spacing w:after="0" w:line="256" w:lineRule="auto"/>
        <w:tabs>
          <w:tab w:leader="none" w:pos="63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or in the Deposit Agreement, except such as have been obtained under the Securities Act and the listing rules of the Australian Securities Exchange and such as may be required under the listing rules of the Nasdaq Stock Market, applicable rules of the Financial Industry Regulatory Authority, Inc. and under the applicable state and foreign securities laws of any jurisdiction in connection with the purchase and distribution of the Securities by the Underwriters in the manner contemplated herein and in the Disclosure Package and the Prospectus.</w:t>
      </w:r>
    </w:p>
    <w:p>
      <w:pPr>
        <w:spacing w:after="0" w:line="79" w:lineRule="exact"/>
        <w:rPr>
          <w:rFonts w:ascii="Times New Roman" w:cs="Times New Roman" w:eastAsia="Times New Roman" w:hAnsi="Times New Roman"/>
          <w:sz w:val="18"/>
          <w:szCs w:val="18"/>
          <w:color w:val="auto"/>
        </w:rPr>
      </w:pPr>
    </w:p>
    <w:p>
      <w:pPr>
        <w:ind w:right="20" w:firstLine="419"/>
        <w:spacing w:after="0" w:line="253" w:lineRule="auto"/>
        <w:tabs>
          <w:tab w:leader="none" w:pos="67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 and sale of the Securities nor the consummation of any other of the transactions herein contemplated nor the fulfillment of the terms hereof or of the Deposit Agreement will conflict with, result in a breach or violation of, or imposition of any lien, charge or encumbrance upon any property or assets of the Company or any of its subsidiaries pursuant to, (i) the constitution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 (ii) and (iii) above, for any such conflict, breach, violation, default, lien, charge or encumbrance that would not, individually or in the aggregate, reasonably be expected to have a Material Adverse Effect (as defined below).</w:t>
      </w:r>
    </w:p>
    <w:p>
      <w:pPr>
        <w:spacing w:after="0" w:line="86"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holders of securities of the Company have rights to the registration of such securities under the Registration Statement or the issuance of the Securities.</w:t>
      </w:r>
    </w:p>
    <w:p>
      <w:pPr>
        <w:spacing w:after="0" w:line="53" w:lineRule="exact"/>
        <w:rPr>
          <w:rFonts w:ascii="Times New Roman" w:cs="Times New Roman" w:eastAsia="Times New Roman" w:hAnsi="Times New Roman"/>
          <w:sz w:val="18"/>
          <w:szCs w:val="18"/>
          <w:color w:val="auto"/>
        </w:rPr>
      </w:pPr>
    </w:p>
    <w:p>
      <w:pPr>
        <w:ind w:right="220" w:firstLine="419"/>
        <w:spacing w:after="0" w:line="254" w:lineRule="auto"/>
        <w:tabs>
          <w:tab w:leader="none" w:pos="71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historical financial statements and schedules of the Company and its consolidated subsidiaries included in the Preliminary Prospectus, the Prospectus and the Registration Statement present fairly in all material respects the financial condition, results of operations and cash flows of the Company and its consolidated subsidiary as of the dates and for the periods indicated, comply as to form in all material respects with the applicable accounting requirements of the Securities Act and have been prepared in conformity with International Financial Reporting Standards as issued by the International Accounting Standards Board (“IFRS”) applied on a consistent basis throughout the periods involved (except as otherwise noted therein). The selected financial data set forth under the caption “Selected Consolidated Financial Data” in the Registration Statement, Preliminary Prospectus and the Prospectus fairly present in all material respects, on the basis stated in the Preliminary Prospectus, the Prospectus and the Registration Statement, the information included therein.</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263" w:name="page264"/>
    <w:bookmarkEnd w:id="263"/>
    <w:p>
      <w:pPr>
        <w:jc w:val="both"/>
        <w:ind w:left="4" w:right="80" w:firstLine="419"/>
        <w:spacing w:after="0" w:line="272" w:lineRule="auto"/>
        <w:tabs>
          <w:tab w:leader="none" w:pos="681"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action, suit or proceeding by or before any court or governmental agency, authority or body or any arbitrator involving the Company or any of its subsidiaries or its or their property is pending or, to the knowledge of the Company, threatened that (i) would reasonably be expected to have a material adverse effect on the performance of this Agreement or the consummation of any of the transactions contemplated hereby or</w:t>
      </w:r>
    </w:p>
    <w:p>
      <w:pPr>
        <w:spacing w:after="0" w:line="1" w:lineRule="exact"/>
        <w:rPr>
          <w:rFonts w:ascii="Times New Roman" w:cs="Times New Roman" w:eastAsia="Times New Roman" w:hAnsi="Times New Roman"/>
          <w:sz w:val="17"/>
          <w:szCs w:val="17"/>
          <w:color w:val="auto"/>
        </w:rPr>
      </w:pPr>
    </w:p>
    <w:p>
      <w:pPr>
        <w:ind w:left="4" w:right="40" w:hanging="4"/>
        <w:spacing w:after="0" w:line="253" w:lineRule="auto"/>
        <w:tabs>
          <w:tab w:leader="none" w:pos="26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have a material adverse effect on the condition (financial or otherwise), prospects, earnings, business or properties of the Company and its subsidiaries, individually or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except as set forth in or contemplated in the Disclosure Package and the Prospectus (exclusive of any amendment or supplement thereto).</w:t>
      </w:r>
    </w:p>
    <w:p>
      <w:pPr>
        <w:spacing w:after="0" w:line="80" w:lineRule="exact"/>
        <w:rPr>
          <w:rFonts w:ascii="Times New Roman" w:cs="Times New Roman" w:eastAsia="Times New Roman" w:hAnsi="Times New Roman"/>
          <w:sz w:val="18"/>
          <w:szCs w:val="18"/>
          <w:color w:val="auto"/>
        </w:rPr>
      </w:pPr>
    </w:p>
    <w:p>
      <w:pPr>
        <w:ind w:left="4" w:right="380" w:firstLine="419"/>
        <w:spacing w:after="0" w:line="282" w:lineRule="auto"/>
        <w:tabs>
          <w:tab w:leader="none" w:pos="681"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subsidiary leases all such real properties as are reasonably necessary to the conduct of its operations as presently conducted. The Company does not own any real property.</w:t>
      </w:r>
    </w:p>
    <w:p>
      <w:pPr>
        <w:spacing w:after="0" w:line="53" w:lineRule="exact"/>
        <w:rPr>
          <w:rFonts w:ascii="Times New Roman" w:cs="Times New Roman" w:eastAsia="Times New Roman" w:hAnsi="Times New Roman"/>
          <w:sz w:val="18"/>
          <w:szCs w:val="18"/>
          <w:color w:val="auto"/>
        </w:rPr>
      </w:pPr>
    </w:p>
    <w:p>
      <w:pPr>
        <w:ind w:left="4" w:right="100" w:firstLine="419"/>
        <w:spacing w:after="0" w:line="256" w:lineRule="auto"/>
        <w:tabs>
          <w:tab w:leader="none" w:pos="671"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constitution,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case of clauses (ii) and (iii), for any such violation or default as would not reasonably expected, individually or in the aggregate, to have a Material Adverse Effect.</w:t>
      </w:r>
    </w:p>
    <w:p>
      <w:pPr>
        <w:spacing w:after="0" w:line="79" w:lineRule="exact"/>
        <w:rPr>
          <w:sz w:val="20"/>
          <w:szCs w:val="20"/>
          <w:color w:val="auto"/>
        </w:rPr>
      </w:pPr>
    </w:p>
    <w:p>
      <w:pPr>
        <w:ind w:left="4" w:right="60" w:firstLine="419"/>
        <w:spacing w:after="0" w:line="266" w:lineRule="auto"/>
        <w:tabs>
          <w:tab w:leader="none" w:pos="75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Touche Tohmatsu, who have issued their audit report with respect to the consolidated financial statements of the Company and its affiliates included in the Disclosure Package and the Prospectus, are independent public accountants with respect to the Company and its affiliates within the meaning of the Securities Act and the applicable published rules and regulations thereunder.</w:t>
      </w:r>
    </w:p>
    <w:p>
      <w:pPr>
        <w:spacing w:after="0" w:line="67" w:lineRule="exact"/>
        <w:rPr>
          <w:rFonts w:ascii="Times New Roman" w:cs="Times New Roman" w:eastAsia="Times New Roman" w:hAnsi="Times New Roman"/>
          <w:sz w:val="18"/>
          <w:szCs w:val="18"/>
          <w:color w:val="auto"/>
        </w:rPr>
      </w:pPr>
    </w:p>
    <w:p>
      <w:pPr>
        <w:ind w:left="4" w:right="140" w:firstLine="419"/>
        <w:spacing w:after="0" w:line="256" w:lineRule="auto"/>
        <w:tabs>
          <w:tab w:leader="none" w:pos="77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tax returns that are required to be filed or has requested extensions thereof, except in any case in which the failure so to file would not have a Material Adverse Effect, except as set forth in or contemplated in the Disclosure Package and the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 (exclusive of any amendment or supplement thereto).</w:t>
      </w:r>
    </w:p>
    <w:p>
      <w:pPr>
        <w:spacing w:after="0" w:line="79" w:lineRule="exact"/>
        <w:rPr>
          <w:rFonts w:ascii="Times New Roman" w:cs="Times New Roman" w:eastAsia="Times New Roman" w:hAnsi="Times New Roman"/>
          <w:sz w:val="18"/>
          <w:szCs w:val="18"/>
          <w:color w:val="auto"/>
        </w:rPr>
      </w:pPr>
    </w:p>
    <w:p>
      <w:pPr>
        <w:ind w:left="4" w:firstLine="419"/>
        <w:spacing w:after="0" w:line="261" w:lineRule="auto"/>
        <w:tabs>
          <w:tab w:leader="none" w:pos="75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and each of its subsidiaries, except as set forth in or contemplated in the Disclosure Package and the Prospectus (exclusive of any amendment or supplement thereto): (i) no labor problem, dispute, slowdown, work stoppage or disturbance involving any employees of it exists or, to the Company’s knowledge is threatened or imminent, and it is not aware of any existing or imminent labor problem, dispute, slowdown, work</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264" w:name="page265"/>
    <w:bookmarkEnd w:id="264"/>
    <w:p>
      <w:pPr>
        <w:ind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stoppage or disturbance by the employees of any of its or its principal suppliers, contractors or customers, that could have a Material Adverse Effect; (ii) the prescribed minimum level of superannuation support in respect of each employee has been provided so as to not incur a shortfall amount under the </w:t>
      </w:r>
      <w:r>
        <w:rPr>
          <w:rFonts w:ascii="Times New Roman" w:cs="Times New Roman" w:eastAsia="Times New Roman" w:hAnsi="Times New Roman"/>
          <w:sz w:val="18"/>
          <w:szCs w:val="18"/>
          <w:i w:val="1"/>
          <w:iCs w:val="1"/>
          <w:color w:val="auto"/>
        </w:rPr>
        <w:t>Superannuation Guarantee (Administration) Act 1992</w:t>
      </w:r>
      <w:r>
        <w:rPr>
          <w:rFonts w:ascii="Times New Roman" w:cs="Times New Roman" w:eastAsia="Times New Roman" w:hAnsi="Times New Roman"/>
          <w:sz w:val="18"/>
          <w:szCs w:val="18"/>
          <w:color w:val="auto"/>
        </w:rPr>
        <w:t xml:space="preserve"> (Cth); and (iii) compliance subsists for all its obligations under employment contracts, industrial agreements and awards and with all codes of conduct and practice relevant to conditions of service and to the relations between it and the employees employed by it, except as would not, individually or in the aggregate, reasonably be expected to have a Material Adverse Effect.</w:t>
      </w:r>
    </w:p>
    <w:p>
      <w:pPr>
        <w:spacing w:after="0" w:line="79" w:lineRule="exact"/>
        <w:rPr>
          <w:sz w:val="20"/>
          <w:szCs w:val="20"/>
          <w:color w:val="auto"/>
        </w:rPr>
      </w:pPr>
    </w:p>
    <w:p>
      <w:pPr>
        <w:ind w:right="120" w:firstLine="419"/>
        <w:spacing w:after="0" w:line="253" w:lineRule="auto"/>
        <w:tabs>
          <w:tab w:leader="none" w:pos="76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the Company reasonably believes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Disclosure Package and the Prospectus (exclusive of any amendment or supplement thereto).</w:t>
      </w:r>
    </w:p>
    <w:p>
      <w:pPr>
        <w:spacing w:after="0" w:line="86" w:lineRule="exact"/>
        <w:rPr>
          <w:rFonts w:ascii="Times New Roman" w:cs="Times New Roman" w:eastAsia="Times New Roman" w:hAnsi="Times New Roman"/>
          <w:sz w:val="18"/>
          <w:szCs w:val="18"/>
          <w:color w:val="auto"/>
        </w:rPr>
      </w:pPr>
    </w:p>
    <w:p>
      <w:pPr>
        <w:ind w:right="160" w:firstLine="419"/>
        <w:spacing w:after="0" w:line="261" w:lineRule="auto"/>
        <w:tabs>
          <w:tab w:leader="none" w:pos="74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currently prohibited, directly or indirectly, from paying any dividends to the Company, from making any other distribution on such subsidiary’s share capital, from repaying to the Company any loans or advances to such subsidiary from the Company or from transferring any of such subsidiary’s property or assets to the Company or any other subsidiary of the Company, except as described in or contemplated by the Disclosure Package and the Prospectus (exclusive of any amendment or supplement thereto).</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70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licenses, sub-licenses, certificates, permits and other authorizations issued by, and have made all declarations and filings with, all applicable federal, state, local or foreign governmental or other authorities that are necessary to conduct their respective businesses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except where the failure to possess such Permit would not, individually or in the aggregate, reasonably be expected to have a Material Adverse Effect. Neither the Company nor any such subsidiary is in violation of, or in default under, any of the Permits nor has received any revocation, suspension or modification of any such Permit which, singly or in the aggregate, if the subject of an unfavorable decision, ruling or finding, would reasonably be expected to have a Material Adverse Effect, except as set forth in or contemplated in the Disclosure Package and the Prospectus (exclusive of any amendment or supplement thereto). Neither the Company nor any of its subsidiaries has received any notice that any such Permit will not be renewed in the ordinary course, and, except as would not, individually or in the aggregate, reasonably be expected to have a Material Adverse Effect, all Permits are valid and in full force.</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265" w:name="page266"/>
    <w:bookmarkEnd w:id="265"/>
    <w:p>
      <w:pPr>
        <w:ind w:firstLine="419"/>
        <w:spacing w:after="0" w:line="255" w:lineRule="auto"/>
        <w:tabs>
          <w:tab w:leader="none" w:pos="76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each of its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Disclosure Package and the Prospectus, the Company and its subsidiaries’ internal controls over financial reporting are effective and the Company and its subsidiaries are not aware of any material weakness in their internal controls over financial reporting.</w:t>
      </w:r>
    </w:p>
    <w:p>
      <w:pPr>
        <w:spacing w:after="0" w:line="80" w:lineRule="exact"/>
        <w:rPr>
          <w:rFonts w:ascii="Times New Roman" w:cs="Times New Roman" w:eastAsia="Times New Roman" w:hAnsi="Times New Roman"/>
          <w:sz w:val="18"/>
          <w:szCs w:val="18"/>
          <w:color w:val="auto"/>
        </w:rPr>
      </w:pPr>
    </w:p>
    <w:p>
      <w:pPr>
        <w:ind w:right="140" w:firstLine="419"/>
        <w:spacing w:after="0" w:line="281" w:lineRule="auto"/>
        <w:tabs>
          <w:tab w:leader="none" w:pos="768"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maintain “disclosure controls and procedures” (as such term is defined in Rule 13a-15(e) under the Securities and Exchange Act 1934, as amended, and the rules and regulations promulgated thereunder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w:t>
      </w:r>
    </w:p>
    <w:p>
      <w:pPr>
        <w:spacing w:after="0" w:line="56" w:lineRule="exact"/>
        <w:rPr>
          <w:rFonts w:ascii="Times New Roman" w:cs="Times New Roman" w:eastAsia="Times New Roman" w:hAnsi="Times New Roman"/>
          <w:sz w:val="17"/>
          <w:szCs w:val="17"/>
          <w:color w:val="auto"/>
        </w:rPr>
      </w:pPr>
    </w:p>
    <w:p>
      <w:pPr>
        <w:jc w:val="both"/>
        <w:ind w:right="140" w:firstLine="419"/>
        <w:spacing w:after="0" w:line="266" w:lineRule="auto"/>
        <w:tabs>
          <w:tab w:leader="none" w:pos="68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67" w:lineRule="exact"/>
        <w:rPr>
          <w:rFonts w:ascii="Times New Roman" w:cs="Times New Roman" w:eastAsia="Times New Roman" w:hAnsi="Times New Roman"/>
          <w:sz w:val="18"/>
          <w:szCs w:val="18"/>
          <w:color w:val="auto"/>
        </w:rPr>
      </w:pPr>
    </w:p>
    <w:p>
      <w:pPr>
        <w:ind w:firstLine="419"/>
        <w:spacing w:after="0" w:line="254" w:lineRule="auto"/>
        <w:tabs>
          <w:tab w:leader="none" w:pos="68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in each case where such non-compliance with Environmental Laws, failure to receive required permits, licenses or other approvals, or liability would not, individually or in the aggregate, have a Material Adverse Effect, except as set forth in or contemplated in the Disclosure Package and the Prospectus (exclusive of any amendment or supplement thereto). Except as set forth in the Disclosure Package and the Prospectus, neither the Company nor any of the subsidiaries has been named as a “potentially responsible party” under the Comprehensive Environmental Response, Compensation, and Liability Act of 1980, as amended.</w:t>
      </w:r>
    </w:p>
    <w:p>
      <w:pPr>
        <w:spacing w:after="0" w:line="80" w:lineRule="exact"/>
        <w:rPr>
          <w:rFonts w:ascii="Times New Roman" w:cs="Times New Roman" w:eastAsia="Times New Roman" w:hAnsi="Times New Roman"/>
          <w:sz w:val="18"/>
          <w:szCs w:val="18"/>
          <w:color w:val="auto"/>
        </w:rPr>
      </w:pPr>
    </w:p>
    <w:p>
      <w:pPr>
        <w:ind w:right="120" w:firstLine="419"/>
        <w:spacing w:after="0" w:line="266" w:lineRule="auto"/>
        <w:tabs>
          <w:tab w:leader="none" w:pos="76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thereunder, that are then in effect and with which the Company is required to comply as of the effectiveness of the Registration Statement.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266" w:name="page267"/>
    <w:bookmarkEnd w:id="266"/>
    <w:p>
      <w:pPr>
        <w:ind w:firstLine="419"/>
        <w:spacing w:after="0" w:line="253" w:lineRule="auto"/>
        <w:tabs>
          <w:tab w:leader="none" w:pos="68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Company nor any of its subsidiaries nor, to the knowledge of the Company, any director, officer, agent, employee, affiliate or other person acting on behalf of the Company or any of its subsidiaries (i) has used any corporate funds for any unlawful contribution, gift, entertainment or other unlawful expense relating to political activity; (ii) has made any direct or indirect unlawful payment to any foreign or domestic government official or employee (including of any government owned or controlled entity, or any person acting in an official capacity for or on behalf of any of the foregoing) from corporate funds; or (iii) has made any bribe, rebate, payoff, influence payment, kickback or other unlawful payment, or (iv) is aware of or has taken any action, directly or indirectly, that could result in a violation or a sanction for violation by such persons of the U.S. Foreign Corrupt Practices Act of 1977, the U.K. Bribery Act 2010, OECD Convention on Combating Bribery of Foreign Public Officials in International Business Transactions, or any other applicable anti-bribery or anti-corruption law, each as may be amended, or the rules or regulations thereunder (collectively, the “Anti-Corruption Laws”); and the Company and its subsidiaries have instituted and maintain policies and procedures to ensure compliance with the Anti-Corruption Laws. No part of the proceeds of the offering will be used, directly or indirectly, in violation of the Anti-Corruption Laws.</w:t>
      </w:r>
    </w:p>
    <w:p>
      <w:pPr>
        <w:spacing w:after="0" w:line="83" w:lineRule="exact"/>
        <w:rPr>
          <w:rFonts w:ascii="Times New Roman" w:cs="Times New Roman" w:eastAsia="Times New Roman" w:hAnsi="Times New Roman"/>
          <w:sz w:val="18"/>
          <w:szCs w:val="18"/>
          <w:color w:val="auto"/>
        </w:rPr>
      </w:pPr>
    </w:p>
    <w:p>
      <w:pPr>
        <w:ind w:right="20" w:firstLine="419"/>
        <w:spacing w:after="0" w:line="256" w:lineRule="auto"/>
        <w:tabs>
          <w:tab w:leader="none" w:pos="86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and the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79" w:lineRule="exact"/>
        <w:rPr>
          <w:rFonts w:ascii="Times New Roman" w:cs="Times New Roman" w:eastAsia="Times New Roman" w:hAnsi="Times New Roman"/>
          <w:sz w:val="18"/>
          <w:szCs w:val="18"/>
          <w:color w:val="auto"/>
        </w:rPr>
      </w:pPr>
    </w:p>
    <w:p>
      <w:pPr>
        <w:ind w:right="20" w:firstLine="419"/>
        <w:spacing w:after="0" w:line="253" w:lineRule="auto"/>
        <w:tabs>
          <w:tab w:leader="none" w:pos="76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that broadly prohibit dealings with that country or territory (currently, the Crimea region, Cuba, Iran, North Korea, and Syria)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(iii) will, directly or</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267" w:name="page268"/>
    <w:bookmarkEnd w:id="267"/>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72" w:lineRule="exact"/>
        <w:rPr>
          <w:sz w:val="20"/>
          <w:szCs w:val="20"/>
          <w:color w:val="auto"/>
        </w:rPr>
      </w:pPr>
    </w:p>
    <w:p>
      <w:pPr>
        <w:ind w:left="4" w:right="20" w:firstLine="419"/>
        <w:spacing w:after="0" w:line="266" w:lineRule="auto"/>
        <w:tabs>
          <w:tab w:leader="none" w:pos="77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engaged in any dealings or transactions with or for the benefit of a Sanctioned Person, or with or in a Sanctioned Country, in the preceding three years, nor does the Company or any of its subsidiaries have any plans to engage in dealings or transactions with or for the benefit of a Sanctioned Person, or with or in a Sanctioned Country.</w:t>
      </w:r>
    </w:p>
    <w:p>
      <w:pPr>
        <w:spacing w:after="0" w:line="6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listed on Exhibit 21.1 to the Registration Statement is the only subsidiary of the Company.</w:t>
      </w:r>
    </w:p>
    <w:p>
      <w:pPr>
        <w:spacing w:after="0" w:line="117" w:lineRule="exact"/>
        <w:rPr>
          <w:rFonts w:ascii="Times New Roman" w:cs="Times New Roman" w:eastAsia="Times New Roman" w:hAnsi="Times New Roman"/>
          <w:sz w:val="18"/>
          <w:szCs w:val="18"/>
          <w:color w:val="auto"/>
        </w:rPr>
      </w:pPr>
    </w:p>
    <w:p>
      <w:pPr>
        <w:ind w:left="4" w:right="40" w:firstLine="419"/>
        <w:spacing w:after="0" w:line="253" w:lineRule="auto"/>
        <w:tabs>
          <w:tab w:leader="none" w:pos="77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result in a Material Adverse Effect, the Company and its subsidiaries own, possess, license or have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 Company’s business as now conducted or as proposed in the Disclosure Package and Prospectus to be conducted. Except as set forth in the Disclosure Package and the Prospectus under the captions “Risk Factors—Risks Relating to Intellectual Property” and “Business—Intellectual Property,” or as would not reasonably be expected to result in a Material Adverse Effect</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24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rights of third parties to any such Intellectual Property; (b) to the Company’s knowledge, there is no material infringement by third parties of any such Intellectual Property; (c) there is no pending or, to the knowledge of the Company, threatened action, suit, proceeding or claim by others challenging the Company’s rights in or to any such Intellectual Property, and the Company is unaware of any facts which would form a reasonable basis for any such claim; (d) there is no pending or, to the knowledge of the Company, threatened action, suit, proceeding or claim by others challenging the validity or scope of any such Intellectual Property, and the Company is unaware of any facts which would form a reasonable basis for any such claim; (e) there is no pending or, to the knowledge of the Company, threatened action, suit, proceeding or claim by others that the Company infringes or otherwise violates any patent, trademark, copyright, trade secret or other proprietary rights of others, and the Company is unaware of any other fact which would form a reasonable basis for any such claim; (f) to the Company’s knowledge, there is no valid and enforceable U.S. patent or published U.S. patent application which contains claims that dominate or may dominate any Intellectual Property described in the Disclosure Package and the Prospectus as being owned by or licensed to the Company or that interferes with the issued or pending claims of any such Intellectual Property, in each case as such Intellectual Property relates to product candidates under clinical development as described in the Disclosure Package and the Prospectus, and (g) there is no prior art of which the Company is aware that may render any U.S. patent held by the Company invalid or any U.S. patent application held by the Company un-patentable which has not been disclosed to the U.S. Patent and Trademark Office.</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4"/>
          </w:cols>
          <w:pgMar w:left="876" w:top="270" w:right="479" w:bottom="1440" w:gutter="0" w:footer="0" w:header="0"/>
        </w:sectPr>
      </w:pPr>
    </w:p>
    <w:bookmarkStart w:id="268" w:name="page269"/>
    <w:bookmarkEnd w:id="268"/>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(rr) Except as disclosed in the Registration Statement, the Disclosure Package and the Prospectus, the Company (i) does not have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material lending or other relationship with any bank or lending affiliate of Citigroup Global Markets Holdings Inc. or SVB Leerink LLC and</w:t>
      </w:r>
    </w:p>
    <w:p>
      <w:pPr>
        <w:spacing w:after="0" w:line="9" w:lineRule="exact"/>
        <w:rPr>
          <w:sz w:val="20"/>
          <w:szCs w:val="20"/>
          <w:color w:val="auto"/>
        </w:rPr>
      </w:pPr>
    </w:p>
    <w:p>
      <w:pPr>
        <w:ind w:left="4" w:right="420" w:hanging="4"/>
        <w:spacing w:after="0" w:line="260" w:lineRule="auto"/>
        <w:tabs>
          <w:tab w:leader="none" w:pos="26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intend to use any of the proceeds from the sale of the Securities hereunder to repay any outstanding debt owed to any affiliate of Citigroup Global Markets Holdings Inc or SVB Leerink LLC.</w:t>
      </w:r>
    </w:p>
    <w:p>
      <w:pPr>
        <w:spacing w:after="0" w:line="73"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731"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Australia.</w:t>
      </w:r>
    </w:p>
    <w:p>
      <w:pPr>
        <w:spacing w:after="0" w:line="67" w:lineRule="exact"/>
        <w:rPr>
          <w:rFonts w:ascii="Times New Roman" w:cs="Times New Roman" w:eastAsia="Times New Roman" w:hAnsi="Times New Roman"/>
          <w:sz w:val="18"/>
          <w:szCs w:val="18"/>
          <w:color w:val="auto"/>
        </w:rPr>
      </w:pPr>
    </w:p>
    <w:p>
      <w:pPr>
        <w:ind w:left="4" w:firstLine="419"/>
        <w:spacing w:after="0" w:line="253" w:lineRule="auto"/>
        <w:tabs>
          <w:tab w:leader="none" w:pos="691"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at all times have been, in material compliance with all applicable Health Care Laws. For purposes of this Agreement, “</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(“HIPAA”) (42 U.S.C.</w:t>
      </w:r>
    </w:p>
    <w:p>
      <w:pPr>
        <w:spacing w:after="0" w:line="5"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(vi) all other local, state, federal, national, supranational and foreign laws, relating to the regulation of the Company or its subsidiaries, and (vii) the directives and regulations promulgated pursuant to such statutes and any state or non-U.S. counterpart thereof. Neither the Company nor any of its subsidiaries has received any FDA Form 483, notice of adverse finding, warning letter, untitled letter or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or were corrected or supplemented by a subsequent submission, except as would not cause a Material Adverse Effect. Neither the Company nor any subsidiary is a party to any corporate integrity agreement, monitoring agreement, consent decree, settlement order, or</w:t>
      </w:r>
    </w:p>
    <w:p>
      <w:pPr>
        <w:spacing w:after="0" w:line="12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269" w:name="page270"/>
    <w:bookmarkEnd w:id="269"/>
    <w:p>
      <w:pPr>
        <w:ind w:right="2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similar agreement with or imposed by any governmental or regulatory authority. Additionally, neither the Company, any of its subsidiaries, nor any of its or their respective employees, officers, directors or, to the Company’s knowledge, agents, has been excluded, suspended or debarred from participation in any U.S. federal health care program or human clinical research or, to Company’s knowledge, is subject to a governmental inquiry, investigation, proceeding, or other similar action that could reasonably be expected to result in debarment, suspension, or exclusion.</w:t>
      </w:r>
    </w:p>
    <w:p>
      <w:pPr>
        <w:spacing w:after="0" w:line="56" w:lineRule="exact"/>
        <w:rPr>
          <w:sz w:val="20"/>
          <w:szCs w:val="20"/>
          <w:color w:val="auto"/>
        </w:rPr>
      </w:pPr>
    </w:p>
    <w:p>
      <w:pPr>
        <w:ind w:firstLine="419"/>
        <w:spacing w:after="0" w:line="251" w:lineRule="auto"/>
        <w:tabs>
          <w:tab w:leader="none" w:pos="76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information technology assets and equipment, computers, systems, networks, hardware, software, websites, applications, and databases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are adequate for, and operate and perform as required in connection with the operation of the business of the Company and its subsidiaries as currently conducted, free and clear of all bugs, errors, defects, Trojan horses, time bombs, malware and other corruptants, except as would not reasonably be expected to result in a Material Adverse Effect. The Company and its subsidiaries have implemented and maintain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(EU 2016/679);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Personal Data, except for those that have been remedied without material cost or liability or the duty to notify any other person, nor any incidents under internal review or investigations relating to the same. The Company and its subsidiaries have been and are presently in material compliance with all applicable laws, directives, or statutes and all judgments, orders, rules and regulations of any court or arbitrator or governmental or regulatory authority, internal policies and contractual obligations relating to the privacy and security of IT Systems and Data, including Personal Data and to the protection of such IT Systems and Data and Personal Data from unauthorized use, access, misappropriation or modification, except as would not reasonably be expected to result in a Material Adverse Effect. There has been no security breach or other material compromise of or relating to any of the Company’s IT Systems and Data and the Company has not been notified of, and has no knowledge of any event or condition that would reasonably be expected to result in, any security breach or other material compromise to their IT Systems and Data, except for any breaches or compromises that would not, individually or in the aggregate, reasonably be expected to result in a Material Adverse Effect.</w:t>
      </w:r>
    </w:p>
    <w:p>
      <w:pPr>
        <w:spacing w:after="0" w:line="13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270" w:name="page271"/>
    <w:bookmarkEnd w:id="270"/>
    <w:p>
      <w:pPr>
        <w:ind w:firstLine="419"/>
        <w:spacing w:after="0" w:line="253" w:lineRule="auto"/>
        <w:tabs>
          <w:tab w:leader="none" w:pos="76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its subsidiaries are, and have at all times been, in material compliance with all applicable data privacy and security laws and regulations of any court or arbitrator or governmental or regulatory authority, internal policies and contractual obligations regarding the privacy and security of IT Systems and Data and Personal Data (collectively, the “Privacy Laws”), except as would not, individually or in the aggregate, result in a Material Adverse Effect. To ensure compliance with the Privacy Laws, the Company and each of its subsidiaries has in place, complies with, and takes appropriate steps reasonably designed to ensure compliance in all material respects with their policies and contractual obligations governing the collection, storage, use, disclosure, handling and analysis of Personal Data. The Company has at all times made all material disclosures to users or customers required by the Privacy Laws, except as would not, individually or in the aggregate, result in a Material Adverse Effect. The Company further certifies that neither the Company nor any of its subsidiaries: (i) have received notice of, any actual or potential liability under or relating to, or actual or potential violation of, any of the Privacy Laws, and has no knowledge of any event or condition that would reasonably be expected to result in, any such notice; (ii) are currently conducting or paying for, in whole or in part, any investigation, remediation, or other corrective action pursuant to any Privacy Laws; or (iii) is a party to any order, decree, or agreement that imposes any obligation or liability under any Privacy Law, except with respect to subsection (i), (ii) and (iii) as would not, individually or in the aggregate, result in a Material Adverse Effect.</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84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studies and clinical trials that are described in the Registration Statement, the Disclosure Package or the Prospectus (collectively, “</w:t>
      </w:r>
      <w:r>
        <w:rPr>
          <w:rFonts w:ascii="Times New Roman" w:cs="Times New Roman" w:eastAsia="Times New Roman" w:hAnsi="Times New Roman"/>
          <w:sz w:val="18"/>
          <w:szCs w:val="18"/>
          <w:u w:val="single" w:color="auto"/>
          <w:color w:val="auto"/>
        </w:rPr>
        <w:t>Studies</w:t>
      </w:r>
      <w:r>
        <w:rPr>
          <w:rFonts w:ascii="Times New Roman" w:cs="Times New Roman" w:eastAsia="Times New Roman" w:hAnsi="Times New Roman"/>
          <w:sz w:val="18"/>
          <w:szCs w:val="18"/>
          <w:color w:val="auto"/>
        </w:rPr>
        <w:t>”) were conducted by or, to the knowledge of the Company, on behalf of the Company or its subsidiaries were and, if still ongoing, are being conducted in all material respects in accordance with the protocols, procedures and controls designed for such Studies and pursuant to, where applicable, accepted professional scientific standards; the descriptions of the results of such studies contained in the Registration Statement, the Disclosure Package or the Prospectus are accurate and complete and fairly present the data derived from such Studies, in each case in all material respects, and the Company and its subsidiaries have no knowledge of any other Studies the results of which are materially inconsistent with, or otherwise call into question, the results described or referred to in the Registration Statement, the Disclosure Package or the Prospectus; the Company and its subsidiaries have made all such filings and obtained all such approvals as may be required by the FDA or any committee thereof or from any other U.S. or foreign government or drug or medical device regulatory agency, or health care facility Institutional Review Board (collectively, the “</w:t>
      </w:r>
      <w:r>
        <w:rPr>
          <w:rFonts w:ascii="Times New Roman" w:cs="Times New Roman" w:eastAsia="Times New Roman" w:hAnsi="Times New Roman"/>
          <w:sz w:val="18"/>
          <w:szCs w:val="18"/>
          <w:u w:val="single" w:color="auto"/>
          <w:color w:val="auto"/>
        </w:rPr>
        <w:t>Regulatory Agencies</w:t>
      </w:r>
      <w:r>
        <w:rPr>
          <w:rFonts w:ascii="Times New Roman" w:cs="Times New Roman" w:eastAsia="Times New Roman" w:hAnsi="Times New Roman"/>
          <w:sz w:val="18"/>
          <w:szCs w:val="18"/>
          <w:color w:val="auto"/>
        </w:rPr>
        <w:t>”), except as would not, individually or in the aggregate, reasonably be expected to result in a Material Adverse Effect; neither the Company nor any of its subsidiaries have received any notice from, or correspondence from, any Regulatory Agency requiring the termination, suspension or material modification of any Studies conducted by or on behalf of the Company or its subsidiaries; and the Company and its subsidiaries are in compliance in all material respects with all applicable rules, regulations and policies of the Regulatory Agencies.</w:t>
      </w:r>
    </w:p>
    <w:p>
      <w:pPr>
        <w:spacing w:after="0" w:line="89" w:lineRule="exact"/>
        <w:rPr>
          <w:rFonts w:ascii="Times New Roman" w:cs="Times New Roman" w:eastAsia="Times New Roman" w:hAnsi="Times New Roman"/>
          <w:sz w:val="18"/>
          <w:szCs w:val="18"/>
          <w:color w:val="auto"/>
        </w:rPr>
      </w:pPr>
    </w:p>
    <w:p>
      <w:pPr>
        <w:ind w:firstLine="419"/>
        <w:spacing w:after="0" w:line="282" w:lineRule="auto"/>
        <w:tabs>
          <w:tab w:leader="none" w:pos="76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Group Member is Insolvent and there is no act which has occurred nor any omission which may result in the Company or a Group Member becoming Insolvent.</w:t>
      </w:r>
    </w:p>
    <w:p>
      <w:pPr>
        <w:spacing w:after="0" w:line="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00"/>
          </w:cols>
          <w:pgMar w:left="880" w:top="270" w:right="519" w:bottom="1440" w:gutter="0" w:footer="0" w:header="0"/>
        </w:sectPr>
      </w:pPr>
    </w:p>
    <w:bookmarkStart w:id="271" w:name="page272"/>
    <w:bookmarkEnd w:id="271"/>
    <w:p>
      <w:pPr>
        <w:ind w:left="440" w:right="100" w:firstLine="419"/>
        <w:spacing w:after="0" w:line="282" w:lineRule="auto"/>
        <w:tabs>
          <w:tab w:leader="none" w:pos="120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announcements which have been lodged by the Company on the Australian Securities Exchange are not misleading or deceptive in any material respect.</w:t>
      </w:r>
    </w:p>
    <w:p>
      <w:pPr>
        <w:spacing w:after="0" w:line="162" w:lineRule="exact"/>
        <w:rPr>
          <w:sz w:val="20"/>
          <w:szCs w:val="20"/>
          <w:color w:val="auto"/>
        </w:rPr>
      </w:pPr>
    </w:p>
    <w:p>
      <w:pPr>
        <w:jc w:val="both"/>
        <w:ind w:right="200" w:firstLine="991"/>
        <w:spacing w:after="0" w:line="312" w:lineRule="auto"/>
        <w:rPr>
          <w:sz w:val="20"/>
          <w:szCs w:val="20"/>
          <w:color w:val="auto"/>
        </w:rPr>
      </w:pPr>
      <w:r>
        <w:rPr>
          <w:rFonts w:ascii="Times New Roman" w:cs="Times New Roman" w:eastAsia="Times New Roman" w:hAnsi="Times New Roman"/>
          <w:sz w:val="17"/>
          <w:szCs w:val="17"/>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32" w:lineRule="exact"/>
        <w:rPr>
          <w:sz w:val="20"/>
          <w:szCs w:val="20"/>
          <w:color w:val="auto"/>
        </w:rPr>
      </w:pPr>
    </w:p>
    <w:p>
      <w:pPr>
        <w:ind w:left="1160" w:hanging="173"/>
        <w:spacing w:after="0"/>
        <w:tabs>
          <w:tab w:leader="none" w:pos="11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ADS, the amount of the Underwritten ADSs set forth opposite such Underwriter’s name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1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and in reliance upon the representations and warranties herein set forth, the Company hereby grants an option to the several Underwriters to purchase, severally and not jointly, up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Option ADSs at the same purchase price per share as the Underwriters shall pay for the Underwritten ADSs, less an amount per ADS equal to any dividends or distributions declared by the Company and payable on the Ordinary Shares underlying the Underwritten ADSs but not payable on the Ordinary Shares underlying the Option ADSs. Said option may be exercised only to cover over-allotments in the sale of the Underwritten Securities by the Underwriters. Said option may be exercised in whole or in part at any time on or before the 30th day after the date of the Prospectus upon written or telegraphic notice by the Representatives to the Company setting forth the number of shares of the Option ADSs as to which the several Underwriters are exercising the option and the settlement date. The maximum number of Option ADSs to be sold by the Company is [●]. In the event that the Underwriters exercise less than their full option to purchase Option ADSs, the number of Option ADSs to be sold by the Company shall be, as nearly as practicable, in the same proportion to each other as are the maximum number of Option ADSs to be sold by the Company and the number of Option ADSs listed opposite their names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The number of Option ADSs to be purchased by each Underwriter shall be the same percentage of the total number of shares of the Option ADSs to be purchased by the several Underwriters as such Underwriter is purchasing of the Underwritten ADSs, subject to such adjustments as you in your absolute discretion shall make to eliminate any fractional ADSs.</w:t>
      </w:r>
    </w:p>
    <w:p>
      <w:pPr>
        <w:spacing w:after="0" w:line="7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Underwritten ADSs and the Option ADSs (if the option provided for in</w:t>
      </w:r>
    </w:p>
    <w:p>
      <w:pPr>
        <w:spacing w:after="0" w:line="27"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shall have been exercised on or before the second Business Day immediately preceding the Closing Date) shall be made at 10:00 AM, New York City time, on [●], 2020, or at such time on such later date not more than two Business Days after the foregoing date as the Representatives shall designate, which date and time may be postponed by agreement among the Representatives and the Company or as provided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(such date and time of delivery and payment for the Securities being called in this Agreement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72" w:name="page273"/>
    <w:bookmarkEnd w:id="27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companies are authorized or obligated by law to close in New York City. Delivery of the Securities shall be made to the Representatives for the respective accounts of the several Underwriters against payment by the several Underwriters through the Representatives of the respective aggregate purchase prices of the Offered ADSs being sold by the Company to or upon the order of the Company by wire transfer payable in same-day funds to the accounts specified by the Company. Delivery of the Offered ADSs shall be made through the facilities of The Depository Trust Company unless the Representatives shall otherwise instruct. For the purposes only of the delivery of the Underwritten ADSs, the parties agree that where an Underwriter has an obligation to on-transfer an Underwritten ADS to another party, that Underwriter receives delivery of and holds such Underwritten ADSs as bare trustee for the person they are obliged to transfer those Underwritten ADSs to.</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the option provided for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is exercised after the second Business Day immediately preceding the Closing Date, the Company will deliver (at the expense of the Company) to the Representatives, at 388 Greenwich Street, New York, New York, on the date specified by the Representatives (which shall be within two Business Days after exercise of said option), certificates for the Option ADSs in such names and denominations as the Representatives shall have requested for the respective accounts of the several Underwriters, against payment by the several Underwriters through the Representatives of the purchase price thereof to or upon the order of the Company by wire transfer payable in same-day funds. If settlement for the Option ADSs occurs after the Closing Date, the Company will deliver to the Representatives on the settlement date for the Option ADSs, and the obligation of the Underwriters to purchase the Option ADSs shall be conditioned upon receipt of, supplemental opinions, certificates and letters confirming as of such date the opinions, certificates and letters delivered on the Closing Date pursuant to Section 6 hereof.</w:t>
      </w:r>
    </w:p>
    <w:p>
      <w:pPr>
        <w:spacing w:after="0" w:line="19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The ADRs evidencing the Offered ADSs shall be registered in such names and in such denominations as the Representatives may request not less than one full business day prior to the applicable Closing Date.</w:t>
      </w:r>
    </w:p>
    <w:p>
      <w:pPr>
        <w:spacing w:after="0" w:line="54"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3A. </w:t>
      </w:r>
      <w:r>
        <w:rPr>
          <w:rFonts w:ascii="Times New Roman" w:cs="Times New Roman" w:eastAsia="Times New Roman" w:hAnsi="Times New Roman"/>
          <w:sz w:val="18"/>
          <w:szCs w:val="18"/>
          <w:u w:val="single" w:color="auto"/>
          <w:color w:val="auto"/>
        </w:rPr>
        <w:t>Regulatory Event</w:t>
      </w:r>
      <w:r>
        <w:rPr>
          <w:rFonts w:ascii="Times New Roman" w:cs="Times New Roman" w:eastAsia="Times New Roman" w:hAnsi="Times New Roman"/>
          <w:sz w:val="18"/>
          <w:szCs w:val="18"/>
          <w:color w:val="auto"/>
        </w:rPr>
        <w:t xml:space="preserve">. In satisfying its obligations under this agreement an Underwriter will not be required to subscribe for a number of Underwritten ADSs which will result in the Underwriter or its Affiliates (a) being obliged to notify the Treasurer under the </w:t>
      </w:r>
      <w:r>
        <w:rPr>
          <w:rFonts w:ascii="Times New Roman" w:cs="Times New Roman" w:eastAsia="Times New Roman" w:hAnsi="Times New Roman"/>
          <w:sz w:val="18"/>
          <w:szCs w:val="18"/>
          <w:i w:val="1"/>
          <w:iCs w:val="1"/>
          <w:color w:val="auto"/>
        </w:rPr>
        <w:t>Foreign Acquisitions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Takeovers Act 1975 </w:t>
      </w:r>
      <w:r>
        <w:rPr>
          <w:rFonts w:ascii="Times New Roman" w:cs="Times New Roman" w:eastAsia="Times New Roman" w:hAnsi="Times New Roman"/>
          <w:sz w:val="18"/>
          <w:szCs w:val="18"/>
          <w:color w:val="auto"/>
        </w:rPr>
        <w:t>(Cth) (</w:t>
      </w:r>
      <w:r>
        <w:rPr>
          <w:rFonts w:ascii="Times New Roman" w:cs="Times New Roman" w:eastAsia="Times New Roman" w:hAnsi="Times New Roman"/>
          <w:sz w:val="18"/>
          <w:szCs w:val="18"/>
          <w:u w:val="single" w:color="auto"/>
          <w:color w:val="auto"/>
        </w:rPr>
        <w:t>“FATA</w:t>
      </w:r>
      <w:r>
        <w:rPr>
          <w:rFonts w:ascii="Times New Roman" w:cs="Times New Roman" w:eastAsia="Times New Roman" w:hAnsi="Times New Roman"/>
          <w:sz w:val="18"/>
          <w:szCs w:val="18"/>
          <w:color w:val="auto"/>
        </w:rPr>
        <w:t>”); (b) breaching published Foreign Investment Review Board policy (</w:t>
      </w:r>
      <w:r>
        <w:rPr>
          <w:rFonts w:ascii="Times New Roman" w:cs="Times New Roman" w:eastAsia="Times New Roman" w:hAnsi="Times New Roman"/>
          <w:sz w:val="18"/>
          <w:szCs w:val="18"/>
          <w:u w:val="single" w:color="auto"/>
          <w:color w:val="auto"/>
        </w:rPr>
        <w:t>“FIRB Policy</w:t>
      </w:r>
      <w:r>
        <w:rPr>
          <w:rFonts w:ascii="Times New Roman" w:cs="Times New Roman" w:eastAsia="Times New Roman" w:hAnsi="Times New Roman"/>
          <w:sz w:val="18"/>
          <w:szCs w:val="18"/>
          <w:color w:val="auto"/>
        </w:rPr>
        <w:t>”); or (c) breaching section 606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Corporations Act (</w:t>
      </w:r>
      <w:r>
        <w:rPr>
          <w:rFonts w:ascii="Times New Roman" w:cs="Times New Roman" w:eastAsia="Times New Roman" w:hAnsi="Times New Roman"/>
          <w:sz w:val="18"/>
          <w:szCs w:val="18"/>
          <w:u w:val="single" w:color="auto"/>
          <w:color w:val="auto"/>
        </w:rPr>
        <w:t>“Takeovers Prohibition</w:t>
      </w:r>
      <w:r>
        <w:rPr>
          <w:rFonts w:ascii="Times New Roman" w:cs="Times New Roman" w:eastAsia="Times New Roman" w:hAnsi="Times New Roman"/>
          <w:sz w:val="18"/>
          <w:szCs w:val="18"/>
          <w:color w:val="auto"/>
        </w:rPr>
        <w:t xml:space="preserve">”), (each being a </w:t>
      </w:r>
      <w:r>
        <w:rPr>
          <w:rFonts w:ascii="Times New Roman" w:cs="Times New Roman" w:eastAsia="Times New Roman" w:hAnsi="Times New Roman"/>
          <w:sz w:val="18"/>
          <w:szCs w:val="18"/>
          <w:u w:val="single" w:color="auto"/>
          <w:color w:val="auto"/>
        </w:rPr>
        <w:t>“Regulatory Event</w:t>
      </w:r>
      <w:r>
        <w:rPr>
          <w:rFonts w:ascii="Times New Roman" w:cs="Times New Roman" w:eastAsia="Times New Roman" w:hAnsi="Times New Roman"/>
          <w:sz w:val="18"/>
          <w:szCs w:val="18"/>
          <w:color w:val="auto"/>
        </w:rPr>
        <w:t>”), taking into account the number of Shares then held by that Underwriter and/or its Affiliates (or in which they hold a relevant interest for the purposes of Chapter 6 of the Corporations Act) (</w:t>
      </w:r>
      <w:r>
        <w:rPr>
          <w:rFonts w:ascii="Times New Roman" w:cs="Times New Roman" w:eastAsia="Times New Roman" w:hAnsi="Times New Roman"/>
          <w:sz w:val="18"/>
          <w:szCs w:val="18"/>
          <w:u w:val="single" w:color="auto"/>
          <w:color w:val="auto"/>
        </w:rPr>
        <w:t>“Relevant ADSs</w:t>
      </w:r>
      <w:r>
        <w:rPr>
          <w:rFonts w:ascii="Times New Roman" w:cs="Times New Roman" w:eastAsia="Times New Roman" w:hAnsi="Times New Roman"/>
          <w:sz w:val="18"/>
          <w:szCs w:val="18"/>
          <w:color w:val="auto"/>
        </w:rPr>
        <w:t>”). To the extent that this clause prevents an Underwriter itself subscribing for Underwritten ADSs, it must still comply with its obligations to pay or procure payment to the Company pursuant to this agreement for such Relevant ADSs, and must continue its efforts to procure subscribers for such Relevant ADSs until 9.00am on the date falling three months after the Closing Date (</w:t>
      </w:r>
      <w:r>
        <w:rPr>
          <w:rFonts w:ascii="Times New Roman" w:cs="Times New Roman" w:eastAsia="Times New Roman" w:hAnsi="Times New Roman"/>
          <w:sz w:val="18"/>
          <w:szCs w:val="18"/>
          <w:u w:val="single" w:color="auto"/>
          <w:color w:val="auto"/>
        </w:rPr>
        <w:t>“Subscription End Time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If an Underwriter becomes itself able to subscribe for some or all of the Relevant ADSs before the Subscription End Time without resulting in a Regulatory Event, that Underwriter agrees to subscribe for such Relevant Shares.</w:t>
      </w:r>
    </w:p>
    <w:p>
      <w:pPr>
        <w:spacing w:after="0" w:line="5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Company must until the Subscription End Time promptly allot and issue the Relevant ADS upon notification from the Underwriters at any time after the date of this agreement that it has procured subscribers for such Relevant ADSs, or is itself able to subscribe for such Relevant ADSs without resulting in a Regulatory Event, at any time the Underwriters request, provided that no subscriptions may be made by any person (other than the Underwriters or their Affiliates) unless they have confirmed to the Underwriters and the Company in writing that the subscription for such Relevant ADSs will not lead to a breach by that person or its Affiliates of FATA, FIRB Policy or the Takeovers Prohibition.</w:t>
      </w:r>
    </w:p>
    <w:p>
      <w:pPr>
        <w:spacing w:after="0" w:line="7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Company is not required to repay at any time any amount paid by that Underwriter to the Company under this agreement in respect of the Relevant ADSs, even if that Underwriter is not able to procure subscribers or itself subscribe for those Relevant ADSs.</w:t>
      </w:r>
    </w:p>
    <w:p>
      <w:pPr>
        <w:spacing w:after="0" w:line="54" w:lineRule="exact"/>
        <w:rPr>
          <w:sz w:val="20"/>
          <w:szCs w:val="20"/>
          <w:color w:val="auto"/>
        </w:rPr>
      </w:pPr>
    </w:p>
    <w:p>
      <w:pPr>
        <w:ind w:right="100" w:firstLine="987"/>
        <w:spacing w:after="0" w:line="282" w:lineRule="auto"/>
        <w:tabs>
          <w:tab w:leader="none" w:pos="117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Prospectus.</w:t>
      </w:r>
    </w:p>
    <w:p>
      <w:pPr>
        <w:spacing w:after="0" w:line="53"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0" w:hanging="213"/>
        <w:spacing w:after="0"/>
        <w:tabs>
          <w:tab w:leader="none" w:pos="12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with the several Underwriters that:</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10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termination of the offering of the Securities, the Company will not file any amendment of the Registration Statement or the ADS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SEC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73" w:name="page274"/>
    <w:bookmarkEnd w:id="27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required) with the SEC pursuant to Rule 424(b) or when any Rule 462(b) Registration Statement or the ADS Registration Statement shall have been filed with the SEC, (ii) when, prior to termination of the offering of the Securities, any amendment to the Registration Statement or the ADS Registration Statement shall have been filed or become effective, (iii) of any request by the SEC or its staff for any amendment of the Registration Statement, the ADS Registration Statement or any Rule 462(b) Registration Statement, or for any supplement to the Prospectus or for any additional information, (iv) of the issuance by the SEC of any stop order suspending the effectiveness of the Registration Statement or the ADS Registration Statement or of any notice objecting to their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the ADS Registration Statement or a new registration statement and using its best efforts to have such amendment or new registration statement declared effective as soon as practicable.</w:t>
      </w:r>
    </w:p>
    <w:p>
      <w:pPr>
        <w:spacing w:after="0" w:line="82" w:lineRule="exact"/>
        <w:rPr>
          <w:sz w:val="20"/>
          <w:szCs w:val="20"/>
          <w:color w:val="auto"/>
        </w:rPr>
      </w:pPr>
    </w:p>
    <w:p>
      <w:pPr>
        <w:ind w:right="20" w:firstLine="419"/>
        <w:spacing w:after="0" w:line="256" w:lineRule="auto"/>
        <w:tabs>
          <w:tab w:leader="none" w:pos="67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filing of the Prospectus pursuant to Rule 424(b),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79" w:lineRule="exact"/>
        <w:rPr>
          <w:rFonts w:ascii="Times New Roman" w:cs="Times New Roman" w:eastAsia="Times New Roman" w:hAnsi="Times New Roman"/>
          <w:sz w:val="18"/>
          <w:szCs w:val="18"/>
          <w:color w:val="auto"/>
        </w:rPr>
      </w:pPr>
    </w:p>
    <w:p>
      <w:pPr>
        <w:ind w:right="80" w:firstLine="419"/>
        <w:spacing w:after="0" w:line="254" w:lineRule="auto"/>
        <w:tabs>
          <w:tab w:leader="none" w:pos="66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relating to the Securities is required to be delivered under the Securities Act (including in circumstances where such requirement may be satisfied pursuant to Rule 172 under the Securities Act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xml:space="preserve">”)), any event occurs as a result of which either of the Prospectus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or supplement either of the Prospectus to comply with the Securities Act or the rules thereunder, the Company promptly will (i) notify the Representatives of any such event; (ii) prepare and file with the SEC, subject to the second sentence of paragraph (i)(a)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 amendment or supplement which will correct such statement or omission or effect such compliance; and (iii) supply any supplemented Prospectus to you in such quantities as you may reasonably request.</w:t>
      </w:r>
    </w:p>
    <w:p>
      <w:pPr>
        <w:spacing w:after="0" w:line="1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20"/>
          </w:cols>
          <w:pgMar w:left="880" w:top="270" w:right="499" w:bottom="1440" w:gutter="0" w:footer="0" w:header="0"/>
        </w:sectPr>
      </w:pPr>
    </w:p>
    <w:bookmarkStart w:id="274" w:name="page275"/>
    <w:bookmarkEnd w:id="274"/>
    <w:p>
      <w:pPr>
        <w:ind w:right="140" w:firstLine="419"/>
        <w:spacing w:after="0" w:line="261" w:lineRule="auto"/>
        <w:tabs>
          <w:tab w:leader="none" w:pos="67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soon as practicable, the Company will make generally available to its security holders and to the Representatives an earnings statement or statements of the Company and its subsidiaries which will satisfy the provisions of Section 11(a) of the Securities Act and Rule 158 under the Securities Act; provided that the Company will be deemed to have furnished such statements to its security holders and the Representatives to the extent such statements are filed on the Commission’s Electronic Data Gathering, Analysis and Retrieval system.</w:t>
      </w:r>
    </w:p>
    <w:p>
      <w:pPr>
        <w:spacing w:after="0" w:line="71" w:lineRule="exact"/>
        <w:rPr>
          <w:rFonts w:ascii="Times New Roman" w:cs="Times New Roman" w:eastAsia="Times New Roman" w:hAnsi="Times New Roman"/>
          <w:sz w:val="18"/>
          <w:szCs w:val="18"/>
          <w:color w:val="auto"/>
        </w:rPr>
      </w:pPr>
    </w:p>
    <w:p>
      <w:pPr>
        <w:ind w:firstLine="419"/>
        <w:spacing w:after="0" w:line="256" w:lineRule="auto"/>
        <w:tabs>
          <w:tab w:leader="none" w:pos="66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the Company will furnish to the Representatives and counsel for the Underwriters, without charge, signed copies of the Registration Statement and the ADS Registration Statement (including exhibits thereto) and to each other Underwriter a copy of the Registration Statement and the ADS Registration Statement (without exhibits thereto) and, so long as delivery of a prospectus by an Underwriter or dealer may be required (including in circumstances where such requirement may be satisfied pursuant to Rule 172) by the Securities Act,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79" w:lineRule="exact"/>
        <w:rPr>
          <w:rFonts w:ascii="Times New Roman" w:cs="Times New Roman" w:eastAsia="Times New Roman" w:hAnsi="Times New Roman"/>
          <w:sz w:val="18"/>
          <w:szCs w:val="18"/>
          <w:color w:val="auto"/>
        </w:rPr>
      </w:pPr>
    </w:p>
    <w:p>
      <w:pPr>
        <w:ind w:right="100" w:firstLine="419"/>
        <w:spacing w:after="0" w:line="258" w:lineRule="auto"/>
        <w:tabs>
          <w:tab w:leader="none" w:pos="64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arrange, if necessary, for the qualification of the Securities for sale under the laws of such jurisdictions as the Representatives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75"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SEC in respect of, or establish or increase a put equivalent position or liquidate or decrease a call equivalent position within the meaning of Section 16 of the Exchange Act, any Ordinary Shares or ADSs or any securities convertible into, or exercisable, or exchangeable for, Ordinary Shares or ADSs; or publicly announce an intention to effect any such transaction, for a period of 90 days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(i) issue and sell Ordinary Shares or ADSs or any securities convertible into, or exercisable, or exchangeable for, Ordinary shares or ADSs pursuant to any employee stock option plan, stock ownership plan or dividend reinvestment plan of the Company in effect at the Execution Time, (ii) may issue Ordinary Shares issuable upon the conversion of securities or the exercise of warrants outstanding at the Execution Time, (iii) file one or more registration statements on Form S-8 relating to stock options or employee benefit plans of the Company described in the Disclosure Package and the Prospectus, (iv) offer, issue and sell Ordinary Shares or ADSs, or any securities convertible into, or exercisable, or exchangeable for, Ordinary shares or ADSs, in connection with any merger, acquisition or strategic investment (including any joint venture, strategic alliance, partnership, the acquisition or license of the business, property, technology or other assets</w:t>
      </w:r>
    </w:p>
    <w:p>
      <w:pPr>
        <w:spacing w:after="0" w:line="1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0"/>
          </w:cols>
          <w:pgMar w:left="880" w:top="270" w:right="479" w:bottom="1440" w:gutter="0" w:footer="0" w:header="0"/>
        </w:sectPr>
      </w:pPr>
    </w:p>
    <w:bookmarkStart w:id="275" w:name="page276"/>
    <w:bookmarkEnd w:id="275"/>
    <w:p>
      <w:pPr>
        <w:ind w:left="4"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another individual or entity, or the assumption of an employee benefit plan in connection with such a merger or acquisition), or (v) offer, issue and sell Ordinary Shares or ADSs, or any securities convertible into, or exercisable, or exchangeable for, Ordinary shares or ADSs, on an arm’s length basis to any unaffiliated collaborators, manufacturers, distributors, or any other similar parties pursuant to a collaboration, licensing agreement, strategic alliance, manufacturing or distribution agreement or similar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aggregate number of securities (on an as-converted basis) that the Company may issue or agree to issue pursuant to clauses (iv) and (v) shall not exceed 5% of the number of Ordinary Shares outstanding immediately after the issuance and sale of such securities,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recipient of such securities pursuant to clauses (iv) and (v) agrees to restrictions on the resale of securities that are consistent with the provisions set forth in the lock-up letter described in Section 6(p) hereof.</w:t>
      </w:r>
    </w:p>
    <w:p>
      <w:pPr>
        <w:spacing w:after="0" w:line="84" w:lineRule="exact"/>
        <w:rPr>
          <w:sz w:val="20"/>
          <w:szCs w:val="20"/>
          <w:color w:val="auto"/>
        </w:rPr>
      </w:pPr>
    </w:p>
    <w:p>
      <w:pPr>
        <w:ind w:left="4" w:right="40" w:firstLine="419"/>
        <w:spacing w:after="0" w:line="258" w:lineRule="auto"/>
        <w:tabs>
          <w:tab w:leader="none" w:pos="68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Representatives in their sole discretion, agree to release or waive the restrictions set forth in a lock-up letter described in </w:t>
      </w:r>
      <w:r>
        <w:rPr>
          <w:rFonts w:ascii="Times New Roman" w:cs="Times New Roman" w:eastAsia="Times New Roman" w:hAnsi="Times New Roman"/>
          <w:sz w:val="18"/>
          <w:szCs w:val="18"/>
          <w:u w:val="single" w:color="auto"/>
          <w:color w:val="auto"/>
        </w:rPr>
        <w:t>Section 6(g)</w:t>
      </w:r>
      <w:r>
        <w:rPr>
          <w:rFonts w:ascii="Times New Roman" w:cs="Times New Roman" w:eastAsia="Times New Roman" w:hAnsi="Times New Roman"/>
          <w:sz w:val="18"/>
          <w:szCs w:val="18"/>
          <w:color w:val="auto"/>
        </w:rPr>
        <w:t xml:space="preserve"> hereof for an officer or director of the Company and provides the Company with notice of the impending release or waiver at least three (3) Business Days before the effective date of the release or waiver, the Company agrees to announce the impending release or waiver by a press release substantially in the form of Exhibit B hereto through a major news service at least two (2) Business Days before the effective date of the release or waiver.</w:t>
      </w:r>
    </w:p>
    <w:p>
      <w:pPr>
        <w:spacing w:after="0" w:line="75" w:lineRule="exact"/>
        <w:rPr>
          <w:rFonts w:ascii="Times New Roman" w:cs="Times New Roman" w:eastAsia="Times New Roman" w:hAnsi="Times New Roman"/>
          <w:sz w:val="18"/>
          <w:szCs w:val="18"/>
          <w:color w:val="auto"/>
        </w:rPr>
      </w:pPr>
    </w:p>
    <w:p>
      <w:pPr>
        <w:jc w:val="both"/>
        <w:ind w:left="4" w:right="40" w:firstLine="419"/>
        <w:spacing w:after="0" w:line="266" w:lineRule="auto"/>
        <w:tabs>
          <w:tab w:leader="none" w:pos="64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67" w:lineRule="exact"/>
        <w:rPr>
          <w:rFonts w:ascii="Times New Roman" w:cs="Times New Roman" w:eastAsia="Times New Roman" w:hAnsi="Times New Roman"/>
          <w:sz w:val="18"/>
          <w:szCs w:val="18"/>
          <w:color w:val="auto"/>
        </w:rPr>
      </w:pPr>
    </w:p>
    <w:p>
      <w:pPr>
        <w:ind w:left="4" w:firstLine="419"/>
        <w:spacing w:after="0" w:line="268" w:lineRule="auto"/>
        <w:tabs>
          <w:tab w:leader="none" w:pos="641"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pay the costs and expenses relating to the following matters: (i) the preparation, printing or reproduction and filing with the SEC of the Registration Statement (including financial statements and exhibits thereto), the Preliminary Prospectus, the Prospectus, each Issuer Free Writing Prospectus, the ADS Registration Statement, and each amendment or supplement to any of them; (ii) the preparation of the Deposit Agreement, the deposit of the Underlying Securities under the Deposit Agreement, the issuance thereunder of ADSs representing such deposited Underlying Securities, the issuance of ADRs evidencing such ADSs and the fees of the Depositary; (iii) the printing (or reproduction) and delivery (including postage, air freight charges and charges for counting and packaging) of such copies of the Registration Statement, the Preliminary Prospectus, the Prospectus, the ADS Registration Statement, and each Issuer Free Writing Prospectus and all amendments or supplements to any of them, as may, in each case, be reasonably requested for use in connection with the offering and sale of the Securities;</w:t>
      </w:r>
    </w:p>
    <w:p>
      <w:pPr>
        <w:ind w:left="4" w:right="40" w:hanging="4"/>
        <w:spacing w:after="0" w:line="253" w:lineRule="auto"/>
        <w:tabs>
          <w:tab w:leader="none" w:pos="30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printing, authentication, issuance and delivery of certificates for the Securities, including any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(vi) the registration of the Securities under the Exchange Act and the listing of the ADSs on the Nasdaq Global Market; (vii) any registration or qualification of the Securities for offer and sale under the securities or blue sky laws of the several states</w:t>
      </w:r>
    </w:p>
    <w:p>
      <w:pPr>
        <w:spacing w:after="0" w:line="11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44"/>
          </w:cols>
          <w:pgMar w:left="876" w:top="270" w:right="479" w:bottom="1440" w:gutter="0" w:footer="0" w:header="0"/>
        </w:sectPr>
      </w:pPr>
    </w:p>
    <w:bookmarkStart w:id="276" w:name="page277"/>
    <w:bookmarkEnd w:id="27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filing fees and the reasonable fees and expenses of counsel for the Underwriters relating to such registration and qualification);</w:t>
      </w:r>
    </w:p>
    <w:p>
      <w:pPr>
        <w:spacing w:after="0" w:line="27" w:lineRule="exact"/>
        <w:rPr>
          <w:sz w:val="20"/>
          <w:szCs w:val="20"/>
          <w:color w:val="auto"/>
        </w:rPr>
      </w:pPr>
    </w:p>
    <w:p>
      <w:pPr>
        <w:ind w:left="4" w:right="200" w:hanging="4"/>
        <w:spacing w:after="0" w:line="265" w:lineRule="auto"/>
        <w:tabs>
          <w:tab w:leader="none" w:pos="408"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filings required to be made with the Financial Industry Regulatory Authority, Inc. (including filing fees and the reasonable fees and expenses of counsel for the Underwriters relating to such filings), provided that such fees and expenses of counsel contained in clauses (vii) and</w:t>
      </w:r>
    </w:p>
    <w:p>
      <w:pPr>
        <w:ind w:left="4" w:hanging="4"/>
        <w:spacing w:after="0" w:line="253" w:lineRule="auto"/>
        <w:tabs>
          <w:tab w:leader="none" w:pos="40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exceed $30,000 in the aggregate; (ix) the transportation and other expenses incurred by or on behalf of Company representatives in connection with presentations to prospective purchasers of the Securities; (x) the fees and expenses of the Company’s accountants and the fees and expenses of counsel (including local and special counsel) for the Company; and (xi) all other costs and expenses incident to the performance by the Company of its obligations under this Agreement.</w:t>
      </w:r>
    </w:p>
    <w:p>
      <w:pPr>
        <w:spacing w:after="0" w:line="80"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8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in each case such consent not to be unreasonably withheld, it has not made and will not make any offer relating to the Securities that would constitute an Issuer Free Writing Prospectus or that would otherwise constitute a Free Writing Prospectus required to be filed by the Company with the SEC or retained by the Company under Rule 433. Any such free writing prospectus consented to by the Representatives or the Company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agrees that (x) it has treated and will treat, as the case may be, each Permitted Free Writing Prospectus as an Issuer Free Writing Prospectus and (y) it has complied and will comply, as the case may be, with the requirements of Rule 164 under the Securities Act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and Rule 433 applicable to any Permitted Free Writing Prospectus, including in respect of timely filing with the SEC, legending and record keeping.</w:t>
      </w:r>
    </w:p>
    <w:p>
      <w:pPr>
        <w:spacing w:after="0" w:line="80"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4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promptly notify the Representatives if the Company ceases to be an Emerging Growth Company at any time prior to the later of (a) completion of the distribution of the Securities within the meaning of the Securities Act and (b) completion of the 90-day restricted period referred to in </w:t>
      </w:r>
      <w:r>
        <w:rPr>
          <w:rFonts w:ascii="Times New Roman" w:cs="Times New Roman" w:eastAsia="Times New Roman" w:hAnsi="Times New Roman"/>
          <w:sz w:val="18"/>
          <w:szCs w:val="18"/>
          <w:u w:val="single" w:color="auto"/>
          <w:color w:val="auto"/>
        </w:rPr>
        <w:t>Section 5(h)</w:t>
      </w:r>
      <w:r>
        <w:rPr>
          <w:rFonts w:ascii="Times New Roman" w:cs="Times New Roman" w:eastAsia="Times New Roman" w:hAnsi="Times New Roman"/>
          <w:sz w:val="18"/>
          <w:szCs w:val="18"/>
          <w:color w:val="auto"/>
        </w:rPr>
        <w:t xml:space="preserve"> hereof.</w:t>
      </w:r>
    </w:p>
    <w:p>
      <w:pPr>
        <w:spacing w:after="0" w:line="67" w:lineRule="exact"/>
        <w:rPr>
          <w:rFonts w:ascii="Times New Roman" w:cs="Times New Roman" w:eastAsia="Times New Roman" w:hAnsi="Times New Roman"/>
          <w:sz w:val="18"/>
          <w:szCs w:val="18"/>
          <w:color w:val="auto"/>
        </w:rPr>
      </w:pPr>
    </w:p>
    <w:p>
      <w:pPr>
        <w:ind w:left="4" w:right="180" w:firstLine="419"/>
        <w:spacing w:after="0" w:line="274" w:lineRule="auto"/>
        <w:tabs>
          <w:tab w:leader="none" w:pos="731"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Representatives so that use of the Written Testing-the-Waters Communication may cease until it is amended or supplemented; (ii) amend or supplement the Written Testing-the-Waters Communication to correct such statement or omission; and (iii) supply any amendment or supplement to the Representatives in such quantities as may be reasonably requested.</w:t>
      </w:r>
    </w:p>
    <w:p>
      <w:pPr>
        <w:spacing w:after="0" w:line="10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70" w:right="459" w:bottom="1440" w:gutter="0" w:footer="0" w:header="0"/>
        </w:sectPr>
      </w:pPr>
    </w:p>
    <w:bookmarkStart w:id="277" w:name="page278"/>
    <w:bookmarkEnd w:id="277"/>
    <w:p>
      <w:pPr>
        <w:ind w:left="1120" w:hanging="261"/>
        <w:spacing w:after="0"/>
        <w:tabs>
          <w:tab w:leader="none" w:pos="11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Underwriter agrees that (i) it is not purchasing any of the Securities for the account of anyone other than a United States or</w:t>
      </w:r>
    </w:p>
    <w:p>
      <w:pPr>
        <w:spacing w:after="0" w:line="27" w:lineRule="exact"/>
        <w:rPr>
          <w:rFonts w:ascii="Times New Roman" w:cs="Times New Roman" w:eastAsia="Times New Roman" w:hAnsi="Times New Roman"/>
          <w:sz w:val="18"/>
          <w:szCs w:val="18"/>
          <w:color w:val="auto"/>
        </w:rPr>
      </w:pPr>
    </w:p>
    <w:p>
      <w:pPr>
        <w:ind w:left="44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Canadian Person, (ii) [it has not offered or sold, and will not offer or sell, directly or indirectly, any of the Securities or distribute any Prospectus to any person outside the United States or Canada, or to anyone other than a United States or Canadian Person,] and (iii) any dealer to whom it may sell any of the Securities will represent that it is not purchasing for the account of anyone other than a United States or Canadian Person and agree that it will not offer or resell, directly or indirectly, any of the Securities outside the United States or Canada, or to anyone other than a United States or Canadian Person or to any other dealer who does not so represent and agree; provided, however, that the foregoing shall not restrict sales to or through (or distributions of the Disclosure Package or the Prospectus to) United States or Canadian Persons who are investment advisors, or who otherwise exercise investment discretion, and who are purchasing for the account of anyone other than a United States or Canadian Person.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of the Underwriters set forth in paragraph (n)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terminate upon the expiration of a period of thirty</w:t>
      </w:r>
    </w:p>
    <w:p>
      <w:pPr>
        <w:spacing w:after="0" w:line="2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Closing Date.</w:t>
      </w:r>
    </w:p>
    <w:p>
      <w:pPr>
        <w:spacing w:after="0" w:line="98" w:lineRule="exact"/>
        <w:rPr>
          <w:rFonts w:ascii="Times New Roman" w:cs="Times New Roman" w:eastAsia="Times New Roman" w:hAnsi="Times New Roman"/>
          <w:sz w:val="18"/>
          <w:szCs w:val="18"/>
          <w:color w:val="auto"/>
        </w:rPr>
      </w:pPr>
    </w:p>
    <w:p>
      <w:pPr>
        <w:ind w:right="120" w:firstLine="987"/>
        <w:spacing w:after="0" w:line="258" w:lineRule="auto"/>
        <w:tabs>
          <w:tab w:leader="none" w:pos="1171"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xml:space="preserve">. The obligations of the Underwriters to purchase the Underwritten ADSs and the Option ADSs, as the case may be, shall be subject to the accuracy of the representations and warranties on the part of the Company contained in this Agreement as of the Execution Time, the Closing Date and any settlement date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to the accuracy of the statements of the Company made in any certificates pursuant to the provisions hereof, to the performance by the Company of its obligations under this Agreement and to the following additional conditions:</w:t>
      </w:r>
    </w:p>
    <w:p>
      <w:pPr>
        <w:spacing w:after="0" w:line="75"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0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any supplement thereto, have been filed in the manner and within the time period required by Rule 424(b); any other material required to be filed by the Company pursuant to Rule 433(d) shall have been filed with the SEC within the applicable time periods prescribed for such filings by Rule 433; and no stop order suspending the effectiveness of the Registration Statement or the ADS Registration Statement or any notice objecting to their use shall have been issued and no proceedings for that purpose shall have been instituted or threatened.</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Cooley LLP, U.S. counsel for the Company, to have furnished to the Representatives an opinion and a negative assurance letter, each dated as of the Closing Date and addressed to the Representatives, in form and substance reasonably satisfactory to the Underwriters.</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0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Gilbert + Tobin, Australian counsel for the Company, to have furnished to the Representatives an opinion, each dated as of the Closing Date and addressed to the Representatives, in form and substance reasonably satisfactory to the Underwriters.</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Marshall, Gerstein &amp; Borun LLP, counsel for the Company with respect to intellectual property matters in the U.S., to have furnished to the Representatives an opinion and a negative assurance letter, dated as of the Closing Date and addressed to the Representatives, in form and substance reasonably satisfactory to the Underwriters.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278" w:name="page279"/>
    <w:bookmarkEnd w:id="278"/>
    <w:p>
      <w:pPr>
        <w:ind w:right="160" w:firstLine="419"/>
        <w:spacing w:after="0" w:line="266" w:lineRule="auto"/>
        <w:tabs>
          <w:tab w:leader="none" w:pos="66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have requested and caused CMS Cameron McKenna Nabarro Olswang LLP, counsel for the Company with respect to intellectual property matters in the European Union, to have furnished to the Representatives an opinion, dated as of the Closing Date and addressed to the Representatives, in form and substance reasonably satisfactory to the Underwriters.</w:t>
      </w:r>
    </w:p>
    <w:p>
      <w:pPr>
        <w:spacing w:after="0" w:line="67" w:lineRule="exact"/>
        <w:rPr>
          <w:rFonts w:ascii="Times New Roman" w:cs="Times New Roman" w:eastAsia="Times New Roman" w:hAnsi="Times New Roman"/>
          <w:sz w:val="18"/>
          <w:szCs w:val="18"/>
          <w:color w:val="auto"/>
        </w:rPr>
      </w:pPr>
    </w:p>
    <w:p>
      <w:pPr>
        <w:ind w:right="120" w:firstLine="419"/>
        <w:spacing w:after="0" w:line="266" w:lineRule="auto"/>
        <w:tabs>
          <w:tab w:leader="none" w:pos="64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requested and caused Emmet, Marvin &amp; Martin, LLP, counsel for the Depositary, to have furnished to the Representatives their opinion dated as of the Closing Date and addressed to the Representatives, in form and substance reasonably satisfactory to the Underwriters.</w:t>
      </w:r>
    </w:p>
    <w:p>
      <w:pPr>
        <w:spacing w:after="0" w:line="67"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Goodwin Procter LLP, U.S. counsel for the Underwriters, such opinion or opinions, dated the Closing Date and addressed to the Representatives, with respect to the issuance and sale of the Securities, the Registration Statement, the ADS Registration Statement, the Disclosure Package, the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Representatives a certificate of the Company, signed by the Chairman of the Board or the Chief Executive Officer and the Chief Financial Officer of the Company, dated as of the Closing Date, to the effect that the signers of such certificate have carefully examined the Registration Statement, the ADS Registration Statement, the Disclosure Package, the Prospectus and any amendment or supplement thereto, as well as each electronic road show used in connection with the offering of the Securities, and the Underwriting Agreement and that:</w:t>
      </w:r>
    </w:p>
    <w:p>
      <w:pPr>
        <w:spacing w:after="0" w:line="75" w:lineRule="exact"/>
        <w:rPr>
          <w:rFonts w:ascii="Times New Roman" w:cs="Times New Roman" w:eastAsia="Times New Roman" w:hAnsi="Times New Roman"/>
          <w:sz w:val="18"/>
          <w:szCs w:val="18"/>
          <w:color w:val="auto"/>
        </w:rPr>
      </w:pPr>
    </w:p>
    <w:p>
      <w:pPr>
        <w:ind w:left="540" w:right="200" w:firstLine="408"/>
        <w:spacing w:after="0" w:line="266" w:lineRule="auto"/>
        <w:tabs>
          <w:tab w:leader="none" w:pos="115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the Underwriting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67" w:lineRule="exact"/>
        <w:rPr>
          <w:rFonts w:ascii="Times New Roman" w:cs="Times New Roman" w:eastAsia="Times New Roman" w:hAnsi="Times New Roman"/>
          <w:sz w:val="18"/>
          <w:szCs w:val="18"/>
          <w:color w:val="auto"/>
        </w:rPr>
      </w:pPr>
    </w:p>
    <w:p>
      <w:pPr>
        <w:ind w:left="540" w:right="420" w:firstLine="408"/>
        <w:spacing w:after="0" w:line="266" w:lineRule="auto"/>
        <w:tabs>
          <w:tab w:leader="none" w:pos="120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the ADS Registration Statement or of any notice objecting to their use has been issued and no proceedings for that purpose have been instituted or, to the Company’s knowledge, threatened; and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279" w:name="page280"/>
    <w:bookmarkEnd w:id="279"/>
    <w:p>
      <w:pPr>
        <w:ind w:left="540" w:right="240" w:firstLine="408"/>
        <w:spacing w:after="0" w:line="258" w:lineRule="auto"/>
        <w:tabs>
          <w:tab w:leader="none" w:pos="1256"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since the date of the most recent financial statements included in the Disclosure Package and the Prospectus (exclusive of any amendment or supplement thereto), there has been no material adverse change in the condition (financial or otherwise), prospects, earnings, business or properties of the Company and its subsidiaries, taken as a whole, whether or not arising from transactions in the ordinary course of business, except as set forth in or contemplated in the Disclosure Package and the Prospectus (exclusive of any amendment or supplement thereto).</w:t>
      </w:r>
    </w:p>
    <w:p>
      <w:pPr>
        <w:spacing w:after="0" w:line="75" w:lineRule="exact"/>
        <w:rPr>
          <w:rFonts w:ascii="Times New Roman" w:cs="Times New Roman" w:eastAsia="Times New Roman" w:hAnsi="Times New Roman"/>
          <w:sz w:val="18"/>
          <w:szCs w:val="18"/>
          <w:color w:val="auto"/>
        </w:rPr>
      </w:pPr>
    </w:p>
    <w:p>
      <w:pPr>
        <w:ind w:firstLine="419"/>
        <w:spacing w:after="0" w:line="255" w:lineRule="auto"/>
        <w:tabs>
          <w:tab w:leader="none" w:pos="63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Deloitte Touche Tohmatsu to have furnished to the Representatives, at the Execution Time and at the Closing Date, letters, dated respectively as of the Execution Time and as of the Closing Date, in form and substance satisfactory to the Representatives, (i) confirming that they are independent accountants within the meaning of the Securities Act and the Exchange Act and the applicable rules and regulations adopted by the SEC thereunder and (ii) containing statements and information of the type customarily included in accountants’ “comfort letters” to underwriters with respect to the financial statements and certain financial information contained in the Registration Statement, the Disclosure Package and the Prospectus; provided, that the letter delivered on the Closing Date, shall use a “cut-off” date no more than three Business Days prior to such Closing Date.</w:t>
      </w:r>
    </w:p>
    <w:p>
      <w:pPr>
        <w:spacing w:after="0" w:line="80" w:lineRule="exact"/>
        <w:rPr>
          <w:rFonts w:ascii="Times New Roman" w:cs="Times New Roman" w:eastAsia="Times New Roman" w:hAnsi="Times New Roman"/>
          <w:sz w:val="18"/>
          <w:szCs w:val="18"/>
          <w:color w:val="auto"/>
        </w:rPr>
      </w:pPr>
    </w:p>
    <w:p>
      <w:pPr>
        <w:ind w:right="40" w:firstLine="419"/>
        <w:spacing w:after="0" w:line="256" w:lineRule="auto"/>
        <w:tabs>
          <w:tab w:leader="none" w:pos="63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Time or, if earlier, the dates as of which information is given in the Registration Statement (exclusive of any amendment thereof) and the Prospectus (exclusive of supplement thereto), there shall not have been any Material Adverse Effect, except as set forth in or contemplated in the Disclosure Package and the Prospectus (exclusive of any amendment or supplement thereto) the effect of which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Prospectus (exclusive of any amendment or supplement thereto).</w:t>
      </w:r>
    </w:p>
    <w:p>
      <w:pPr>
        <w:spacing w:after="0" w:line="79" w:lineRule="exact"/>
        <w:rPr>
          <w:rFonts w:ascii="Times New Roman" w:cs="Times New Roman" w:eastAsia="Times New Roman" w:hAnsi="Times New Roman"/>
          <w:sz w:val="18"/>
          <w:szCs w:val="18"/>
          <w:color w:val="auto"/>
        </w:rPr>
      </w:pPr>
    </w:p>
    <w:p>
      <w:pPr>
        <w:ind w:right="320" w:firstLine="419"/>
        <w:spacing w:after="0" w:line="282" w:lineRule="auto"/>
        <w:tabs>
          <w:tab w:leader="none" w:pos="67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shall have executed and delivered the Deposit Agreement in form and substance satisfactory to the Representatives, and the Deposit Agreement shall be in full force and effect.</w:t>
      </w:r>
    </w:p>
    <w:p>
      <w:pPr>
        <w:spacing w:after="0" w:line="53" w:lineRule="exact"/>
        <w:rPr>
          <w:rFonts w:ascii="Times New Roman" w:cs="Times New Roman" w:eastAsia="Times New Roman" w:hAnsi="Times New Roman"/>
          <w:sz w:val="18"/>
          <w:szCs w:val="18"/>
          <w:color w:val="auto"/>
        </w:rPr>
      </w:pPr>
    </w:p>
    <w:p>
      <w:pPr>
        <w:ind w:right="120" w:firstLine="419"/>
        <w:spacing w:after="0" w:line="281" w:lineRule="auto"/>
        <w:tabs>
          <w:tab w:leader="none" w:pos="638"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 shall have furnished or caused to be furnished to the Representatives certificates satisfactory to the Representatives evidencing the deposit with it or its nominee of the Underlying Securities in respect of which Offered ADSs to be purchased by the Underwriters on such Closing Date are to be issued, and the execution, issuance, countersignature (if applicable) and delivery of the ADRs evidencing such Offered ADSs pursuant to the Deposit Agreement and such other matters related thereto as the Representatives reasonably request.</w:t>
      </w:r>
    </w:p>
    <w:p>
      <w:pPr>
        <w:spacing w:after="0" w:line="56" w:lineRule="exact"/>
        <w:rPr>
          <w:rFonts w:ascii="Times New Roman" w:cs="Times New Roman" w:eastAsia="Times New Roman" w:hAnsi="Times New Roman"/>
          <w:sz w:val="17"/>
          <w:szCs w:val="17"/>
          <w:color w:val="auto"/>
        </w:rPr>
      </w:pPr>
    </w:p>
    <w:p>
      <w:pPr>
        <w:ind w:right="40" w:firstLine="419"/>
        <w:spacing w:after="0" w:line="282" w:lineRule="auto"/>
        <w:tabs>
          <w:tab w:leader="none" w:pos="72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have furnished to the Representatives such further information, certificates and documents as the Representatives may reasonably request.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280" w:name="page281"/>
    <w:bookmarkEnd w:id="280"/>
    <w:p>
      <w:pPr>
        <w:jc w:val="both"/>
        <w:ind w:left="440" w:right="100" w:firstLine="419"/>
        <w:spacing w:after="0" w:line="261" w:lineRule="auto"/>
        <w:tabs>
          <w:tab w:leader="none" w:pos="111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Subsequent to the Execution Time, there shall not have been any decrease in the rating of any of the Company’s debt securities by any “nationally recognized statistical rating organization” (as defined for purposes of Rule 3(a)(62) under the Exchange Act) or any notice given of any intended or potential decrease in any such rating or of a possible change in any such rating that does not indicate the direction of the possible change.</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shall have been listed and admitted and authorized for trading on the Nasdaq Global Market, and satisfactory evidence of such actions shall have been provided to the Representatives.</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Execution Time, the Company shall have furnished to the Representatives a letter,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from each executive officer and director of the Company addressed to the Representatives.</w:t>
      </w:r>
    </w:p>
    <w:p>
      <w:pPr>
        <w:spacing w:after="0" w:line="16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If any of the conditions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83"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The documents required to be delivered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delivered at the office of Goodwin Procter LLP, counsel for the Underwriters, at 620 Eighth Avenue, New York, NY 10018, on the Closing Date.</w:t>
      </w:r>
    </w:p>
    <w:p>
      <w:pPr>
        <w:spacing w:after="0" w:line="54" w:lineRule="exact"/>
        <w:rPr>
          <w:sz w:val="20"/>
          <w:szCs w:val="20"/>
          <w:color w:val="auto"/>
        </w:rPr>
      </w:pPr>
    </w:p>
    <w:p>
      <w:pPr>
        <w:ind w:firstLine="987"/>
        <w:spacing w:after="0" w:line="256" w:lineRule="auto"/>
        <w:tabs>
          <w:tab w:leader="none" w:pos="1171"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Underwriters’ Expenses</w:t>
      </w:r>
      <w:r>
        <w:rPr>
          <w:rFonts w:ascii="Times New Roman" w:cs="Times New Roman" w:eastAsia="Times New Roman" w:hAnsi="Times New Roman"/>
          <w:sz w:val="18"/>
          <w:szCs w:val="18"/>
          <w:color w:val="auto"/>
        </w:rPr>
        <w:t xml:space="preserve">. If the sale of the Securities provided for in this Agreement is not consummated because any condition to the obligations of the Underwriters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is not satisfied, because of any termination pursuant to </w:t>
      </w:r>
      <w:r>
        <w:rPr>
          <w:rFonts w:ascii="Times New Roman" w:cs="Times New Roman" w:eastAsia="Times New Roman" w:hAnsi="Times New Roman"/>
          <w:sz w:val="18"/>
          <w:szCs w:val="18"/>
          <w:u w:val="single" w:color="auto"/>
          <w:color w:val="auto"/>
        </w:rPr>
        <w:t>Section 10(i)</w:t>
      </w:r>
      <w:r>
        <w:rPr>
          <w:rFonts w:ascii="Times New Roman" w:cs="Times New Roman" w:eastAsia="Times New Roman" w:hAnsi="Times New Roman"/>
          <w:sz w:val="18"/>
          <w:szCs w:val="18"/>
          <w:color w:val="auto"/>
        </w:rPr>
        <w:t xml:space="preserve"> hereof or because of any refusal, inability or failure on the part of the Company to perform any agreement herein or comply with any provision hereof other than by reason of a default by any of the Underwriters, the Company will reimburse the Underwriters severally through Citigroup Global Markets Inc. and SVB Leerink LLC on demand for all expenses (including reasonable fees and disbursements of counsel) that shall have been incurred by them in connection with the proposed purchase and sale of the Securities.</w:t>
      </w:r>
    </w:p>
    <w:p>
      <w:pPr>
        <w:spacing w:after="0" w:line="7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Underwriter, the directors, officers, employees, affiliates within the meaning of Rule 405 under the Securities Act,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281" w:name="page282"/>
    <w:bookmarkEnd w:id="281"/>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untrue statement or alleged untrue statement of a material fact contained in the Registration Statement for the registration of the Securities as originally filed or in any amendment thereof, or in the ADS Registration Statement as originally filed or in any amendment thereof, or in the Preliminary Prospectus, the Prospectus, Issuer Free Writing Prospectus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86" w:lineRule="exact"/>
        <w:rPr>
          <w:sz w:val="20"/>
          <w:szCs w:val="20"/>
          <w:color w:val="auto"/>
        </w:rPr>
      </w:pPr>
    </w:p>
    <w:p>
      <w:pPr>
        <w:ind w:firstLine="419"/>
        <w:spacing w:after="0" w:line="253" w:lineRule="auto"/>
        <w:tabs>
          <w:tab w:leader="none" w:pos="67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Company, each of its directors, each of its officers who signs the Registration Statement or the ADS Registration Statement, and each person who controls the Company within the meaning of either the Securities Act or the Exchange Act, to the same extent as the foregoing indemnity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the Securities, the legend in block capital letters on page [2] related to stabilization, syndicate covering transactions and penalty bids and, under the heading “Underwriting” or “Plan of Distribution”, (ii) the sentences related to concessions and reallowances and (iii) the paragraph related to stabilization, syndicate covering transactions and penalty bids] in any Preliminary Prospectus and the Prospectus constitute the only information furnished in writing by or on behalf of the several Underwriters for inclusion in any Preliminary Prospectus, Prospectus or any Issuer Free Writing Prospectus.</w:t>
      </w:r>
    </w:p>
    <w:p>
      <w:pPr>
        <w:spacing w:after="0" w:line="83" w:lineRule="exact"/>
        <w:rPr>
          <w:rFonts w:ascii="Times New Roman" w:cs="Times New Roman" w:eastAsia="Times New Roman" w:hAnsi="Times New Roman"/>
          <w:sz w:val="18"/>
          <w:szCs w:val="18"/>
          <w:color w:val="auto"/>
        </w:rPr>
      </w:pPr>
    </w:p>
    <w:p>
      <w:pPr>
        <w:ind w:right="20" w:firstLine="419"/>
        <w:spacing w:after="0" w:line="255" w:lineRule="auto"/>
        <w:tabs>
          <w:tab w:leader="none" w:pos="66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notice of the commencement of any action, such indemnified party will, if a claim in respect thereof is to be made against the indemnifying party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70" w:right="459" w:bottom="1440" w:gutter="0" w:footer="0" w:header="0"/>
        </w:sectPr>
      </w:pPr>
    </w:p>
    <w:bookmarkStart w:id="282" w:name="page283"/>
    <w:bookmarkEnd w:id="282"/>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(which, if the Issuer is the indemnifying party, shall be limited to one such separate counsel for any Underwriter together with all persons who control such Underwriter within the meaning of the Exchange Act or the Securities Act, and no more than three such separate counsel for all of the Underwriters collectively)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(which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w:t>
      </w:r>
    </w:p>
    <w:p>
      <w:pPr>
        <w:spacing w:after="0" w:line="8" w:lineRule="exact"/>
        <w:rPr>
          <w:sz w:val="20"/>
          <w:szCs w:val="20"/>
          <w:color w:val="auto"/>
        </w:rPr>
      </w:pPr>
    </w:p>
    <w:p>
      <w:pPr>
        <w:ind w:left="4" w:right="140" w:hanging="4"/>
        <w:spacing w:after="0" w:line="260" w:lineRule="auto"/>
        <w:tabs>
          <w:tab w:leader="none" w:pos="21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73" w:lineRule="exact"/>
        <w:rPr>
          <w:rFonts w:ascii="Times New Roman" w:cs="Times New Roman" w:eastAsia="Times New Roman" w:hAnsi="Times New Roman"/>
          <w:sz w:val="18"/>
          <w:szCs w:val="18"/>
          <w:color w:val="auto"/>
        </w:rPr>
      </w:pPr>
    </w:p>
    <w:p>
      <w:pPr>
        <w:ind w:left="4" w:firstLine="419"/>
        <w:spacing w:after="0" w:line="253" w:lineRule="auto"/>
        <w:tabs>
          <w:tab w:leader="none" w:pos="68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indemnity provided in paragraph (a) or (b)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is unavailable to or insufficient to hold harmless an indemnified party for any reason, the Company, and the Underwriters agree to contribute to the aggregate losses, claims, damages and liabilities (including legal or other expenses reasonably incurred in connection with investigating or defending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the Company, and one or more of the Underwriters may be subject in such proportion as is appropriate to reflect the relative benefits received by the Company and by the Underwriters from the offering of the Securities. If the allocation provided by the immediately preceding sentence is unavailable for any reason, the Company and the Underwriters shall contribute in such proportion as is appropriate to reflect not only such relative benefits but also the relative fault of the Company and of the Underwriters in connection with the statements or omissions which resulted in such Losses as well as any other relevant equitable considerations. Benefits received by the Company shall be deemed to be equal to the total net proceeds from the offering (before deducting expenses) received by each of them, and benefits received by the Underwriters shall be deemed to be equal to the total underwriting discounts and commissions, in each case as</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4"/>
          </w:cols>
          <w:pgMar w:left="876" w:top="270" w:right="459" w:bottom="1440" w:gutter="0" w:footer="0" w:header="0"/>
        </w:sectPr>
      </w:pPr>
    </w:p>
    <w:bookmarkStart w:id="283" w:name="page284"/>
    <w:bookmarkEnd w:id="283"/>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or the ADS Registration Statement and each director of the Company shall have the same rights to contribution as the Company, subject in each case to the applicable terms and conditions of this paragraph (d).</w:t>
      </w:r>
    </w:p>
    <w:p>
      <w:pPr>
        <w:spacing w:after="0" w:line="88" w:lineRule="exact"/>
        <w:rPr>
          <w:sz w:val="20"/>
          <w:szCs w:val="20"/>
          <w:color w:val="auto"/>
        </w:rPr>
      </w:pPr>
    </w:p>
    <w:p>
      <w:pPr>
        <w:ind w:right="20" w:firstLine="987"/>
        <w:spacing w:after="0" w:line="253" w:lineRule="auto"/>
        <w:tabs>
          <w:tab w:leader="none" w:pos="117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or Underwriters under this Agreement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Schedule I hereto bears to the aggregate amount of Securities set forth opposite the names of all the remaining Underwriters) the Securities which the defaulting Underwriter or Underwriters agreed but failed to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aggregate amount of Securities which the defaulting Underwriter or Underwriters agreed but failed to purchase shall exceed 10% of the aggregate amount of Securities set forth in Schedule 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Closing Date shall be postponed for such period, not exceeding five Business Days, as the Representatives shall determine in order that the required changes in the Registration Statement, the ADS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under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284" w:name="page285"/>
    <w:bookmarkEnd w:id="284"/>
    <w:p>
      <w:pPr>
        <w:ind w:left="4" w:right="40" w:firstLine="987"/>
        <w:spacing w:after="0" w:line="270" w:lineRule="auto"/>
        <w:tabs>
          <w:tab w:leader="none" w:pos="1265"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w:t>
      </w:r>
      <w:r>
        <w:rPr>
          <w:rFonts w:ascii="Times New Roman" w:cs="Times New Roman" w:eastAsia="Times New Roman" w:hAnsi="Times New Roman"/>
          <w:sz w:val="17"/>
          <w:szCs w:val="17"/>
          <w:color w:val="auto"/>
        </w:rPr>
        <w:t>. This Agreement shall be subject to termination in the absolute discretion of the Representatives, by notice given to the Company prior to delivery of and payment for the Securities, if at any time prior to such delivery and payment (i) trading in the Company’s Ordinary Shares shall have been suspended by the SEC or the Australian Securities Exchange, (ii) trading in securities generally on the New York Stock Exchange or the Nasdaq Stock Market shall have been suspended or limited or minimum prices shall have been established on either of such exchanges,</w:t>
      </w:r>
    </w:p>
    <w:p>
      <w:pPr>
        <w:spacing w:after="0" w:line="2" w:lineRule="exact"/>
        <w:rPr>
          <w:rFonts w:ascii="Times New Roman" w:cs="Times New Roman" w:eastAsia="Times New Roman" w:hAnsi="Times New Roman"/>
          <w:sz w:val="17"/>
          <w:szCs w:val="17"/>
          <w:color w:val="auto"/>
        </w:rPr>
      </w:pPr>
    </w:p>
    <w:p>
      <w:pPr>
        <w:ind w:left="4" w:right="100" w:hanging="4"/>
        <w:spacing w:after="0" w:line="253" w:lineRule="auto"/>
        <w:tabs>
          <w:tab w:leader="none" w:pos="31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moratorium shall have been declared by U.S. Federal, New York State or Australian authorities, (iv) there shall have occurred a material disruption in commercial banking or securities settlement or clearance services or (v) there shall have occurred any outbreak or escalation of hostilities, declaration by the United States or Australia of a national emergency or war, or other calamity or crisis the effect of which on financial markets is such as to make it, in the sole judgment of the Representatives, impractical or inadvisable to proceed with the offering or delivery of the Securities as contemplated by the Preliminary Prospectus and the Prospectus (exclusive of any amendment or supplement thereto).</w:t>
      </w:r>
    </w:p>
    <w:p>
      <w:pPr>
        <w:spacing w:after="0" w:line="78" w:lineRule="exact"/>
        <w:rPr>
          <w:rFonts w:ascii="Times New Roman" w:cs="Times New Roman" w:eastAsia="Times New Roman" w:hAnsi="Times New Roman"/>
          <w:sz w:val="18"/>
          <w:szCs w:val="18"/>
          <w:color w:val="auto"/>
        </w:rPr>
      </w:pPr>
    </w:p>
    <w:p>
      <w:pPr>
        <w:ind w:left="4" w:firstLine="987"/>
        <w:spacing w:after="0" w:line="258" w:lineRule="auto"/>
        <w:tabs>
          <w:tab w:leader="none" w:pos="125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xml:space="preserve">. The respective agreements, representations, warranties, indemnities and other statements of the Company or its officers or directors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and will survive delivery of and payment for the Securities. The provisions of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hereof shall survive the termination or cancellation of this Agreement.</w:t>
      </w:r>
    </w:p>
    <w:p>
      <w:pPr>
        <w:spacing w:after="0" w:line="75"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26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Representatives, will be mailed, delivered or telefaxed to Citigroup Global Markets Inc. at 388 Greenwich Street, New York, New York 10013, Attention: General Counsel, facsimile number: +1 (646) 291-1469; or, if sent to Opthea Limited, will be mailed, delivered or telefaxed to Suite 0403, Level 4, 650 Chapel Street, South Yarra, Victoria, Australia, 3141, Attention: Mike Tonroe, with a copy (which shall not constitute notice) to Cooley LLP, 10 Collyer Quay, Raffles Place, Singapore 049315, Attention: Ferish Patel.</w:t>
      </w:r>
    </w:p>
    <w:p>
      <w:pPr>
        <w:spacing w:after="0" w:line="75" w:lineRule="exact"/>
        <w:rPr>
          <w:rFonts w:ascii="Times New Roman" w:cs="Times New Roman" w:eastAsia="Times New Roman" w:hAnsi="Times New Roman"/>
          <w:sz w:val="18"/>
          <w:szCs w:val="18"/>
          <w:color w:val="auto"/>
        </w:rPr>
      </w:pPr>
    </w:p>
    <w:p>
      <w:pPr>
        <w:ind w:left="4" w:right="140" w:firstLine="987"/>
        <w:spacing w:after="0" w:line="266" w:lineRule="auto"/>
        <w:tabs>
          <w:tab w:leader="none" w:pos="126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67" w:lineRule="exact"/>
        <w:rPr>
          <w:rFonts w:ascii="Times New Roman" w:cs="Times New Roman" w:eastAsia="Times New Roman" w:hAnsi="Times New Roman"/>
          <w:sz w:val="18"/>
          <w:szCs w:val="18"/>
          <w:color w:val="auto"/>
        </w:rPr>
      </w:pPr>
    </w:p>
    <w:p>
      <w:pPr>
        <w:ind w:left="4" w:right="140" w:firstLine="987"/>
        <w:spacing w:after="0" w:line="255" w:lineRule="auto"/>
        <w:tabs>
          <w:tab w:leader="none" w:pos="126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Underwriting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 The Company has appointed Corporation Service Company, 1180 Avenue of the Americas, Suite 210, New York, New York 10036, as its authorized agent (the “</w:t>
      </w:r>
      <w:r>
        <w:rPr>
          <w:rFonts w:ascii="Times New Roman" w:cs="Times New Roman" w:eastAsia="Times New Roman" w:hAnsi="Times New Roman"/>
          <w:sz w:val="18"/>
          <w:szCs w:val="18"/>
          <w:u w:val="single" w:color="auto"/>
          <w:color w:val="auto"/>
        </w:rPr>
        <w:t>Authorized Agent</w:t>
      </w:r>
      <w:r>
        <w:rPr>
          <w:rFonts w:ascii="Times New Roman" w:cs="Times New Roman" w:eastAsia="Times New Roman" w:hAnsi="Times New Roman"/>
          <w:sz w:val="18"/>
          <w:szCs w:val="18"/>
          <w:color w:val="auto"/>
        </w:rPr>
        <w:t>”) upon whom process may be served in any suit, action or proceeding arising out of or based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285" w:name="page286"/>
    <w:bookmarkEnd w:id="28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this Agreement or the transactions contemplated herein that may be instituted in any State or U.S. federal court in The City of New York and County of New York, by any Underwriter, the directors, officers, employees, affiliates and agents of any Underwriter, or by any person who controls any Underwriter, and expressly accepts the non-exclusive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any Underwriter, the directors, officers, employees and agents of any Underwriter, or by any person who controls any Underwriter, in any court of competent jurisdiction in Australia.</w:t>
      </w:r>
    </w:p>
    <w:p>
      <w:pPr>
        <w:spacing w:after="0" w:line="84" w:lineRule="exact"/>
        <w:rPr>
          <w:sz w:val="20"/>
          <w:szCs w:val="20"/>
          <w:color w:val="auto"/>
        </w:rPr>
      </w:pPr>
    </w:p>
    <w:p>
      <w:pPr>
        <w:ind w:left="1260" w:hanging="273"/>
        <w:spacing w:after="0"/>
        <w:tabs>
          <w:tab w:leader="none" w:pos="126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10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81" w:lineRule="exact"/>
        <w:rPr>
          <w:sz w:val="20"/>
          <w:szCs w:val="20"/>
          <w:color w:val="auto"/>
        </w:rPr>
      </w:pPr>
    </w:p>
    <w:p>
      <w:pPr>
        <w:jc w:val="both"/>
        <w:ind w:right="120" w:firstLine="987"/>
        <w:spacing w:after="0" w:line="261" w:lineRule="auto"/>
        <w:tabs>
          <w:tab w:leader="none" w:pos="126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286" w:name="page287"/>
    <w:bookmarkEnd w:id="28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contractors and not in any other capacity. Furthermore, the Company agrees that it are solely responsible for making their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72" w:lineRule="exact"/>
        <w:rPr>
          <w:sz w:val="20"/>
          <w:szCs w:val="20"/>
          <w:color w:val="auto"/>
        </w:rPr>
      </w:pPr>
    </w:p>
    <w:p>
      <w:pPr>
        <w:ind w:right="160" w:firstLine="987"/>
        <w:spacing w:after="0" w:line="282" w:lineRule="auto"/>
        <w:tabs>
          <w:tab w:leader="none" w:pos="126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Company, and the Underwriters, with respect to the subject matter hereof.</w:t>
      </w:r>
    </w:p>
    <w:p>
      <w:pPr>
        <w:spacing w:after="0" w:line="53" w:lineRule="exact"/>
        <w:rPr>
          <w:rFonts w:ascii="Times New Roman" w:cs="Times New Roman" w:eastAsia="Times New Roman" w:hAnsi="Times New Roman"/>
          <w:sz w:val="18"/>
          <w:szCs w:val="18"/>
          <w:color w:val="auto"/>
        </w:rPr>
      </w:pPr>
    </w:p>
    <w:p>
      <w:pPr>
        <w:ind w:right="140" w:firstLine="987"/>
        <w:spacing w:after="0" w:line="282" w:lineRule="auto"/>
        <w:tabs>
          <w:tab w:leader="none" w:pos="126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53" w:lineRule="exact"/>
        <w:rPr>
          <w:rFonts w:ascii="Times New Roman" w:cs="Times New Roman" w:eastAsia="Times New Roman" w:hAnsi="Times New Roman"/>
          <w:sz w:val="18"/>
          <w:szCs w:val="18"/>
          <w:color w:val="auto"/>
        </w:rPr>
      </w:pPr>
    </w:p>
    <w:p>
      <w:pPr>
        <w:ind w:firstLine="987"/>
        <w:spacing w:after="0" w:line="254" w:lineRule="auto"/>
        <w:tabs>
          <w:tab w:leader="none" w:pos="126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Each reference in this Agreement to U.S. Dollars (the “relevant currency”) is of the essence. To the fullest extent permitted by law, the obligations of each of the Company in respect of any amount due under this Agreement will, notwithstanding any payment in any other currency (whether pursuant to a judgment or otherwise), be discharged only to the extent of the amount in the relevant currency that the party entitled to receive such payment may, in accordance with its normal procedures, purchase with the sum paid in such other currency (after any premium and costs of exchange) on the Business Day immediately following the day on which such party receives such payment. If the amount in the relevant currency that may be so purchased for any reason falls short of the amount originally due, the Company making such payment will pay such additional amounts, in the relevant currency, as may be necessary to compensate for the shortfall. Any obligation of any of the Company not discharged by such payment will, to the fullest extent permitted by applicable law, be due as a separate and independent obligation and, until discharged as provided herein, will continue in full force and effect.</w:t>
      </w:r>
    </w:p>
    <w:p>
      <w:pPr>
        <w:spacing w:after="0" w:line="80" w:lineRule="exact"/>
        <w:rPr>
          <w:rFonts w:ascii="Times New Roman" w:cs="Times New Roman" w:eastAsia="Times New Roman" w:hAnsi="Times New Roman"/>
          <w:sz w:val="18"/>
          <w:szCs w:val="18"/>
          <w:color w:val="auto"/>
        </w:rPr>
      </w:pPr>
    </w:p>
    <w:p>
      <w:pPr>
        <w:ind w:right="280" w:firstLine="987"/>
        <w:spacing w:after="0" w:line="261" w:lineRule="auto"/>
        <w:tabs>
          <w:tab w:leader="none" w:pos="126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 To the extent that the Company has or hereafter may acquire any immunity (sovereign or otherwise) from any legal action, suit or proceeding, from jurisdiction of any court or from set-off or any legal process (whether service or notice, attachment in aid or otherwise) with respect to itself or any of its property, the Company hereby irrevocably waives and agrees not to plead or claim such immunity in respect of its obligations under this Agreement.</w:t>
      </w:r>
    </w:p>
    <w:p>
      <w:pPr>
        <w:spacing w:after="0" w:line="71" w:lineRule="exact"/>
        <w:rPr>
          <w:rFonts w:ascii="Times New Roman" w:cs="Times New Roman" w:eastAsia="Times New Roman" w:hAnsi="Times New Roman"/>
          <w:sz w:val="18"/>
          <w:szCs w:val="18"/>
          <w:color w:val="auto"/>
        </w:rPr>
      </w:pPr>
    </w:p>
    <w:p>
      <w:pPr>
        <w:ind w:right="280" w:firstLine="987"/>
        <w:spacing w:after="0" w:line="282" w:lineRule="auto"/>
        <w:tabs>
          <w:tab w:leader="none" w:pos="126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53" w:lineRule="exact"/>
        <w:rPr>
          <w:rFonts w:ascii="Times New Roman" w:cs="Times New Roman" w:eastAsia="Times New Roman" w:hAnsi="Times New Roman"/>
          <w:sz w:val="18"/>
          <w:szCs w:val="18"/>
          <w:color w:val="auto"/>
        </w:rPr>
      </w:pPr>
    </w:p>
    <w:p>
      <w:pPr>
        <w:ind w:right="180" w:firstLine="987"/>
        <w:spacing w:after="0" w:line="282" w:lineRule="auto"/>
        <w:tabs>
          <w:tab w:leader="none" w:pos="126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w:t>
      </w:r>
    </w:p>
    <w:p>
      <w:pPr>
        <w:spacing w:after="0" w:line="53"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287" w:name="page288"/>
    <w:bookmarkEnd w:id="28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640"/>
          </w:cols>
          <w:pgMar w:left="440" w:top="270" w:right="81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Agreement is hereby confirmed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SVB Leerink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to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89" w:name="page290"/>
    <w:bookmarkEnd w:id="289"/>
    <w:p>
      <w:pPr>
        <w:jc w:val="right"/>
        <w:ind w:right="26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9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Number of Underwritten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w:t>
      </w:r>
    </w:p>
    <w:p>
      <w:pPr>
        <w:jc w:val="center"/>
        <w:spacing w:after="0"/>
        <w:rPr>
          <w:sz w:val="20"/>
          <w:szCs w:val="20"/>
          <w:color w:val="auto"/>
        </w:rPr>
      </w:pPr>
      <w:r>
        <w:rPr>
          <w:rFonts w:ascii="Times New Roman" w:cs="Times New Roman" w:eastAsia="Times New Roman" w:hAnsi="Times New Roman"/>
          <w:sz w:val="14"/>
          <w:szCs w:val="14"/>
          <w:b w:val="1"/>
          <w:bCs w:val="1"/>
          <w:color w:val="auto"/>
        </w:rPr>
        <w:t>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544830</wp:posOffset>
            </wp:positionV>
            <wp:extent cx="9861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1">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699135</wp:posOffset>
            </wp:positionV>
            <wp:extent cx="9861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2">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716280</wp:posOffset>
            </wp:positionV>
            <wp:extent cx="9861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ectPr>
          <w:pgSz w:w="11900" w:h="16838" w:orient="portrait"/>
          <w:cols w:equalWidth="0" w:num="2">
            <w:col w:w="8700" w:space="720"/>
            <w:col w:w="1540"/>
          </w:cols>
          <w:pgMar w:left="440" w:top="270" w:right="499" w:bottom="1440" w:gutter="0" w:footer="0" w:header="0"/>
        </w:sectPr>
      </w:pPr>
    </w:p>
    <w:bookmarkStart w:id="290" w:name="page291"/>
    <w:bookmarkEnd w:id="290"/>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Schedule of Free Writing Prospectuses included in the Disclosure Package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9019"/>
          </w:cols>
          <w:pgMar w:left="1440" w:top="270" w:right="1440"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of Written Testing-the-Waters Communication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9019"/>
          </w:cols>
          <w:pgMar w:left="1440" w:top="270" w:right="1440"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Opthea Limited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Public Offering of Ordinary Shares represented by American Depositary Shares</w:t>
      </w:r>
    </w:p>
    <w:p>
      <w:pPr>
        <w:spacing w:after="0" w:line="203"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7"/>
          <w:szCs w:val="17"/>
          <w:b w:val="1"/>
          <w:bCs w:val="1"/>
          <w:color w:val="auto"/>
        </w:rPr>
        <w:t>_______________</w:t>
      </w:r>
      <w:r>
        <w:rPr>
          <w:rFonts w:ascii="Times New Roman" w:cs="Times New Roman" w:eastAsia="Times New Roman" w:hAnsi="Times New Roman"/>
          <w:sz w:val="17"/>
          <w:szCs w:val="17"/>
          <w:color w:val="auto"/>
        </w:rPr>
        <w:t>, 2020</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SVB Leerink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 California Street, 12th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letter is being delivered to you in connection with the proposed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between Opthea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a corporation incorporated under the laws of Australia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you as representatives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of a group of underwriters named therein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relating to an underwritten public offering of ordinary shares, no par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per share, of the Company, represented by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Capitalized terms used herein and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defined shall have the meanings set forth in the Underwriting Agreement.</w:t>
      </w:r>
    </w:p>
    <w:p>
      <w:pPr>
        <w:spacing w:after="0" w:line="20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In order to induce you and the other Underwriters to enter into the Underwriting Agreement, the undersigned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Securities and Exchange Commission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70" w:right="439" w:bottom="1440" w:gutter="0" w:footer="0" w:header="0"/>
        </w:sectPr>
      </w:pPr>
    </w:p>
    <w:bookmarkStart w:id="293" w:name="page294"/>
    <w:bookmarkEnd w:id="293"/>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promulgated thereunder with respect to, any Ordinary Shares or ADSs or any securities convertible into, or exercisable or exchangeable for Ordinary Shares or ADSs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or publicly announce an intention to effect any such transaction, for a period from the date hereof until 90 days after the date of the Underwriting Agreement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117" w:lineRule="exact"/>
        <w:rPr>
          <w:sz w:val="20"/>
          <w:szCs w:val="20"/>
          <w:color w:val="auto"/>
        </w:rPr>
      </w:pPr>
    </w:p>
    <w:p>
      <w:pPr>
        <w:ind w:left="680" w:hanging="244"/>
        <w:spacing w:after="0"/>
        <w:tabs>
          <w:tab w:leader="none" w:pos="6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07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including, without limitation, to a charitable organization or educational institution, or for bona fide estate planning purposes,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intestacy,</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7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member of the undersigned’s immediate family or to any trust or other legal entity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72" w:lineRule="exact"/>
        <w:rPr>
          <w:sz w:val="20"/>
          <w:szCs w:val="20"/>
          <w:color w:val="auto"/>
        </w:rPr>
      </w:pPr>
    </w:p>
    <w:p>
      <w:pPr>
        <w:ind w:left="440" w:right="60" w:firstLine="423"/>
        <w:spacing w:after="0" w:line="256" w:lineRule="auto"/>
        <w:rPr>
          <w:sz w:val="20"/>
          <w:szCs w:val="20"/>
          <w:color w:val="auto"/>
        </w:rPr>
      </w:pPr>
      <w:r>
        <w:rPr>
          <w:rFonts w:ascii="Times New Roman" w:cs="Times New Roman" w:eastAsia="Times New Roman" w:hAnsi="Times New Roman"/>
          <w:sz w:val="18"/>
          <w:szCs w:val="18"/>
          <w:color w:val="auto"/>
        </w:rPr>
        <w:t>(iv)(1) to a partnership, limited liability company or other entity of which the undersigned and the immediate family of the undersigned are the legal and beneficial owner of all of the outstanding equity securities or similar interests; (2) to a corporation, member, partner, partnership, limited liability company, trust or other entity that is an affiliate (as defined in Rule 405 as promulgated by the SEC under the Securities Act of 1933, as amended) of the undersigned; or (3) to any investment fund or other entity controlled or managed by the undersigned or affiliates of the undersigned (including where the undersigned is a partnership, to a successor partnership or fund, or any other funds managed by such partnership),</w:t>
      </w:r>
    </w:p>
    <w:p>
      <w:pPr>
        <w:spacing w:after="0" w:line="79" w:lineRule="exact"/>
        <w:rPr>
          <w:sz w:val="20"/>
          <w:szCs w:val="20"/>
          <w:color w:val="auto"/>
        </w:rPr>
      </w:pPr>
    </w:p>
    <w:p>
      <w:pPr>
        <w:ind w:left="1120" w:hanging="261"/>
        <w:spacing w:after="0"/>
        <w:tabs>
          <w:tab w:leader="none" w:pos="11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98"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6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pursuant to a qualified domestic order, divorce settlement, divorce decree or separation agreement or other final court order,</w:t>
      </w:r>
    </w:p>
    <w:p>
      <w:pPr>
        <w:spacing w:after="0" w:line="53"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upon death, disability, termination of employment or cessation of services,</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26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sale of the undersigned’s shares of Lock-Up Securities acquired in open market transactions after the closing of the Offering,</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6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options, warrants or other rights to purchase Lock-Up Securities (including, in each case, by way of “net” or “cashless” exercise), including for the payment of exercise price and tax withholdings or remittance payments due as a result of the vesting, settlement, or exercise of such restricted stock units, options, warrants or rights, provided that any such Lock-Up Securities received upon such exercise, vesting, settlement or conversion shall be subject to the terms of this Letter Agreement, or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40"/>
          </w:cols>
          <w:pgMar w:left="440" w:top="270" w:right="519" w:bottom="1440" w:gutter="0" w:footer="0" w:header="0"/>
        </w:sectPr>
      </w:pPr>
    </w:p>
    <w:bookmarkStart w:id="294" w:name="page295"/>
    <w:bookmarkEnd w:id="294"/>
    <w:p>
      <w:pPr>
        <w:ind w:left="440" w:firstLine="419"/>
        <w:spacing w:after="0" w:line="271" w:lineRule="auto"/>
        <w:tabs>
          <w:tab w:leader="none" w:pos="1118"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pursuant to a bona fide third-party tender offer, merger, consolidation or other similar transaction (including a takeover bid under Chapter 6 of the Corporations Act 2001 (Cth) and a scheme of arrangement implemented under Part 5.1 of the scheme of arrangement under Corporations Act 2001 (Cth))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(as defined in Section 13(d)(3) of the Securities Exchange Act of 1934, as amended), of shares of capital stock if, after such transfer, such person or group of affiliated persons would beneficially own (as defined in Rules 13d-3 and 13d-5 under the Exchange Act) at least a majority of the outstanding voting securities of the Company (or the surviving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7" w:lineRule="exact"/>
        <w:rPr>
          <w:sz w:val="20"/>
          <w:szCs w:val="20"/>
          <w:color w:val="auto"/>
        </w:rPr>
      </w:pPr>
    </w:p>
    <w:p>
      <w:pPr>
        <w:ind w:left="440" w:right="40" w:firstLine="419"/>
        <w:spacing w:after="0" w:line="282" w:lineRule="auto"/>
        <w:tabs>
          <w:tab w:leader="none" w:pos="115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 (a)(i), (ii), (iii), (iv), (v) or (vi), each donee, devisee, transferee or distributee shall execute and deliver to the Representatives a lock-up letter in substantially the form of this Letter Agreement,</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4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 (a)(viii), no filing by any party under the Exchange Act, or other public announcement shall be required or shall be made voluntarily in connection with such transfer or distribution,</w:t>
      </w:r>
    </w:p>
    <w:p>
      <w:pPr>
        <w:spacing w:after="0" w:line="53" w:lineRule="exact"/>
        <w:rPr>
          <w:rFonts w:ascii="Times New Roman" w:cs="Times New Roman" w:eastAsia="Times New Roman" w:hAnsi="Times New Roman"/>
          <w:sz w:val="18"/>
          <w:szCs w:val="18"/>
          <w:color w:val="auto"/>
        </w:rPr>
      </w:pPr>
    </w:p>
    <w:p>
      <w:pPr>
        <w:ind w:left="440" w:right="500" w:firstLine="419"/>
        <w:spacing w:after="0" w:line="266" w:lineRule="auto"/>
        <w:tabs>
          <w:tab w:leader="none" w:pos="114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 (a)(i) through (vii) and (ix), it shall be a condition to such transfer or distribution that any required filing under the Exchange Act, or other required public filing, report or announcement reporting a reduction in beneficial ownership of Lock-Up Securities, shall clearly indicate in the footnotes thereto the nature and conditions of such transfer, and</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(a)(i) through (v) above, such transfer shall not involve a disposition for value,</w:t>
      </w:r>
    </w:p>
    <w:p>
      <w:pPr>
        <w:spacing w:after="0" w:line="117" w:lineRule="exact"/>
        <w:rPr>
          <w:rFonts w:ascii="Times New Roman" w:cs="Times New Roman" w:eastAsia="Times New Roman" w:hAnsi="Times New Roman"/>
          <w:sz w:val="18"/>
          <w:szCs w:val="18"/>
          <w:color w:val="auto"/>
        </w:rPr>
      </w:pPr>
    </w:p>
    <w:p>
      <w:pPr>
        <w:ind w:right="120" w:firstLine="436"/>
        <w:spacing w:after="0" w:line="255" w:lineRule="auto"/>
        <w:tabs>
          <w:tab w:leader="none" w:pos="69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establish or amend trading plans by the undersigned pursuant to Rule 10b5-1 under the Exchange Act or trading plans to a similar effect permitted under the rules and regulations of the Australian Securities Exchange for the transfer of shares of Lock-Up Securities, if then permitted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plans do not provide for the transfer of Lock-Up Securities during the Restricted Period and (2) no public announcement or filing shall be required or made voluntarily except for any public filing or announcement required to be made by any party or on behalf of the undersigned under the rules and regulations of the Australian Securities Exchange or required by any other Australian governmental or regulatory authority, which filing or announcement shall include a statement to the effect that the filing or announcement relates to the circumstances described in this clause (b); and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20"/>
          </w:cols>
          <w:pgMar w:left="440" w:top="270" w:right="439" w:bottom="1440" w:gutter="0" w:footer="0" w:header="0"/>
        </w:sectPr>
      </w:pPr>
    </w:p>
    <w:bookmarkStart w:id="295" w:name="page296"/>
    <w:bookmarkEnd w:id="295"/>
    <w:p>
      <w:pPr>
        <w:ind w:left="4" w:firstLine="436"/>
        <w:spacing w:after="0" w:line="254" w:lineRule="auto"/>
        <w:tabs>
          <w:tab w:leader="none" w:pos="68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receive from the Company Lock-Up Securities in connection with the exercise of options or other rights granted under an equity incentive plan or other equity award plan or program or pursuant to an individual award agreement between the Company and the undersigned, which plan, program or agreement is described in the Registration Statement; provided, that (1) the Lock-Up Securities received by the undersigned shall be subject to the provisions of this Letter Agreement and (2) no public announcement or filing relating to such receipt or transfer shall be required or voluntarily made by or on behalf of the undersigned except for any public filing or announcement required to be made by any party or on behalf of the undersigned under the rules and regulations of the Australian Securities Exchange or required by any other Australian governmental or regulatory authority, which filing or announcement shall include a statement to the effect that (x) the filing or announcement relates to the circumstances described in this clause (c) and (y) the Lock-Up Securities received by the undersigned upon exercise or settlement of the option or other right are subject to this Letter Agreement for the duration of the Restricted Period.</w:t>
      </w:r>
    </w:p>
    <w:p>
      <w:pPr>
        <w:spacing w:after="0" w:line="188"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the undersigned further agrees that the foregoing restrictions shall be equally applicable to any issuer-directed shares of Ordinary Shares or ADSs the undersigned may purchase in the Offering.</w:t>
      </w:r>
    </w:p>
    <w:p>
      <w:pPr>
        <w:spacing w:after="0" w:line="16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shares of Ordinary Shares or ADSs, the Representatives will notify the Company of the impending release or waiver, and (ii) the Company has agreed in the Underwriting Agreement to announce the impending release or waiver by press release through a major news service or by such other means permitted by Financial Industry Regulatory Authority Rule 5131 (or any successor provision thereto) at least two business days before the effective date of the release or waiver. Any release or waiver granted by the Representatives hereunder to any such officer or director shall only be effective two business days after the publication date of such press release or the date of such other means of announcement.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88"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The undersigned understands that, if (i) the Underwriting Agreement does not become effective by November 30, 2020, (ii) the Company, on the one hand, or the Representatives, on the other hand, shall advise the other in writing prior to the execution of the Underwriting Agreement that it has determined not to proceed with the Offering, (iii) the Registration Statement is withdrawn prior to the execution of the Underwriting Agreement, or</w:t>
      </w:r>
    </w:p>
    <w:p>
      <w:pPr>
        <w:spacing w:after="0" w:line="2" w:lineRule="exact"/>
        <w:rPr>
          <w:sz w:val="20"/>
          <w:szCs w:val="20"/>
          <w:color w:val="auto"/>
        </w:rPr>
      </w:pPr>
    </w:p>
    <w:p>
      <w:pPr>
        <w:ind w:left="4" w:right="180" w:hanging="4"/>
        <w:spacing w:after="0" w:line="253" w:lineRule="auto"/>
        <w:tabs>
          <w:tab w:leader="none" w:pos="30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Underwriting Agreement (other than the provisions thereof which survive termination) shall terminate or be terminated prior to payment for and delivery of the ADSs to be sold thereunder, then upon the earliest to occur of any of clauses (i) through (iv) above, the undersigned shall automatically, and without any action on the part of any party, be released from all obligations under this Letter Agreement. The undersigned understands that the Underwriters are entering into the Underwriting Agreement and proceeding with the Offering in reliance upon this Letter Agreement.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4"/>
          </w:cols>
          <w:pgMar w:left="436" w:top="270" w:right="479" w:bottom="1440" w:gutter="0" w:footer="0" w:header="0"/>
        </w:sectPr>
      </w:pPr>
    </w:p>
    <w:bookmarkStart w:id="296" w:name="page297"/>
    <w:bookmarkEnd w:id="29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Letter Agreement shall be governed by and construed in accordance with the laws of the State of New York, without regard to the conflict of laws principles thereof.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40"/>
          </w:cols>
          <w:pgMar w:left="440" w:top="270" w:right="519" w:bottom="1440" w:gutter="0" w:footer="0" w:header="0"/>
        </w:sectPr>
      </w:pPr>
    </w:p>
    <w:bookmarkStart w:id="297" w:name="page298"/>
    <w:bookmarkEnd w:id="297"/>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 of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date</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Opthea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announced today that Citigroup Global Markets Inc. and SVB Leerink LLC, the lead book-running managers in the Company’s recent public sale of [•] American Depositary Shares (“ADSs”) representing the Company’s Ordinary Shares, is [waiving] [releasing] a lock-up restriction with respect to [•] shares of the Company’s [ADSs] [Ordinary Shares] held by [certain officers or directors] [an officer or director] of the Company. The [waiver] [release] will take effect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20__, and the shares may be sold on or after such date.</w:t>
      </w:r>
    </w:p>
    <w:p>
      <w:pPr>
        <w:spacing w:after="0" w:line="176"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940"/>
          </w:cols>
          <w:pgMar w:left="440" w:top="270" w:right="519" w:bottom="1440" w:gutter="0" w:footer="0" w:header="0"/>
        </w:sectPr>
      </w:pPr>
    </w:p>
    <w:bookmarkStart w:id="298" w:name="page299"/>
    <w:bookmarkEnd w:id="298"/>
    <w:p>
      <w:pPr>
        <w:spacing w:after="0"/>
        <w:tabs>
          <w:tab w:leader="none" w:pos="9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Waiver of Lock-up]</w:t>
      </w:r>
      <w:r>
        <w:rPr>
          <w:sz w:val="20"/>
          <w:szCs w:val="20"/>
          <w:color w:val="auto"/>
        </w:rPr>
        <w:tab/>
      </w:r>
      <w:r>
        <w:rPr>
          <w:rFonts w:ascii="Times New Roman" w:cs="Times New Roman" w:eastAsia="Times New Roman" w:hAnsi="Times New Roman"/>
          <w:sz w:val="18"/>
          <w:szCs w:val="18"/>
          <w:color w:val="auto"/>
        </w:rPr>
        <w:t>ADDENDUM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letterhead of Citigroup Global Markets Inc.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Public Offering of Ordinary Shares represented by American Depositary Shares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name and address of officer or director requesting waiver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Dear Mr./Ms.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name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80" w:firstLine="991"/>
        <w:spacing w:after="0" w:line="276" w:lineRule="auto"/>
        <w:rPr>
          <w:sz w:val="20"/>
          <w:szCs w:val="20"/>
          <w:color w:val="auto"/>
        </w:rPr>
      </w:pPr>
      <w:r>
        <w:rPr>
          <w:rFonts w:ascii="Times New Roman" w:cs="Times New Roman" w:eastAsia="Times New Roman" w:hAnsi="Times New Roman"/>
          <w:sz w:val="17"/>
          <w:szCs w:val="17"/>
          <w:color w:val="auto"/>
        </w:rPr>
        <w:t>This letter is being delivered to you in connection with the offering by Opthea Limited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of an aggregate of [•] American Depositary Shares (“</w:t>
      </w:r>
      <w:r>
        <w:rPr>
          <w:rFonts w:ascii="Times New Roman" w:cs="Times New Roman" w:eastAsia="Times New Roman" w:hAnsi="Times New Roman"/>
          <w:sz w:val="17"/>
          <w:szCs w:val="17"/>
          <w:u w:val="single" w:color="auto"/>
          <w:color w:val="auto"/>
        </w:rPr>
        <w:t>ADSs</w:t>
      </w:r>
      <w:r>
        <w:rPr>
          <w:rFonts w:ascii="Times New Roman" w:cs="Times New Roman" w:eastAsia="Times New Roman" w:hAnsi="Times New Roman"/>
          <w:sz w:val="17"/>
          <w:szCs w:val="17"/>
          <w:color w:val="auto"/>
        </w:rPr>
        <w:t xml:space="preserve">”), representing Ordinary Shares, no par value, of the Company, represented by and the lock-up letter dated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insert date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20__ (the “</w:t>
      </w:r>
      <w:r>
        <w:rPr>
          <w:rFonts w:ascii="Times New Roman" w:cs="Times New Roman" w:eastAsia="Times New Roman" w:hAnsi="Times New Roman"/>
          <w:sz w:val="18"/>
          <w:szCs w:val="18"/>
          <w:u w:val="single" w:color="auto"/>
          <w:color w:val="auto"/>
        </w:rPr>
        <w:t>Lock-up Letter</w:t>
      </w:r>
      <w:r>
        <w:rPr>
          <w:rFonts w:ascii="Times New Roman" w:cs="Times New Roman" w:eastAsia="Times New Roman" w:hAnsi="Times New Roman"/>
          <w:sz w:val="18"/>
          <w:szCs w:val="18"/>
          <w:color w:val="auto"/>
        </w:rPr>
        <w:t xml:space="preserve">”), executed by you in connection with such offering, and your request for a [waiver] [release] dated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20__, with respect to [•] shares of [ADSs] [Ordinary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Citigroup Global Markets Inc. and SVB Leerink LLC hereby agree to [waive] [release] the transfer restrictions set forth in the Lock-up Letter, but only with respect to the Shares, effective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20__;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SVB Leerink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Opthea Limited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20"/>
          </w:cols>
          <w:pgMar w:left="440" w:top="266" w:right="4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OPTHEA LIMITED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OWNERS AND HOLDERS OF AMERICAN DEPOSITARY SHARES</w:t>
      </w:r>
    </w:p>
    <w:p>
      <w:pPr>
        <w:spacing w:after="0" w:line="23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Amended and Restated Deposit Agreement</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34"/>
        </w:trPr>
        <w:tc>
          <w:tcPr>
            <w:tcW w:w="1060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TABLE OF CONTENTS</w:t>
            </w:r>
          </w:p>
        </w:tc>
        <w:tc>
          <w:tcPr>
            <w:tcW w:w="360" w:type="dxa"/>
            <w:vAlign w:val="bottom"/>
          </w:tcPr>
          <w:p>
            <w:pPr>
              <w:spacing w:after="0"/>
              <w:rPr>
                <w:sz w:val="20"/>
                <w:szCs w:val="20"/>
                <w:color w:val="auto"/>
              </w:rPr>
            </w:pPr>
          </w:p>
        </w:tc>
      </w:tr>
      <w:tr>
        <w:trPr>
          <w:trHeight w:val="441"/>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 American Depositary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 CHESS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 Commission.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 Company.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 Custodian.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 Deliver; Surrender.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 Deposit Agreement.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1.8. Depositary; Depositary’s Office.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1.9. Deposited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 Disseminate.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 Dollars.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 DTC.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 Foreign Registrar.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 Holder.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1.15. Owner.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1.16. Receipts.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1.17. Registrar.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1.18. Replacement.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1.19. Restricted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 Securities Act of 1933.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 SWIFT.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1.23. Termination Option Event.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2. FORM OF RECEIPTS, DEPOSIT OF SHARES, DELIVERY, TRANSFER AND SURRENDER OF AMERICAN DEPOSITARY</w:t>
            </w:r>
          </w:p>
        </w:tc>
        <w:tc>
          <w:tcPr>
            <w:tcW w:w="360" w:type="dxa"/>
            <w:vAlign w:val="bottom"/>
          </w:tcPr>
          <w:p>
            <w:pPr>
              <w:spacing w:after="0"/>
              <w:rPr>
                <w:sz w:val="18"/>
                <w:szCs w:val="18"/>
                <w:color w:val="auto"/>
              </w:rPr>
            </w:pPr>
          </w:p>
        </w:tc>
      </w:tr>
      <w:tr>
        <w:trPr>
          <w:trHeight w:val="216"/>
        </w:trPr>
        <w:tc>
          <w:tcPr>
            <w:tcW w:w="10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 Form of Receipts; Registration and Transferability of American Depositary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 Deposit of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 Delivery of American Depositary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 Registration of Transfer of American Depositary Shares; Combination and Split-up of Receipts; Interchange of Certificated</w:t>
            </w:r>
          </w:p>
        </w:tc>
        <w:tc>
          <w:tcPr>
            <w:tcW w:w="360" w:type="dxa"/>
            <w:vAlign w:val="bottom"/>
          </w:tcPr>
          <w:p>
            <w:pPr>
              <w:spacing w:after="0"/>
              <w:rPr>
                <w:sz w:val="18"/>
                <w:szCs w:val="18"/>
                <w:color w:val="auto"/>
              </w:rPr>
            </w:pPr>
          </w:p>
        </w:tc>
      </w:tr>
      <w:tr>
        <w:trPr>
          <w:trHeight w:val="216"/>
        </w:trPr>
        <w:tc>
          <w:tcPr>
            <w:tcW w:w="10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Uncertificated American Depositary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 Surrender of American Depositary Shares and Withdrawal of Deposited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 Limitations on Delivery, Registration of Transfer and Surrender of American Depositary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 Lost Receipts, etc.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 Cancellation and Destruction of Surrendered Receipts.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 DTC Direct Registration System and Profile Modification System.</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3. CERTAIN OBLIGATIONS OF OWNERS AND HOLDERS OF AMERICAN DEPOSITARY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 Filing Proofs, Certificates and 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 Liability of Owner for Taxes.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 Warranties on Deposit of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 Disclosure of Interests.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4. THE DEPOSITED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 Cash Distributions.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 Distributions Other Than Cash, Shares or Rights.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 Distributions in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 Rights.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 Conversion of Foreign Currency.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 Fixing of Record Date.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 Voting of Deposited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 Tender and Exchange Offers; Redemption, Replacement or Cancellation of Deposited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 Reports.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 Lists of Owners.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4.11. Withholding.</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5. THE DEPOSITARY, THE CUSTODIANS AND THE COMPANY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 Maintenance of Office and Register by the Depositary.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 Prevention or Delay of Performance by the Company or the Depositary.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 Obligations of the Depositary and the Company.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 Resignation and Removal of the Depositary.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 The Custodians.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 Notices and Reports.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 Distribution of Additional Shares, Rights, etc.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 Indemnification.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 Charges of Depositary.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 Retention of Depositary Documents.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 Exclusivity.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 Information for Regulatory Compliance.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01" w:name="page302"/>
    <w:bookmarkEnd w:id="301"/>
    <w:tbl>
      <w:tblPr>
        <w:tblLayout w:type="fixed"/>
        <w:tblInd w:w="0" w:type="dxa"/>
        <w:tblCellMar>
          <w:top w:w="0" w:type="dxa"/>
          <w:left w:w="0" w:type="dxa"/>
          <w:bottom w:w="0" w:type="dxa"/>
          <w:right w:w="0" w:type="dxa"/>
        </w:tblCellMar>
      </w:tblP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ARTICLE 6. AMENDMENT AND TERMINATION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 Amendment.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 Termination.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ARTICLE 7. MISCELLANEOUS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 Counterparts; Signatures; Delivery.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 No Third Party Beneficiaries.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 Severability.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 Owners and Holders as Parties; Binding Effect.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 Notices.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 Appointment of Agent for Service of Process; Submission to Jurisdiction; Jury Trial Waiver.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 Waiver of Immunities.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 Governing Law.</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02" w:name="page303"/>
    <w:bookmarkEnd w:id="30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 DEPOSIT AGREEMENT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AMENDED AND RESTATED DEPOSIT AGREEMENT dated as of , 2020 among OPTHEA LIMITED, formerly known as Circadian Technologies Ltd., a company incorporated under the laws of the Commonwealth of Australia (herein called the Company), THE BANK OF NEW YORK MELLON, a New York banking corporation (herein called the Depositary), and all Owners and Holders (each as hereinafter defined) from time to time of American Depositary Shares issued hereunder.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and the Depositary previously entered into a Deposit Agreement dated as of June 6, 2011 (the “Prior Deposit Agreement”); and</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WHEREAS, the Company and the Depositary now wish to amend and restate the Prior Deposit Agreement pursuant to Section 6.01 of the Prior Deposit Agreement in the form of this amended and restated Deposit Agreement to, among other things, reflect that the Company has issued and sold American Depository Shares representing its ordinary shares in a public offering registered pursuant to the Securities Act of 1933, as amended, and has become subject to the reporting requirements under Section 12 of the Securities Exchange Act of 1934, as amended; and</w:t>
      </w:r>
    </w:p>
    <w:p>
      <w:pPr>
        <w:spacing w:after="0" w:line="18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WHEREAS, the Company desires to provide, as set forth in this amended and restated Deposit Agreement, for the deposit of Shares (as hereinafter defined) of the Company from time to time with the Depositary or with the Custodian (as hereinafter defined) under this amended and restated Deposit Agreement, for the creation of American Depositary Shares representing the Shares so deposited and for the execution and delivery of American Depositary Receipts evidencing the American Depositary Shares; and</w:t>
      </w:r>
    </w:p>
    <w:p>
      <w:pPr>
        <w:spacing w:after="0" w:line="180" w:lineRule="exact"/>
        <w:rPr>
          <w:sz w:val="20"/>
          <w:szCs w:val="20"/>
          <w:color w:val="auto"/>
        </w:rPr>
      </w:pPr>
    </w:p>
    <w:p>
      <w:pPr>
        <w:ind w:right="440" w:firstLine="991"/>
        <w:spacing w:after="0" w:line="312" w:lineRule="auto"/>
        <w:rPr>
          <w:sz w:val="20"/>
          <w:szCs w:val="20"/>
          <w:color w:val="auto"/>
        </w:rPr>
      </w:pPr>
      <w:r>
        <w:rPr>
          <w:rFonts w:ascii="Times New Roman" w:cs="Times New Roman" w:eastAsia="Times New Roman" w:hAnsi="Times New Roman"/>
          <w:sz w:val="17"/>
          <w:szCs w:val="17"/>
          <w:color w:val="auto"/>
        </w:rPr>
        <w:t>WHEREAS, the American Depositary Receipts are to be substantially in the form of Exhibit A annexed to this amended and restated Deposit Agreement, with appropriate insertions, modifications and omissions, as set forth in this amended and restated Deposit Agreement;</w:t>
      </w:r>
    </w:p>
    <w:p>
      <w:pPr>
        <w:spacing w:after="0" w:line="14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it is agreed by and between the parties hereto that the Prior Deposit Agreement is hereby amended and restated as follows:</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ARTICLE 1. DEFINITIONS</w:t>
      </w:r>
    </w:p>
    <w:p>
      <w:pPr>
        <w:spacing w:after="0" w:line="11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The following definitions shall for all purposes, unless otherwise clearly indicated, apply to the respective terms used in this amended and restated Deposit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American Depositary Shares.</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American Depositary Shares</w:t>
      </w:r>
      <w:r>
        <w:rPr>
          <w:rFonts w:ascii="Times New Roman" w:cs="Times New Roman" w:eastAsia="Times New Roman" w:hAnsi="Times New Roman"/>
          <w:sz w:val="18"/>
          <w:szCs w:val="18"/>
          <w:color w:val="auto"/>
        </w:rPr>
        <w:t>” 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w:t>
      </w:r>
    </w:p>
    <w:p>
      <w:pPr>
        <w:spacing w:after="0" w:line="183"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Each American Depositary Share shall represent the number of Shares specified in Exhibit A to this Deposit Agreement, </w:t>
      </w:r>
      <w:r>
        <w:rPr>
          <w:rFonts w:ascii="Times New Roman" w:cs="Times New Roman" w:eastAsia="Times New Roman" w:hAnsi="Times New Roman"/>
          <w:sz w:val="18"/>
          <w:szCs w:val="18"/>
          <w:u w:val="single" w:color="auto"/>
          <w:color w:val="auto"/>
        </w:rPr>
        <w:t>except that</w:t>
      </w:r>
      <w:r>
        <w:rPr>
          <w:rFonts w:ascii="Times New Roman" w:cs="Times New Roman" w:eastAsia="Times New Roman" w:hAnsi="Times New Roman"/>
          <w:sz w:val="18"/>
          <w:szCs w:val="18"/>
          <w:color w:val="auto"/>
        </w:rPr>
        <w:t>, if there is a distribution upon Deposited Securities covered by Section 4.3, a change in Deposited Securities covered by 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CHESS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term “CHESS” shall mean the Clearing House Electronic Subregister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Commission.</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 of the United States or any successor governmental agency in the United States.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Opthea Limited, a company incorporated under the laws of the Commonwealth of Australia,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Custodian.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term “Custodian” shall mean HSBC Bank Australia Limited, as custodian for the Depositary in Australia for the purposes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Agreement, and any other firm or corporation the Depositary appoints under Section 5.5 as a substitute or additional custodian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Agreement, and shall also mean all of them collectively.</w:t>
      </w:r>
    </w:p>
    <w:p>
      <w:pPr>
        <w:sectPr>
          <w:pgSz w:w="11900" w:h="16838" w:orient="portrait"/>
          <w:cols w:equalWidth="0" w:num="1">
            <w:col w:w="11000"/>
          </w:cols>
          <w:pgMar w:left="440" w:top="270" w:right="459" w:bottom="1440" w:gutter="0" w:footer="0" w:header="0"/>
        </w:sectPr>
      </w:pPr>
    </w:p>
    <w:bookmarkStart w:id="303" w:name="page304"/>
    <w:bookmarkEnd w:id="30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Deliver; Surrender.</w:t>
      </w:r>
    </w:p>
    <w:p>
      <w:pPr>
        <w:spacing w:after="0" w:line="225" w:lineRule="exact"/>
        <w:rPr>
          <w:sz w:val="20"/>
          <w:szCs w:val="20"/>
          <w:color w:val="auto"/>
        </w:rPr>
      </w:pPr>
    </w:p>
    <w:p>
      <w:pPr>
        <w:jc w:val="both"/>
        <w:ind w:firstLine="987"/>
        <w:spacing w:after="0" w:line="281" w:lineRule="auto"/>
        <w:tabs>
          <w:tab w:leader="none" w:pos="1236"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u w:val="single" w:color="auto"/>
          <w:color w:val="auto"/>
        </w:rPr>
        <w:t>deliver</w:t>
      </w:r>
      <w:r>
        <w:rPr>
          <w:rFonts w:ascii="Times New Roman" w:cs="Times New Roman" w:eastAsia="Times New Roman" w:hAnsi="Times New Roman"/>
          <w:sz w:val="17"/>
          <w:szCs w:val="17"/>
          <w:color w:val="auto"/>
        </w:rPr>
        <w:t>”, or its noun form, when used with respect to Shares or other Deposited Securities, shall mean (i) book-entry transfer of those Shares or other Deposited Securities to an account maintained by CHESS or an institution authorized under applicable law to effect transfers of such securities designated by the person entitled to that delivery or (ii) physical transfer of certificates evidencing those Shares or other Deposited Securities registered in the name of, or duly endorsed or accompanied by proper instruments of transfer to, the person entitled to that delivery.</w:t>
      </w:r>
    </w:p>
    <w:p>
      <w:pPr>
        <w:spacing w:after="0" w:line="164" w:lineRule="exact"/>
        <w:rPr>
          <w:rFonts w:ascii="Times New Roman" w:cs="Times New Roman" w:eastAsia="Times New Roman" w:hAnsi="Times New Roman"/>
          <w:sz w:val="17"/>
          <w:szCs w:val="17"/>
          <w:color w:val="auto"/>
        </w:rPr>
      </w:pPr>
    </w:p>
    <w:p>
      <w:pPr>
        <w:ind w:right="140" w:firstLine="987"/>
        <w:spacing w:after="0" w:line="256" w:lineRule="auto"/>
        <w:tabs>
          <w:tab w:leader="none" w:pos="12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deliver</w:t>
      </w:r>
      <w:r>
        <w:rPr>
          <w:rFonts w:ascii="Times New Roman" w:cs="Times New Roman" w:eastAsia="Times New Roman" w:hAnsi="Times New Roman"/>
          <w:sz w:val="18"/>
          <w:szCs w:val="18"/>
          <w:color w:val="auto"/>
        </w:rPr>
        <w:t>”,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 delivery, (ii) 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evidencing those American Depositary Shares registered in the name requested by that person.</w:t>
      </w:r>
    </w:p>
    <w:p>
      <w:pPr>
        <w:spacing w:after="0" w:line="187"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surrender</w:t>
      </w:r>
      <w:r>
        <w:rPr>
          <w:rFonts w:ascii="Times New Roman" w:cs="Times New Roman" w:eastAsia="Times New Roman" w:hAnsi="Times New Roman"/>
          <w:sz w:val="18"/>
          <w:szCs w:val="18"/>
          <w:color w:val="auto"/>
        </w:rPr>
        <w:t>”,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Deposit Agreement.</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shall mean this Amended and Restated Deposit Agreement, as it may be amended from time to time in accordance with the provisions of this Deposit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Depositary; Depositary’s Office.</w:t>
      </w:r>
    </w:p>
    <w:p>
      <w:pPr>
        <w:spacing w:after="0" w:line="225" w:lineRule="exact"/>
        <w:rPr>
          <w:sz w:val="20"/>
          <w:szCs w:val="20"/>
          <w:color w:val="auto"/>
        </w:rPr>
      </w:pPr>
    </w:p>
    <w:p>
      <w:pPr>
        <w:ind w:right="400" w:firstLine="991"/>
        <w:spacing w:after="0" w:line="289"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 shall mean The Bank of New York Mellon, a New York banking corporation, and any successor as depositary under this Deposit Agreement. The term “</w:t>
      </w:r>
      <w:r>
        <w:rPr>
          <w:rFonts w:ascii="Times New Roman" w:cs="Times New Roman" w:eastAsia="Times New Roman" w:hAnsi="Times New Roman"/>
          <w:sz w:val="17"/>
          <w:szCs w:val="17"/>
          <w:u w:val="single" w:color="auto"/>
          <w:color w:val="auto"/>
        </w:rPr>
        <w:t>Office</w:t>
      </w:r>
      <w:r>
        <w:rPr>
          <w:rFonts w:ascii="Times New Roman" w:cs="Times New Roman" w:eastAsia="Times New Roman" w:hAnsi="Times New Roman"/>
          <w:sz w:val="17"/>
          <w:szCs w:val="17"/>
          <w:color w:val="auto"/>
        </w:rPr>
        <w:t>”, when used with respect to the Depositary, shall mean the office at which its depositary receipts business is administered, which, at the date of this Deposit Agreement, is located at 240 Greenwich Street, New York, New York 10286.</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Deposited Securities.</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Deposited Securities</w:t>
      </w:r>
      <w:r>
        <w:rPr>
          <w:rFonts w:ascii="Times New Roman" w:cs="Times New Roman" w:eastAsia="Times New Roman" w:hAnsi="Times New Roman"/>
          <w:sz w:val="18"/>
          <w:szCs w:val="18"/>
          <w:color w:val="auto"/>
        </w:rPr>
        <w:t>” 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Disseminate.</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Disseminate</w:t>
      </w:r>
      <w:r>
        <w:rPr>
          <w:rFonts w:ascii="Times New Roman" w:cs="Times New Roman" w:eastAsia="Times New Roman" w:hAnsi="Times New Roman"/>
          <w:sz w:val="18"/>
          <w:szCs w:val="18"/>
          <w:color w:val="auto"/>
        </w:rPr>
        <w:t>,” when referring to a notice or other information to be sent by the Depositary to Owners, shall mean (i) sending that information to Owners in paper form by mail or another means or (ii) with the consent of Owners, another procedure that has the effect of making the information available to Owners, which may include (A) sending the information by electronic mail or electronic messaging or (B) 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Dollars.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shall mean United States dollars.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DTC.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mean The Depository Trust Company or its successor.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Foreign Registrar.</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Foreign Registrar</w:t>
      </w:r>
      <w:r>
        <w:rPr>
          <w:rFonts w:ascii="Times New Roman" w:cs="Times New Roman" w:eastAsia="Times New Roman" w:hAnsi="Times New Roman"/>
          <w:sz w:val="18"/>
          <w:szCs w:val="18"/>
          <w:color w:val="auto"/>
        </w:rPr>
        <w:t>” shall mean the entity that carries out the duties of registrar for the Shares and any other agent of the Company for the transfer and registration of Shares, including, without limitation, any securities depository for the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Holder.</w:t>
      </w:r>
    </w:p>
    <w:p>
      <w:pPr>
        <w:spacing w:after="0" w:line="225" w:lineRule="exact"/>
        <w:rPr>
          <w:sz w:val="20"/>
          <w:szCs w:val="20"/>
          <w:color w:val="auto"/>
        </w:rPr>
      </w:pPr>
    </w:p>
    <w:p>
      <w:pPr>
        <w:ind w:right="360" w:firstLine="991"/>
        <w:spacing w:after="0" w:line="312"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shall mean any person holding a Receipt or a security entitlement or other interest in American Depositary Shares, whether for its own account or for the account of another person, but that is not the Owner of that Receipt or those American Depositary Shares.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Owner.</w:t>
      </w:r>
    </w:p>
    <w:p>
      <w:pPr>
        <w:spacing w:after="0" w:line="225"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shall mean the person in whose name American Depositary Shares are registered on the books of the Depositary maintained for that purpose.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Receipts.</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Receipts</w:t>
      </w:r>
      <w:r>
        <w:rPr>
          <w:rFonts w:ascii="Times New Roman" w:cs="Times New Roman" w:eastAsia="Times New Roman" w:hAnsi="Times New Roman"/>
          <w:sz w:val="18"/>
          <w:szCs w:val="18"/>
          <w:color w:val="auto"/>
        </w:rPr>
        <w:t>” shall mean the American Depositary Receipts issued under this Deposit Agreement evidencing certificated American Depositary Shares, as the same may be amended from time to time in accordance with the provisions of this Deposit Agreement.</w:t>
      </w:r>
    </w:p>
    <w:p>
      <w:pPr>
        <w:sectPr>
          <w:pgSz w:w="11900" w:h="16838" w:orient="portrait"/>
          <w:cols w:equalWidth="0" w:num="1">
            <w:col w:w="10980"/>
          </w:cols>
          <w:pgMar w:left="440" w:top="270" w:right="479" w:bottom="181" w:gutter="0" w:footer="0" w:header="0"/>
        </w:sectPr>
      </w:pPr>
    </w:p>
    <w:bookmarkStart w:id="304" w:name="page305"/>
    <w:bookmarkEnd w:id="3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1.17. </w:t>
      </w:r>
      <w:r>
        <w:rPr>
          <w:rFonts w:ascii="Times New Roman" w:cs="Times New Roman" w:eastAsia="Times New Roman" w:hAnsi="Times New Roman"/>
          <w:sz w:val="18"/>
          <w:szCs w:val="18"/>
          <w:u w:val="single" w:color="auto"/>
          <w:color w:val="auto"/>
        </w:rPr>
        <w:t>Registrar.</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shall mean any corporation or other entity that is appointed by the Depositary to register American Depositary Shares and transfers of American Depositary Shares as provided in this Deposit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Replacement.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shall have the meaning assigned to it in Section 4.8.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Restricted Securities.</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the Commonwealth of Australia, a shareholder agreement or the articles of association or similar document of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 </w:t>
      </w:r>
      <w:r>
        <w:rPr>
          <w:rFonts w:ascii="Times New Roman" w:cs="Times New Roman" w:eastAsia="Times New Roman" w:hAnsi="Times New Roman"/>
          <w:sz w:val="18"/>
          <w:szCs w:val="18"/>
          <w:u w:val="single" w:color="auto"/>
          <w:color w:val="auto"/>
        </w:rPr>
        <w:t>Securities Act of 1933.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Securities Act of 1933</w:t>
      </w:r>
      <w:r>
        <w:rPr>
          <w:rFonts w:ascii="Times New Roman" w:cs="Times New Roman" w:eastAsia="Times New Roman" w:hAnsi="Times New Roman"/>
          <w:sz w:val="18"/>
          <w:szCs w:val="18"/>
          <w:color w:val="auto"/>
        </w:rPr>
        <w:t>” shall mean the United States Securities Act of 1933, as from time to time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Shares.</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shall mean ordinary shares of the Company that are validly issued and outstanding, fully paid and nonassessable and that were not issued in violation of any pre-emptive or similar rights of the holders of outstanding securities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SWIFT.</w:t>
      </w:r>
    </w:p>
    <w:p>
      <w:pPr>
        <w:spacing w:after="0" w:line="225" w:lineRule="exact"/>
        <w:rPr>
          <w:sz w:val="20"/>
          <w:szCs w:val="20"/>
          <w:color w:val="auto"/>
        </w:rPr>
      </w:pPr>
    </w:p>
    <w:p>
      <w:pPr>
        <w:ind w:right="1160" w:firstLine="991"/>
        <w:spacing w:after="0" w:line="28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SWIFT</w:t>
      </w:r>
      <w:r>
        <w:rPr>
          <w:rFonts w:ascii="Times New Roman" w:cs="Times New Roman" w:eastAsia="Times New Roman" w:hAnsi="Times New Roman"/>
          <w:sz w:val="18"/>
          <w:szCs w:val="18"/>
          <w:color w:val="auto"/>
        </w:rPr>
        <w:t>” shall mean the financial messaging network operated by the Society for Worldwide Interbank Financial Telecommunication, or its successor.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u w:val="single" w:color="auto"/>
          <w:color w:val="auto"/>
        </w:rPr>
        <w:t>Termination Option Event.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Termination Option Event</w:t>
      </w:r>
      <w:r>
        <w:rPr>
          <w:rFonts w:ascii="Times New Roman" w:cs="Times New Roman" w:eastAsia="Times New Roman" w:hAnsi="Times New Roman"/>
          <w:sz w:val="18"/>
          <w:szCs w:val="18"/>
          <w:color w:val="auto"/>
        </w:rPr>
        <w:t>” shall mean any of the following events or conditions:</w:t>
      </w:r>
    </w:p>
    <w:p>
      <w:pPr>
        <w:spacing w:after="0" w:line="225" w:lineRule="exact"/>
        <w:rPr>
          <w:sz w:val="20"/>
          <w:szCs w:val="20"/>
          <w:color w:val="auto"/>
        </w:rPr>
      </w:pPr>
    </w:p>
    <w:p>
      <w:pPr>
        <w:ind w:right="180" w:firstLine="987"/>
        <w:spacing w:after="0" w:line="258" w:lineRule="auto"/>
        <w:tabs>
          <w:tab w:leader="none" w:pos="120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if information becomes publicly available indicating that unsecured claims against the Company are not expected to be paid;</w:t>
      </w:r>
    </w:p>
    <w:p>
      <w:pPr>
        <w:spacing w:after="0" w:line="183" w:lineRule="exact"/>
        <w:rPr>
          <w:rFonts w:ascii="Times New Roman" w:cs="Times New Roman" w:eastAsia="Times New Roman" w:hAnsi="Times New Roman"/>
          <w:sz w:val="18"/>
          <w:szCs w:val="18"/>
          <w:color w:val="auto"/>
        </w:rPr>
      </w:pPr>
    </w:p>
    <w:p>
      <w:pPr>
        <w:ind w:right="200" w:firstLine="987"/>
        <w:spacing w:after="0" w:line="282" w:lineRule="auto"/>
        <w:tabs>
          <w:tab w:leader="none" w:pos="125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delisted, or the Company announces its intention to delist the Shares, from a stock exchange outside the United States, and the Company has not applied to list the Shares on any other stock exchange outside the United States;</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30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Depositary Shares are delisted from a stock exchange in the United States on which the American Depositary Shares were listed and, 30 days after that delisting, the American Depositary Shares have not been listed on another stock exchange in the United States, nor is there a symbol available for over-the-counter trading of the American Depositary Shares in the United States;</w:t>
      </w:r>
    </w:p>
    <w:p>
      <w:pPr>
        <w:spacing w:after="0" w:line="175" w:lineRule="exact"/>
        <w:rPr>
          <w:rFonts w:ascii="Times New Roman" w:cs="Times New Roman" w:eastAsia="Times New Roman" w:hAnsi="Times New Roman"/>
          <w:sz w:val="18"/>
          <w:szCs w:val="18"/>
          <w:color w:val="auto"/>
        </w:rPr>
      </w:pPr>
    </w:p>
    <w:p>
      <w:pPr>
        <w:ind w:right="80" w:firstLine="987"/>
        <w:spacing w:after="0" w:line="282" w:lineRule="auto"/>
        <w:tabs>
          <w:tab w:leader="none" w:pos="129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received notice of facts that indicate, or otherwise has reason to believe, that the American Depositary Shares have become, or with the passage of time will become, ineligible for registration on Form F-6 under the Securities Act of 1933; or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event or condition that is defined as a </w:t>
      </w:r>
      <w:r>
        <w:rPr>
          <w:rFonts w:ascii="Times New Roman" w:cs="Times New Roman" w:eastAsia="Times New Roman" w:hAnsi="Times New Roman"/>
          <w:sz w:val="18"/>
          <w:szCs w:val="18"/>
          <w:u w:val="single" w:color="auto"/>
          <w:color w:val="auto"/>
        </w:rPr>
        <w:t>Termination Option Event</w:t>
      </w:r>
      <w:r>
        <w:rPr>
          <w:rFonts w:ascii="Times New Roman" w:cs="Times New Roman" w:eastAsia="Times New Roman" w:hAnsi="Times New Roman"/>
          <w:sz w:val="18"/>
          <w:szCs w:val="18"/>
          <w:color w:val="auto"/>
        </w:rPr>
        <w:t xml:space="preserve"> in Section 4.1, 4.2 or 4.8.</w:t>
      </w:r>
    </w:p>
    <w:p>
      <w:pPr>
        <w:spacing w:after="0" w:line="33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ARTICLE 2. FORM OF RECEIPTS, DEPOSIT OF SHARES, DELIVERY, TRANSFER AND SURRENDER OF AMERICAN DEPOSITARY SHARES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Form of Receipts; Registration and Transferability of American Depositary Shares.</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 (x) 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any time a proper officer of the Depositary shall, subject to the other provisions of this paragraph, bind the Depositary, even if that person was not a proper officer of the Depositary on the date of issuance of that Receipt.</w:t>
      </w:r>
    </w:p>
    <w:p>
      <w:pPr>
        <w:sectPr>
          <w:pgSz w:w="11900" w:h="16838" w:orient="portrait"/>
          <w:cols w:equalWidth="0" w:num="1">
            <w:col w:w="11020"/>
          </w:cols>
          <w:pgMar w:left="440" w:top="270" w:right="439" w:bottom="856" w:gutter="0" w:footer="0" w:header="0"/>
        </w:sectPr>
      </w:pPr>
    </w:p>
    <w:bookmarkStart w:id="305" w:name="page306"/>
    <w:bookmarkEnd w:id="305"/>
    <w:p>
      <w:pPr>
        <w:ind w:right="40" w:firstLine="991"/>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Receipts and statements confirming registration of American Depositary Shares may have incorporated in or attached to them such legends or recitals or modifications not inconsistent with the provisions of this Deposit Agreement as may be reasonably required by the Company or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 The Depositary shall notify the Company as promptly as practicable if it imposes any legends, recitals or modifications under this paragraph.</w:t>
      </w:r>
    </w:p>
    <w:p>
      <w:pPr>
        <w:spacing w:after="0" w:line="173"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Deposit of Shares.</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spacing w:after="0" w:line="176"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As conditions of accepting Shares for deposit, the Depositary may require (i) any certification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88"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The Depositary will refuse to accept Shares for deposit if the Depositary has received a written notice from the Company that deposit of such Shares would violate applicable laws, rules and regulations, or the Constitution or similar organizational document of the Company.</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spacing w:after="0" w:line="176" w:lineRule="exact"/>
        <w:rPr>
          <w:sz w:val="20"/>
          <w:szCs w:val="20"/>
          <w:color w:val="auto"/>
        </w:rPr>
      </w:pPr>
    </w:p>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t>The Depositary shall instruct each Custodian that, upon each delivery to a Custodian of a certificate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spacing w:after="0" w:line="18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Deposited Securities shall be held by the Depositary or by a Custodian for the account and to the order of the Depositary or at such other place or places as the Depositary shall determine.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Delivery of American Depositary Shares.</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deliver, without unreasonable delay,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Depositary shall deliver only whole numbers of American Depositary Shares.</w:t>
      </w:r>
    </w:p>
    <w:p>
      <w:pPr>
        <w:spacing w:after="0" w:line="19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Registration of Transfer of American Depositary Shares; Combination and Split-up of Receipts; Interchange of Certificated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Uncertificated American Depositary Shares.</w:t>
      </w:r>
    </w:p>
    <w:p>
      <w:pPr>
        <w:spacing w:after="0" w:line="162"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The Depositary, subject to the terms and conditions of this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ectPr>
          <w:pgSz w:w="11900" w:h="16838" w:orient="portrait"/>
          <w:cols w:equalWidth="0" w:num="1">
            <w:col w:w="11000"/>
          </w:cols>
          <w:pgMar w:left="440" w:top="270" w:right="459" w:bottom="1440" w:gutter="0" w:footer="0" w:header="0"/>
        </w:sectPr>
      </w:pPr>
    </w:p>
    <w:bookmarkStart w:id="306" w:name="page307"/>
    <w:bookmarkEnd w:id="306"/>
    <w:p>
      <w:pPr>
        <w:ind w:left="4" w:right="120" w:firstLine="991"/>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58"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87"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The Depositary may appoint one or more co-transfer agents for the purpose of effecting registration of transfers of American Depositary Shares and combinations and split-ups of Receipts at designated transfer offices on behalf of the Depositary, and the Depositary shall notify the Company if it makes an appointment of that kind as promptly as practicable.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Surrender of American Depositary Shares and Withdrawal of Deposited Securities.</w:t>
      </w:r>
    </w:p>
    <w:p>
      <w:pPr>
        <w:spacing w:after="0" w:line="225" w:lineRule="exact"/>
        <w:rPr>
          <w:sz w:val="20"/>
          <w:szCs w:val="20"/>
          <w:color w:val="auto"/>
        </w:rPr>
      </w:pPr>
    </w:p>
    <w:p>
      <w:pPr>
        <w:ind w:left="4"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Times New Roman" w:cs="Times New Roman" w:eastAsia="Times New Roman" w:hAnsi="Times New Roman"/>
          <w:sz w:val="18"/>
          <w:szCs w:val="18"/>
          <w:u w:val="single" w:color="auto"/>
          <w:color w:val="auto"/>
        </w:rPr>
        <w:t>but not</w:t>
      </w:r>
      <w:r>
        <w:rPr>
          <w:rFonts w:ascii="Times New Roman" w:cs="Times New Roman" w:eastAsia="Times New Roman" w:hAnsi="Times New Roman"/>
          <w:sz w:val="18"/>
          <w:szCs w:val="18"/>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Times New Roman" w:cs="Times New Roman" w:eastAsia="Times New Roman" w:hAnsi="Times New Roman"/>
          <w:sz w:val="18"/>
          <w:szCs w:val="18"/>
          <w:u w:val="single" w:color="auto"/>
          <w:color w:val="auto"/>
        </w:rPr>
        <w:t>and except that</w:t>
      </w:r>
      <w:r>
        <w:rPr>
          <w:rFonts w:ascii="Times New Roman" w:cs="Times New Roman" w:eastAsia="Times New Roman" w:hAnsi="Times New Roman"/>
          <w:sz w:val="18"/>
          <w:szCs w:val="18"/>
          <w:color w:val="auto"/>
        </w:rPr>
        <w:t xml:space="preserve"> 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spacing w:after="0" w:line="188" w:lineRule="exact"/>
        <w:rPr>
          <w:sz w:val="20"/>
          <w:szCs w:val="20"/>
          <w:color w:val="auto"/>
        </w:rPr>
      </w:pPr>
    </w:p>
    <w:p>
      <w:pPr>
        <w:ind w:left="4" w:right="180" w:firstLine="991"/>
        <w:spacing w:after="0" w:line="276" w:lineRule="auto"/>
        <w:rPr>
          <w:sz w:val="20"/>
          <w:szCs w:val="20"/>
          <w:color w:val="auto"/>
        </w:rPr>
      </w:pPr>
      <w:r>
        <w:rPr>
          <w:rFonts w:ascii="Times New Roman" w:cs="Times New Roman" w:eastAsia="Times New Roman" w:hAnsi="Times New Roman"/>
          <w:sz w:val="17"/>
          <w:szCs w:val="17"/>
          <w:color w:val="auto"/>
        </w:rPr>
        <w:t>As a condition of accepting a surrender of American Depositary Shares for the purpose of withdrawal of Deposited Securities, the Depositary may require (i) that each surrendered Receipt be properly endorsed in blank or accompanied by proper instruments of transfer in blank and</w:t>
      </w:r>
    </w:p>
    <w:p>
      <w:pPr>
        <w:spacing w:after="0" w:line="1" w:lineRule="exact"/>
        <w:rPr>
          <w:sz w:val="20"/>
          <w:szCs w:val="20"/>
          <w:color w:val="auto"/>
        </w:rPr>
      </w:pPr>
    </w:p>
    <w:p>
      <w:pPr>
        <w:ind w:left="4" w:right="240" w:hanging="4"/>
        <w:spacing w:after="0" w:line="260" w:lineRule="auto"/>
        <w:tabs>
          <w:tab w:leader="none" w:pos="26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surrendering Owner execute and deliver to the Depositary a written order directing the Depositary to cause the Deposited Securities being withdrawn to be delivered to or upon the written order of a person or persons designated in that order.</w:t>
      </w:r>
    </w:p>
    <w:p>
      <w:pPr>
        <w:spacing w:after="0" w:line="181"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spacing w:after="0" w:line="183" w:lineRule="exact"/>
        <w:rPr>
          <w:sz w:val="20"/>
          <w:szCs w:val="20"/>
          <w:color w:val="auto"/>
        </w:rPr>
      </w:pPr>
    </w:p>
    <w:p>
      <w:pPr>
        <w:ind w:left="4"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If Deposited Securities are delivered physically upon surrender of American Depositary Shares for the purpose of withdrawal, that delivery will be made at the Custodian’s office, </w:t>
      </w:r>
      <w:r>
        <w:rPr>
          <w:rFonts w:ascii="Times New Roman" w:cs="Times New Roman" w:eastAsia="Times New Roman" w:hAnsi="Times New Roman"/>
          <w:sz w:val="18"/>
          <w:szCs w:val="18"/>
          <w:u w:val="single" w:color="auto"/>
          <w:color w:val="auto"/>
        </w:rPr>
        <w:t>except that</w:t>
      </w:r>
      <w:r>
        <w:rPr>
          <w:rFonts w:ascii="Times New Roman" w:cs="Times New Roman" w:eastAsia="Times New Roman" w:hAnsi="Times New Roman"/>
          <w:sz w:val="18"/>
          <w:szCs w:val="18"/>
          <w:color w:val="auto"/>
        </w:rPr>
        <w:t>,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Limitations on Delivery, Registration of Transfer and Surrender of American Depositary Shares.</w:t>
      </w:r>
    </w:p>
    <w:p>
      <w:pPr>
        <w:spacing w:after="0" w:line="225" w:lineRule="exact"/>
        <w:rPr>
          <w:sz w:val="20"/>
          <w:szCs w:val="20"/>
          <w:color w:val="auto"/>
        </w:rPr>
      </w:pPr>
    </w:p>
    <w:p>
      <w:pPr>
        <w:ind w:left="4" w:right="140" w:firstLine="991"/>
        <w:spacing w:after="0" w:line="254" w:lineRule="auto"/>
        <w:rPr>
          <w:sz w:val="20"/>
          <w:szCs w:val="20"/>
          <w:color w:val="auto"/>
        </w:rPr>
      </w:pPr>
      <w:r>
        <w:rPr>
          <w:rFonts w:ascii="Times New Roman" w:cs="Times New Roman" w:eastAsia="Times New Roman" w:hAnsi="Times New Roman"/>
          <w:sz w:val="18"/>
          <w:szCs w:val="18"/>
          <w:color w:val="auto"/>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spacing w:after="0" w:line="192"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7"/>
          <w:szCs w:val="17"/>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Times New Roman" w:cs="Times New Roman" w:eastAsia="Times New Roman" w:hAnsi="Times New Roman"/>
          <w:sz w:val="17"/>
          <w:szCs w:val="17"/>
          <w:u w:val="single" w:color="auto"/>
          <w:color w:val="auto"/>
        </w:rPr>
        <w:t>but, notwithstanding anything to the contrary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this Deposit Agreement, only for</w:t>
      </w:r>
      <w:r>
        <w:rPr>
          <w:rFonts w:ascii="Times New Roman" w:cs="Times New Roman" w:eastAsia="Times New Roman" w:hAnsi="Times New Roman"/>
          <w:sz w:val="17"/>
          <w:szCs w:val="17"/>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w:t>
      </w:r>
    </w:p>
    <w:p>
      <w:pPr>
        <w:spacing w:after="0" w:line="5" w:lineRule="exact"/>
        <w:rPr>
          <w:sz w:val="20"/>
          <w:szCs w:val="20"/>
          <w:color w:val="auto"/>
        </w:rPr>
      </w:pPr>
    </w:p>
    <w:p>
      <w:pPr>
        <w:jc w:val="both"/>
        <w:ind w:left="4" w:right="120" w:hanging="4"/>
        <w:spacing w:after="0" w:line="255" w:lineRule="auto"/>
        <w:tabs>
          <w:tab w:leader="none" w:pos="26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w:t>
      </w:r>
    </w:p>
    <w:p>
      <w:pPr>
        <w:sectPr>
          <w:pgSz w:w="11900" w:h="16838" w:orient="portrait"/>
          <w:cols w:equalWidth="0" w:num="1">
            <w:col w:w="11004"/>
          </w:cols>
          <w:pgMar w:left="436" w:top="270" w:right="459" w:bottom="1440" w:gutter="0" w:footer="0" w:header="0"/>
        </w:sectPr>
      </w:pPr>
    </w:p>
    <w:bookmarkStart w:id="307" w:name="page308"/>
    <w:bookmarkEnd w:id="307"/>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Depositary shall not knowingly accept for deposit under this Deposit Agreement any Shares that, at the time of deposit, are Restricted Securities or for which the Depositary has received written instructions from the Company that the deposit of those Shares would violate applicable law or regulation.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Lost Receipts, etc.</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 lost or stolen Receipt.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Cancellation and Destruction of Surrendered Receipts.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Depositary shall cancel all Receipts surrendered to it and is authorized to destroy Receipts so cancelled.</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The Depositary agrees to maintain records of all Receipts surrendered and Deposited Securities withdrawn under Section 2.5, of substitute Receipts delivered under Section 2.7, and of cancelled or destroyed Receipts under this Section, in keeping with procedures ordinarily followed by stock transfer agents located in the United States.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DTC Direct Registration System and Profile Modification System.</w:t>
      </w:r>
    </w:p>
    <w:p>
      <w:pPr>
        <w:spacing w:after="0" w:line="225" w:lineRule="exact"/>
        <w:rPr>
          <w:sz w:val="20"/>
          <w:szCs w:val="20"/>
          <w:color w:val="auto"/>
        </w:rPr>
      </w:pPr>
    </w:p>
    <w:p>
      <w:pPr>
        <w:ind w:right="60" w:firstLine="987"/>
        <w:spacing w:after="0" w:line="255" w:lineRule="auto"/>
        <w:tabs>
          <w:tab w:leader="none" w:pos="123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2.4, the parties acknowledge that DTC’s Direct Registration System (“</w:t>
      </w:r>
      <w:r>
        <w:rPr>
          <w:rFonts w:ascii="Times New Roman" w:cs="Times New Roman" w:eastAsia="Times New Roman" w:hAnsi="Times New Roman"/>
          <w:sz w:val="18"/>
          <w:szCs w:val="18"/>
          <w:u w:val="single" w:color="auto"/>
          <w:color w:val="auto"/>
        </w:rPr>
        <w:t>DRS</w:t>
      </w:r>
      <w:r>
        <w:rPr>
          <w:rFonts w:ascii="Times New Roman" w:cs="Times New Roman" w:eastAsia="Times New Roman" w:hAnsi="Times New Roman"/>
          <w:sz w:val="18"/>
          <w:szCs w:val="18"/>
          <w:color w:val="auto"/>
        </w:rPr>
        <w:t>”) and Profile Modification System (“</w:t>
      </w:r>
      <w:r>
        <w:rPr>
          <w:rFonts w:ascii="Times New Roman" w:cs="Times New Roman" w:eastAsia="Times New Roman" w:hAnsi="Times New Roman"/>
          <w:sz w:val="18"/>
          <w:szCs w:val="18"/>
          <w:u w:val="single" w:color="auto"/>
          <w:color w:val="auto"/>
        </w:rPr>
        <w:t>Profile</w:t>
      </w:r>
      <w:r>
        <w:rPr>
          <w:rFonts w:ascii="Times New Roman" w:cs="Times New Roman" w:eastAsia="Times New Roman" w:hAnsi="Times New Roman"/>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88"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DRS/Profile, the parties acknowledge that the Depositary will not determine whether the DTC participant that is claiming to be acting on behalf of an Owner in requesting a registration of transfer and delivery as described in paragraph (a) above has the 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and otherwise in accordance with this Deposit Agreement shall not constitute negligence or bad faith on the part of the Depositary.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3. CERTAIN OBLIGATIONS OF OWNERS AND HOLDERS OF AMERICAN DEPOSITARY SHARES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Filing Proofs, Certificates and Other Information.</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Any person presenting Shares for deposit or any Owner or Holder may be required from time to time to file with the Depositary or the Custodian such proof of citizenship or residence, taxpayer status, exchange control approval, payment of all applicable taxes or other governmental charges, or such information relating to legal and beneficial ownership, including the registration on the books of the Company or the Foreign Registrar, if applicable, to execute such certificates and to make such representations and warranties, as the Depositary may deem necessary or proper or as the Company may reasonably require by notice to the Depositary.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Each Owner and Holder agrees to provide, in a timely manner, all proofs, information, representations and warranties required under this Section 3.1.</w:t>
      </w:r>
    </w:p>
    <w:p>
      <w:pPr>
        <w:spacing w:after="0" w:line="192" w:lineRule="exact"/>
        <w:rPr>
          <w:sz w:val="20"/>
          <w:szCs w:val="20"/>
          <w:color w:val="auto"/>
        </w:rPr>
      </w:pPr>
    </w:p>
    <w:p>
      <w:pPr>
        <w:ind w:right="140" w:firstLine="991"/>
        <w:spacing w:after="0" w:line="312" w:lineRule="auto"/>
        <w:rPr>
          <w:sz w:val="20"/>
          <w:szCs w:val="20"/>
          <w:color w:val="auto"/>
        </w:rPr>
      </w:pPr>
      <w:r>
        <w:rPr>
          <w:rFonts w:ascii="Times New Roman" w:cs="Times New Roman" w:eastAsia="Times New Roman" w:hAnsi="Times New Roman"/>
          <w:sz w:val="17"/>
          <w:szCs w:val="17"/>
          <w:color w:val="auto"/>
        </w:rPr>
        <w:t>If requested in writing, the Depositary shall, as promptly as practicable, at the Company’s expense, provide the Company with copies of any such proofs, certificates or other information it receives pursuant to this Section 3.1, to the extent that disclosure is permitted under applicable law.</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Liability of Owner for Taxes.</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Times New Roman" w:cs="Times New Roman" w:eastAsia="Times New Roman" w:hAnsi="Times New Roman"/>
          <w:sz w:val="18"/>
          <w:szCs w:val="18"/>
          <w:u w:val="single" w:color="auto"/>
          <w:color w:val="auto"/>
        </w:rPr>
        <w:t>but</w:t>
      </w:r>
      <w:r>
        <w:rPr>
          <w:rFonts w:ascii="Times New Roman" w:cs="Times New Roman" w:eastAsia="Times New Roman" w:hAnsi="Times New Roman"/>
          <w:sz w:val="18"/>
          <w:szCs w:val="18"/>
          <w:color w:val="auto"/>
        </w:rPr>
        <w:t>, even after a sale of that kind, the Owner of those American Depositary Shares shall remain liable for any deficiency.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this Section,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ectPr>
          <w:pgSz w:w="11900" w:h="16838" w:orient="portrait"/>
          <w:cols w:equalWidth="0" w:num="1">
            <w:col w:w="11000"/>
          </w:cols>
          <w:pgMar w:left="440" w:top="270" w:right="459" w:bottom="855" w:gutter="0" w:footer="0" w:header="0"/>
        </w:sectPr>
      </w:pPr>
    </w:p>
    <w:bookmarkStart w:id="308" w:name="page309"/>
    <w:bookmarkEnd w:id="30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3.3. </w:t>
      </w:r>
      <w:r>
        <w:rPr>
          <w:rFonts w:ascii="Times New Roman" w:cs="Times New Roman" w:eastAsia="Times New Roman" w:hAnsi="Times New Roman"/>
          <w:sz w:val="18"/>
          <w:szCs w:val="18"/>
          <w:u w:val="single" w:color="auto"/>
          <w:color w:val="auto"/>
        </w:rPr>
        <w:t>Warranties on Deposit of Shares.</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Disclosure of Interests.</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When required in order to comply with applicable laws and regulations, the rules and requirements of the Australian Securities Exchange, the Nasdaq Global Market or any other stock exchange on which the Shares or the American Depositary Shares are registered, traded or listed or any book-entry settlement system,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in the Company’s reasonable opinion, required for that compliance.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(to be agreed at the time between the Company and the Depositary) and its documented expenses for complying with requests under this Section 3.4.</w:t>
      </w:r>
    </w:p>
    <w:p>
      <w:pPr>
        <w:spacing w:after="0" w:line="190" w:lineRule="exact"/>
        <w:rPr>
          <w:sz w:val="20"/>
          <w:szCs w:val="20"/>
          <w:color w:val="auto"/>
        </w:rPr>
      </w:pPr>
    </w:p>
    <w:p>
      <w:pPr>
        <w:jc w:val="both"/>
        <w:ind w:right="220" w:firstLine="991"/>
        <w:spacing w:after="0" w:line="261" w:lineRule="auto"/>
        <w:rPr>
          <w:sz w:val="20"/>
          <w:szCs w:val="20"/>
          <w:color w:val="auto"/>
        </w:rPr>
      </w:pPr>
      <w:r>
        <w:rPr>
          <w:rFonts w:ascii="Times New Roman" w:cs="Times New Roman" w:eastAsia="Times New Roman" w:hAnsi="Times New Roman"/>
          <w:sz w:val="18"/>
          <w:szCs w:val="18"/>
          <w:color w:val="auto"/>
        </w:rPr>
        <w:t>Each Owner and Holder of American Depositary Shares further agrees to comply with the laws and regulations of the United States and Australia (if and to the extent applicable) with respect to the disclosure requirements regarding beneficial ownership of Shares, all as if the American Depositary Shares were the Shares represented thereby, including requirements to make notifications and filings within the required timeframes to the Company, to the Commission, to the Australian Securities Exchange and any other authorities in the United States or in Australia.</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ARTICLE 4. THE DEPOSITED SECURITIES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Cash Distributions.</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Whenever the Depositary receives any cash dividend or other cash distribution on Deposited Securities, the Depositary shall, subject to the provisions of Section 4.5, convert that dividend or other distribution into Dollars and distribute the amount thus received (net of the fees and expenses of the Depositary as provided in Section 5.9) to the Owners entitled thereto, in proportion to the number of American Depositary Shares representing those Deposited Securities held by them respectively;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Depositary will not pay any Owner a fraction of one cent, but will round each Owner’s entitlement to the nearest whole cent.</w:t>
      </w:r>
    </w:p>
    <w:p>
      <w:pPr>
        <w:spacing w:after="0" w:line="189"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The Company or its agent will remit to the appropriate governmental agency in each applicable jurisdiction all amounts withheld and owing to such agency.</w:t>
      </w:r>
    </w:p>
    <w:p>
      <w:pPr>
        <w:spacing w:after="0" w:line="162"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If a cash distribution would represent a return of all or substantially all the value of the Deposited Securities underlying American Depositary Shares, the Depositary may, after consultation with the Company to the extent practicable:</w:t>
      </w:r>
    </w:p>
    <w:p>
      <w:pPr>
        <w:spacing w:after="0" w:line="162" w:lineRule="exact"/>
        <w:rPr>
          <w:sz w:val="20"/>
          <w:szCs w:val="20"/>
          <w:color w:val="auto"/>
        </w:rPr>
      </w:pPr>
    </w:p>
    <w:p>
      <w:pPr>
        <w:ind w:right="460" w:firstLine="987"/>
        <w:spacing w:after="0" w:line="282" w:lineRule="auto"/>
        <w:tabs>
          <w:tab w:leader="none" w:pos="120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payment of or deduct the fee for surrender of American Depositary Shares (whether or not it is also requiring surrender of American Depositary Shares) as a condition of making that cash distribution; or</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5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Deposited Securities other than the subject cash distribution and add any net cash proceeds of that sale to the cash distribution, call for surrender of all those American Depositary Shares and require that surrender as a condition of making that cash distribution.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the Depositary acts under this paragraph, that action shall also be a </w:t>
      </w:r>
      <w:r>
        <w:rPr>
          <w:rFonts w:ascii="Times New Roman" w:cs="Times New Roman" w:eastAsia="Times New Roman" w:hAnsi="Times New Roman"/>
          <w:sz w:val="18"/>
          <w:szCs w:val="18"/>
          <w:u w:val="single" w:color="auto"/>
          <w:color w:val="auto"/>
        </w:rPr>
        <w:t>Termination Option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Distributions Other Than Cash, Shares or Rights.</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provisions of Sections 4.11 and 5.9, whenever the Depositary receives any distribution other than a distribution described in Section 4.1, 4.3 or 4.4 on Deposited Securities (but not in exchange for or in conversion or in lieu of Deposited Securities), the Depositary shall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deems equitable and practicable for accomplishing that distribution (which may be a distribution of depositary shares representing the securities received);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after consultation with the Company to the extent practicable, deems such distribution not to be lawful and feasible, the Depositary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Section 5.9) to the Owners entitled thereto, all in the manner and subject to the</w:t>
      </w:r>
    </w:p>
    <w:p>
      <w:pPr>
        <w:sectPr>
          <w:pgSz w:w="11900" w:h="16838" w:orient="portrait"/>
          <w:cols w:equalWidth="0" w:num="1">
            <w:col w:w="11000"/>
          </w:cols>
          <w:pgMar w:left="440" w:top="270" w:right="459" w:bottom="1071" w:gutter="0" w:footer="0" w:header="0"/>
        </w:sectPr>
      </w:pPr>
    </w:p>
    <w:bookmarkStart w:id="309" w:name="page310"/>
    <w:bookmarkEnd w:id="30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conditions set forth in Section 4.1. The Depositary may withhold any distribution of securities under this Section 4.2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If a distribution to be made under this Section 4.2 would represent a return of all or substantially all the value of the Deposited Securities underlying American Depositary Shares, the Depositary may, after consultation with the Company to the extent practicable:</w:t>
      </w:r>
    </w:p>
    <w:p>
      <w:pPr>
        <w:spacing w:after="0" w:line="162" w:lineRule="exact"/>
        <w:rPr>
          <w:sz w:val="20"/>
          <w:szCs w:val="20"/>
          <w:color w:val="auto"/>
        </w:rPr>
      </w:pPr>
    </w:p>
    <w:p>
      <w:pPr>
        <w:ind w:right="460" w:firstLine="987"/>
        <w:spacing w:after="0" w:line="282" w:lineRule="auto"/>
        <w:tabs>
          <w:tab w:leader="none" w:pos="120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payment of or deduct the fee for surrender of American Depositary Shares (whether or not it is also requiring surrender of American Depositary Shares) as a condition of making that distribution; or</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5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Deposited Securities other than the subject distribution and add any net cash proceeds of that sale to the distribution, call for surrender of all those American Depositary Shares and require that surrender as a condition of making that distribution.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the Depositary acts under this paragraph, that action shall also be a </w:t>
      </w:r>
      <w:r>
        <w:rPr>
          <w:rFonts w:ascii="Times New Roman" w:cs="Times New Roman" w:eastAsia="Times New Roman" w:hAnsi="Times New Roman"/>
          <w:sz w:val="18"/>
          <w:szCs w:val="18"/>
          <w:u w:val="single" w:color="auto"/>
          <w:color w:val="auto"/>
        </w:rPr>
        <w:t>Termination Option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Distributions in Shares.</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Whenever the Depositary receives any distribution on Deposited Securities consisting of a dividend in, or free distribution of, Shares, the Depositary may, and if the Company so requests in writing, shall,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 that has not been effected.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Rights.</w:t>
      </w:r>
    </w:p>
    <w:p>
      <w:pPr>
        <w:spacing w:after="0" w:line="225" w:lineRule="exact"/>
        <w:rPr>
          <w:sz w:val="20"/>
          <w:szCs w:val="20"/>
          <w:color w:val="auto"/>
        </w:rPr>
      </w:pPr>
    </w:p>
    <w:p>
      <w:pPr>
        <w:ind w:right="20" w:firstLine="987"/>
        <w:spacing w:after="0" w:line="255" w:lineRule="auto"/>
        <w:tabs>
          <w:tab w:leader="none" w:pos="123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88"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 For the avoidance of doubt, nothing in this Deposit Agreement shall create any obligation on the part of the Company to file a registration statement under the Securities Act of 1933 with respect to rights or the underlying securities or to endeavor to have such a registration statement declared effective by the Commission.</w:t>
      </w:r>
    </w:p>
    <w:p>
      <w:pPr>
        <w:spacing w:after="0" w:line="191" w:lineRule="exact"/>
        <w:rPr>
          <w:rFonts w:ascii="Times New Roman" w:cs="Times New Roman" w:eastAsia="Times New Roman" w:hAnsi="Times New Roman"/>
          <w:sz w:val="18"/>
          <w:szCs w:val="18"/>
          <w:color w:val="auto"/>
        </w:rPr>
      </w:pPr>
    </w:p>
    <w:p>
      <w:pPr>
        <w:ind w:firstLine="987"/>
        <w:spacing w:after="0" w:line="281" w:lineRule="auto"/>
        <w:tabs>
          <w:tab w:leader="none" w:pos="1236"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64" w:lineRule="exact"/>
        <w:rPr>
          <w:rFonts w:ascii="Times New Roman" w:cs="Times New Roman" w:eastAsia="Times New Roman" w:hAnsi="Times New Roman"/>
          <w:sz w:val="17"/>
          <w:szCs w:val="17"/>
          <w:color w:val="auto"/>
        </w:rPr>
      </w:pPr>
    </w:p>
    <w:p>
      <w:pPr>
        <w:ind w:firstLine="987"/>
        <w:spacing w:after="0" w:line="258" w:lineRule="auto"/>
        <w:tabs>
          <w:tab w:leader="none" w:pos="124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 The Depositary may enter into any arrangements with the Company or persons acting on behalf of the Company to effect the orderly disposal or such rights.</w:t>
      </w:r>
    </w:p>
    <w:p>
      <w:pPr>
        <w:sectPr>
          <w:pgSz w:w="11900" w:h="16838" w:orient="portrait"/>
          <w:cols w:equalWidth="0" w:num="1">
            <w:col w:w="11000"/>
          </w:cols>
          <w:pgMar w:left="440" w:top="270" w:right="459" w:bottom="1440" w:gutter="0" w:footer="0" w:header="0"/>
        </w:sectPr>
      </w:pPr>
    </w:p>
    <w:bookmarkStart w:id="310" w:name="page311"/>
    <w:bookmarkEnd w:id="310"/>
    <w:p>
      <w:pPr>
        <w:ind w:right="180" w:firstLine="987"/>
        <w:spacing w:after="0" w:line="266" w:lineRule="auto"/>
        <w:tabs>
          <w:tab w:leader="none" w:pos="123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spacing w:after="0" w:line="175" w:lineRule="exact"/>
        <w:rPr>
          <w:rFonts w:ascii="Times New Roman" w:cs="Times New Roman" w:eastAsia="Times New Roman" w:hAnsi="Times New Roman"/>
          <w:sz w:val="18"/>
          <w:szCs w:val="18"/>
          <w:color w:val="auto"/>
        </w:rPr>
      </w:pPr>
    </w:p>
    <w:p>
      <w:pPr>
        <w:ind w:right="440" w:firstLine="987"/>
        <w:spacing w:after="0" w:line="282" w:lineRule="auto"/>
        <w:tabs>
          <w:tab w:leader="none" w:pos="121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Depositary shall be responsible for any failure to determine that it may be lawful or feasible to make rights available to or exercise rights on behalf of Owners in general or any Owner in particular, or to sell rights.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Conversion of Foreign Currency.</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distributed, as promptly as practicable,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spacing w:after="0" w:line="189"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If the Depositary, after consultation with the Company to the extent practicable,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8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 when buying or selling foreign currency for its own account. The Depositary makes no representation that the exchange rate used or obtained by it or its affiliate in any currency conversion under this Deposit Agreement will be the most favorable rate that could be obtained at the time or that the method by which that rate will be determined will be the most favorable to Owners, subject to the Depositary’s obligations under Section 5.3.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Fixing of Record Date.</w:t>
      </w:r>
    </w:p>
    <w:p>
      <w:pPr>
        <w:spacing w:after="0" w:line="22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Voting of Deposited Shares.</w:t>
      </w:r>
    </w:p>
    <w:p>
      <w:pPr>
        <w:spacing w:after="0" w:line="225" w:lineRule="exact"/>
        <w:rPr>
          <w:sz w:val="20"/>
          <w:szCs w:val="20"/>
          <w:color w:val="auto"/>
        </w:rPr>
      </w:pPr>
    </w:p>
    <w:p>
      <w:pPr>
        <w:ind w:right="40" w:firstLine="987"/>
        <w:spacing w:after="0" w:line="266" w:lineRule="auto"/>
        <w:tabs>
          <w:tab w:leader="none" w:pos="12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w:t>
      </w:r>
    </w:p>
    <w:p>
      <w:pPr>
        <w:sectPr>
          <w:pgSz w:w="11900" w:h="16838" w:orient="portrait"/>
          <w:cols w:equalWidth="0" w:num="1">
            <w:col w:w="11020"/>
          </w:cols>
          <w:pgMar w:left="440" w:top="270" w:right="439" w:bottom="627" w:gutter="0" w:footer="0" w:header="0"/>
        </w:sectPr>
      </w:pPr>
    </w:p>
    <w:bookmarkStart w:id="311" w:name="page312"/>
    <w:bookmarkEnd w:id="311"/>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Depositary, that shall contain (i) the information contained in the notice of meeting received by the Depositary, (ii) a statement that the Owners as of the close of business on a specified record date will be entitled, subject to any applicable provision of Australian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Times New Roman" w:cs="Times New Roman" w:eastAsia="Times New Roman" w:hAnsi="Times New Roman"/>
          <w:sz w:val="18"/>
          <w:szCs w:val="18"/>
          <w:u w:val="single" w:color="auto"/>
          <w:color w:val="auto"/>
        </w:rPr>
        <w:t>Instruction Cutoff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20" w:firstLine="987"/>
        <w:spacing w:after="0" w:line="256" w:lineRule="auto"/>
        <w:tabs>
          <w:tab w:leader="none" w:pos="125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87"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61"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5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30 days prior to the meeting date.</w:t>
      </w:r>
    </w:p>
    <w:p>
      <w:pPr>
        <w:spacing w:after="0" w:line="179"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4.7 to the contrary, the Depositary and the Company may mutually agree to modify, amend or adopt additional procedures with respect to voting Deposited Securities from time to time as they determine may be necessary or appropriate to comply with applicable laws and regulations.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Tender and Exchange Offers; Redemption, Replacement or Cancellation of Deposited Securities.</w:t>
      </w:r>
    </w:p>
    <w:p>
      <w:pPr>
        <w:spacing w:after="0" w:line="225" w:lineRule="exact"/>
        <w:rPr>
          <w:sz w:val="20"/>
          <w:szCs w:val="20"/>
          <w:color w:val="auto"/>
        </w:rPr>
      </w:pPr>
    </w:p>
    <w:p>
      <w:pPr>
        <w:ind w:left="4" w:right="40" w:firstLine="987"/>
        <w:spacing w:after="0" w:line="261" w:lineRule="auto"/>
        <w:tabs>
          <w:tab w:leader="none" w:pos="12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Depositary shall not tender any Deposited Securities in response to any voluntary cash tender offer, exchange offer or similar offer (including a takeover offer made under Chapter 6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made to holders of Deposited Securities (a “</w:t>
      </w:r>
      <w:r>
        <w:rPr>
          <w:rFonts w:ascii="Times New Roman" w:cs="Times New Roman" w:eastAsia="Times New Roman" w:hAnsi="Times New Roman"/>
          <w:sz w:val="18"/>
          <w:szCs w:val="18"/>
          <w:u w:val="single" w:color="auto"/>
          <w:color w:val="auto"/>
        </w:rPr>
        <w:t>Voluntary Offer</w:t>
      </w:r>
      <w:r>
        <w:rPr>
          <w:rFonts w:ascii="Times New Roman" w:cs="Times New Roman" w:eastAsia="Times New Roman" w:hAnsi="Times New Roman"/>
          <w:sz w:val="18"/>
          <w:szCs w:val="18"/>
          <w:color w:val="auto"/>
        </w:rPr>
        <w:t>”), except when instructed in writing to do so by an Owner surrendering American Depositary Shares and subject to any conditions or procedures the Depositary may require.</w:t>
      </w:r>
    </w:p>
    <w:p>
      <w:pPr>
        <w:spacing w:after="0" w:line="179"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25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Depositary receives a written notice that Deposited Securities have been redeemed for cash or otherwise purchased for cash in a transaction that is mandatory and binding on the Depositary as a holder of those Deposited Securities (including the implementation of a scheme of arrangement under Part 5.1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and compulsory acquisition under Chapter 6A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(a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Depositary, at the expense of the Company (unless otherwise agreed in writing between the Company and the Depositary), shall</w:t>
      </w:r>
    </w:p>
    <w:p>
      <w:pPr>
        <w:spacing w:after="0" w:line="2"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surrender Deposited Securities that have been redeemed to the issuer of those securities or its agent on the redemption date,</w:t>
      </w:r>
    </w:p>
    <w:p>
      <w:pPr>
        <w:spacing w:after="0" w:line="9" w:lineRule="exact"/>
        <w:rPr>
          <w:rFonts w:ascii="Times New Roman" w:cs="Times New Roman" w:eastAsia="Times New Roman" w:hAnsi="Times New Roman"/>
          <w:sz w:val="18"/>
          <w:szCs w:val="18"/>
          <w:color w:val="auto"/>
        </w:rPr>
      </w:pPr>
    </w:p>
    <w:p>
      <w:pPr>
        <w:ind w:left="4" w:hanging="4"/>
        <w:spacing w:after="0" w:line="265" w:lineRule="auto"/>
        <w:tabs>
          <w:tab w:leader="none" w:pos="269"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and (iii) distribute the money received upon that Redemption to the Owners entitled to it upon surrender by them of called American Depositary Shares in accordance with</w:t>
      </w:r>
    </w:p>
    <w:p>
      <w:pPr>
        <w:ind w:left="4" w:right="18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Times New Roman" w:cs="Times New Roman" w:eastAsia="Times New Roman" w:hAnsi="Times New Roman"/>
          <w:sz w:val="17"/>
          <w:szCs w:val="17"/>
          <w:u w:val="single" w:color="auto"/>
          <w:color w:val="auto"/>
        </w:rPr>
        <w:t>except that</w:t>
      </w:r>
      <w:r>
        <w:rPr>
          <w:rFonts w:ascii="Times New Roman" w:cs="Times New Roman" w:eastAsia="Times New Roman" w:hAnsi="Times New Roman"/>
          <w:sz w:val="17"/>
          <w:szCs w:val="17"/>
          <w:color w:val="auto"/>
        </w:rPr>
        <w:t xml:space="preserve"> the allocations may be adjusted so that no fraction of a converted American Depositary Share is allocated to any Owner. A Redemption of all or substantially all of the Deposited Securities shall be a </w:t>
      </w:r>
      <w:r>
        <w:rPr>
          <w:rFonts w:ascii="Times New Roman" w:cs="Times New Roman" w:eastAsia="Times New Roman" w:hAnsi="Times New Roman"/>
          <w:sz w:val="17"/>
          <w:szCs w:val="17"/>
          <w:u w:val="single" w:color="auto"/>
          <w:color w:val="auto"/>
        </w:rPr>
        <w:t>Termination Option Event</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ind w:left="4" w:right="120" w:firstLine="987"/>
        <w:spacing w:after="0" w:line="253" w:lineRule="auto"/>
        <w:tabs>
          <w:tab w:leader="none" w:pos="12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the Depositary shall, if required, surrender the old Deposited Securities affected by that Replacement of Shares and hold, as new Deposited Securities under this Deposit Agreement, the new securities or other property delivered to it in that Replacement.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Depositary may elect to sell those new Deposited Securities if in the opinion of the Depositary, after consultation with the Company to the extent practicable, it is not lawful or not practical for it to hold those new Deposited Securities under this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Times New Roman" w:cs="Times New Roman" w:eastAsia="Times New Roman" w:hAnsi="Times New Roman"/>
          <w:sz w:val="18"/>
          <w:szCs w:val="18"/>
          <w:u w:val="single" w:color="auto"/>
          <w:color w:val="auto"/>
        </w:rPr>
        <w:t>Termination Option Event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after consultation with the Company to the extent practicable,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ectPr>
          <w:pgSz w:w="11900" w:h="16838" w:orient="portrait"/>
          <w:cols w:equalWidth="0" w:num="1">
            <w:col w:w="11004"/>
          </w:cols>
          <w:pgMar w:left="436" w:top="270" w:right="459" w:bottom="1440" w:gutter="0" w:footer="0" w:header="0"/>
        </w:sectPr>
      </w:pPr>
    </w:p>
    <w:bookmarkStart w:id="312" w:name="page313"/>
    <w:bookmarkEnd w:id="312"/>
    <w:p>
      <w:pPr>
        <w:jc w:val="both"/>
        <w:ind w:left="4" w:right="40" w:firstLine="987"/>
        <w:spacing w:after="0" w:line="261" w:lineRule="auto"/>
        <w:tabs>
          <w:tab w:leader="none" w:pos="12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there are no Deposited Securities with respect to American Depositary Shares, including if the Deposited Securities are cancelled, or the Deposited Securities with respect to American Depositary Shares have become apparently worthless, the Depositary may call for surrender of those American Depositary Shares or may cancel those American Depositary Shares, upon notice to Owners, and that condition shall be a </w:t>
      </w:r>
      <w:r>
        <w:rPr>
          <w:rFonts w:ascii="Times New Roman" w:cs="Times New Roman" w:eastAsia="Times New Roman" w:hAnsi="Times New Roman"/>
          <w:sz w:val="18"/>
          <w:szCs w:val="18"/>
          <w:u w:val="single" w:color="auto"/>
          <w:color w:val="auto"/>
        </w:rPr>
        <w:t>Termination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Reports.</w:t>
      </w:r>
    </w:p>
    <w:p>
      <w:pPr>
        <w:spacing w:after="0" w:line="22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Lists of Owners.</w:t>
      </w:r>
    </w:p>
    <w:p>
      <w:pPr>
        <w:spacing w:after="0" w:line="225" w:lineRule="exact"/>
        <w:rPr>
          <w:sz w:val="20"/>
          <w:szCs w:val="20"/>
          <w:color w:val="auto"/>
        </w:rPr>
      </w:pPr>
    </w:p>
    <w:p>
      <w:pPr>
        <w:ind w:left="4" w:right="260" w:firstLine="991"/>
        <w:spacing w:after="0" w:line="312" w:lineRule="auto"/>
        <w:rPr>
          <w:sz w:val="20"/>
          <w:szCs w:val="20"/>
          <w:color w:val="auto"/>
        </w:rPr>
      </w:pPr>
      <w:r>
        <w:rPr>
          <w:rFonts w:ascii="Times New Roman" w:cs="Times New Roman" w:eastAsia="Times New Roman" w:hAnsi="Times New Roman"/>
          <w:sz w:val="17"/>
          <w:szCs w:val="17"/>
          <w:color w:val="auto"/>
        </w:rPr>
        <w:t>Upon written request by the Company, the Depositary shall, at the expense of the Company (unless otherwise agreed between the Company and the Depositary), furnish to it a list, as of a recent date, of the names, addresses and American Depositary Share holdings of all Owners.</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Withholding.</w:t>
      </w:r>
    </w:p>
    <w:p>
      <w:pPr>
        <w:spacing w:after="0" w:line="22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83" w:lineRule="exact"/>
        <w:rPr>
          <w:sz w:val="20"/>
          <w:szCs w:val="20"/>
          <w:color w:val="auto"/>
        </w:rPr>
      </w:pPr>
    </w:p>
    <w:p>
      <w:pPr>
        <w:ind w:left="4" w:right="20" w:firstLine="991"/>
        <w:spacing w:after="0" w:line="312" w:lineRule="auto"/>
        <w:rPr>
          <w:sz w:val="20"/>
          <w:szCs w:val="20"/>
          <w:color w:val="auto"/>
        </w:rPr>
      </w:pPr>
      <w:r>
        <w:rPr>
          <w:rFonts w:ascii="Times New Roman" w:cs="Times New Roman" w:eastAsia="Times New Roman" w:hAnsi="Times New Roman"/>
          <w:sz w:val="17"/>
          <w:szCs w:val="17"/>
          <w:color w:val="auto"/>
        </w:rPr>
        <w:t>Services for Owners and Holders that may permit them to obtain reduced rates of tax withholding at source or reclaim excess tax withheld, and the fees and costs associated with using services of that kind, are not provided under, and are outside the scope of, this Deposit Agreement.</w:t>
      </w:r>
    </w:p>
    <w:p>
      <w:pPr>
        <w:spacing w:after="0" w:line="140"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Each Owner and Holder agrees to indemnify the Company, the Depositary, the Custodian and their respective directors, employees, agents and affiliates for, and hold each of them harmless against, any claim by any governmental authority or any other entity or person with respect to taxes, additions to tax, penalties or interest arising out of any refund of taxes, reduced withholding at source or other tax benefit received by it. The obligations of Owners and Holders under the preceding sentence shall survive any transfer of American Depositary Shares or surrender of American Depositary Shares and withdrawal of Deposited Securities and the termination of this Deposit Agreement.</w:t>
      </w:r>
    </w:p>
    <w:p>
      <w:pPr>
        <w:spacing w:after="0" w:line="29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ARTICLE 5. THE DEPOSITARY, THE CUSTODIANS AND THE COMPANY</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Maintenance of Office and Register by the Depositary.</w:t>
      </w:r>
    </w:p>
    <w:p>
      <w:pPr>
        <w:spacing w:after="0" w:line="225" w:lineRule="exact"/>
        <w:rPr>
          <w:sz w:val="20"/>
          <w:szCs w:val="20"/>
          <w:color w:val="auto"/>
        </w:rPr>
      </w:pPr>
    </w:p>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t>Until termination of this Deposit Agreement in accordance with its terms, the Depositary shall maintain facilities for the delivery, registration of transfers and surrender of American Depositary Shares in accordance with the provisions of this Deposit Agreement.</w:t>
      </w:r>
    </w:p>
    <w:p>
      <w:pPr>
        <w:spacing w:after="0" w:line="162" w:lineRule="exact"/>
        <w:rPr>
          <w:sz w:val="20"/>
          <w:szCs w:val="20"/>
          <w:color w:val="auto"/>
        </w:rPr>
      </w:pPr>
    </w:p>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The Depositary shall keep a register of all Owners and all outstanding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176" w:lineRule="exact"/>
        <w:rPr>
          <w:sz w:val="20"/>
          <w:szCs w:val="20"/>
          <w:color w:val="auto"/>
        </w:rPr>
      </w:pPr>
    </w:p>
    <w:p>
      <w:pPr>
        <w:jc w:val="both"/>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The Depositary may close the register for delivery, registration of transfer or surrender for the purpose of withdrawal from time to time as provided in Section 2.6.</w:t>
      </w:r>
    </w:p>
    <w:p>
      <w:pPr>
        <w:spacing w:after="0" w:line="162"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If any American Depositary Shares are listed on one or more stock exchanges, the Depositary shall act as Registrar or appoint a Registrar or one or more co-registrars for registration of those American Depositary Shares in accordance with any requirements of that exchange or those exchanges. The Depositary shall notify the Company if it makes any appointment of that kind.</w:t>
      </w:r>
    </w:p>
    <w:p>
      <w:pPr>
        <w:spacing w:after="0" w:line="176"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The Company shall have the right, at all reasonable times, upon written request, to inspect the books and transfer and registration records of the Depositary, the Registrar and any co-transfer agents or co-registrars and to require such parties to supply, at the Company’s expense, copies of such portions of their records as the Company may reasonably request.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Prevention or Delay of Performance by the Company or the Depositary.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Neither the Depositary nor the Company nor any of their respective directors, employees, agents or affiliates shall incur any liability to any</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Owner or Holder:</w:t>
      </w:r>
    </w:p>
    <w:p>
      <w:pPr>
        <w:spacing w:after="0" w:line="207" w:lineRule="exact"/>
        <w:rPr>
          <w:sz w:val="20"/>
          <w:szCs w:val="20"/>
          <w:color w:val="auto"/>
        </w:rPr>
      </w:pPr>
    </w:p>
    <w:p>
      <w:pPr>
        <w:ind w:left="4" w:right="240" w:firstLine="987"/>
        <w:spacing w:after="0" w:line="276" w:lineRule="auto"/>
        <w:tabs>
          <w:tab w:leader="none" w:pos="1210"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by reason of (A) any provision of any present or future law or regulation or other act of the government of the United States, any State of the United States or any other state or jurisdiction, or of any other country, or of any governmental or regulatory authority or stock exchange;</w:t>
      </w:r>
    </w:p>
    <w:p>
      <w:pPr>
        <w:ind w:left="4" w:right="80" w:hanging="4"/>
        <w:spacing w:after="0" w:line="251" w:lineRule="auto"/>
        <w:tabs>
          <w:tab w:leader="none" w:pos="28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sectPr>
          <w:pgSz w:w="11900" w:h="16838" w:orient="portrait"/>
          <w:cols w:equalWidth="0" w:num="1">
            <w:col w:w="11004"/>
          </w:cols>
          <w:pgMar w:left="436" w:top="270" w:right="459" w:bottom="213" w:gutter="0" w:footer="0" w:header="0"/>
        </w:sectPr>
      </w:pPr>
    </w:p>
    <w:bookmarkStart w:id="313" w:name="page314"/>
    <w:bookmarkEnd w:id="313"/>
    <w:p>
      <w:pPr>
        <w:ind w:right="220" w:firstLine="987"/>
        <w:spacing w:after="0" w:line="282" w:lineRule="auto"/>
        <w:tabs>
          <w:tab w:leader="none" w:pos="125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any exercise of, or failure to exercise, any discretion provided for in this Deposit Agreement (including any determination by the Depositary to take, or not take, any action that this Deposit Agreement provides the Depositary may take);</w:t>
      </w:r>
    </w:p>
    <w:p>
      <w:pPr>
        <w:spacing w:after="0" w:line="161" w:lineRule="exact"/>
        <w:rPr>
          <w:rFonts w:ascii="Times New Roman" w:cs="Times New Roman" w:eastAsia="Times New Roman" w:hAnsi="Times New Roman"/>
          <w:sz w:val="18"/>
          <w:szCs w:val="18"/>
          <w:color w:val="auto"/>
        </w:rPr>
      </w:pPr>
    </w:p>
    <w:p>
      <w:pPr>
        <w:ind w:right="460" w:firstLine="987"/>
        <w:spacing w:after="0" w:line="282" w:lineRule="auto"/>
        <w:tabs>
          <w:tab w:leader="none" w:pos="130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inability of any Owner or Holder to benefit from any distribution, offering, right or other benefit that is made available to holders of Deposited Securities but is not, under the terms of this Deposit Agreement, made available to Owners or Holders; or</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special, consequential, indirect, or punitive damages for any breach of the terms of this Deposit Agreement.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Obligations of the Depositary and the Company.</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The Company and its directors, officers, employees, agents, controlling persons and affiliates assume no obligation nor shall any of them be subject to any liability under this Deposit Agreement to any Owner or Holder, except that the Company agrees to perform its obligations specifically set forth in this Deposit Agreement without gross negligence or bad faith.</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Depositary assumes no obligation nor shall it be subject to any liability under this Deposit Agreement to any Owner or Holder (including, without limitation, liability with respect to the validity or worth of the Deposited Securities), except that the Depositary agrees to perform its obligations specifically set forth in this Deposit Agreement without negligence or bad faith, and the Depositary shall not be a fiduciary or have any fiduciary duty to Owners or Holders.</w:t>
      </w:r>
    </w:p>
    <w:p>
      <w:pPr>
        <w:spacing w:after="0" w:line="18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nor any of their respective directors, officers, employees, agents, controlling persons and affiliates shall be under any obligation to appear in, prosecute or defend any action, suit or other proceeding in respect of any Deposited Securities or in respect of the American Depositary Shares on behalf of any Owner or Holder or any other person.</w:t>
      </w:r>
    </w:p>
    <w:p>
      <w:pPr>
        <w:spacing w:after="0" w:line="176"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Each of the Depositary and the Company and any of their respective directors, officers, employees, agents, controlling persons and affiliates may rely, and shall be protected in relying upon, any written notice, request, direction or other document believed by it to be genuine and to have been signed or presented by the proper party or parties.</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any action or non-action by it in reliance upon the advice of or information from legal counsel, accountants, any person presenting Shares for deposit, any Owner or any other person believed by it in good faith to be competent to give such advice or information.</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Neither the Company nor the Depositary shall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Depositary shall not be liable for the acts or omissions of any securities depository, clearing agency or settlement system in connection with or arising out of book-entry settlement of American Depositary Shares or Deposited Securities or otherwise.</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In the absence of bad faith on its part, the Depositary shall not be responsible for any failure to carry out any instructions to vote any of the Deposited Securities, or for the manner in which any such vote is cast or the effect of any such vote.</w:t>
      </w:r>
    </w:p>
    <w:p>
      <w:pPr>
        <w:spacing w:after="0" w:line="16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Neither the Company nor the Depositary shall have any duty to make any determination or provide any information as to the tax status of the Company or any liability for any tax consequences that may be incurred by Owners or Holders as a result of owning or holding American Depositary Shares, including without limitation, tax consequences resulting from the Company (or any of its subsidiaries) being treated as a “Passive Foreign Investment Company” (“</w:t>
      </w:r>
      <w:r>
        <w:rPr>
          <w:rFonts w:ascii="Times New Roman" w:cs="Times New Roman" w:eastAsia="Times New Roman" w:hAnsi="Times New Roman"/>
          <w:sz w:val="18"/>
          <w:szCs w:val="18"/>
          <w:u w:val="single" w:color="auto"/>
          <w:color w:val="auto"/>
        </w:rPr>
        <w:t>PFIC</w:t>
      </w:r>
      <w:r>
        <w:rPr>
          <w:rFonts w:ascii="Times New Roman" w:cs="Times New Roman" w:eastAsia="Times New Roman" w:hAnsi="Times New Roman"/>
          <w:sz w:val="18"/>
          <w:szCs w:val="18"/>
          <w:color w:val="auto"/>
        </w:rPr>
        <w:t>”) (in each case as defined in the U.S. Internal Revenue Code of 1986, as amended, and the regulations issued thereunder) or otherwise. The Company may have been in the past and may be in the future a PFIC for U.S. Federal income tax purposes. Owners must consult their own tax advisers as to the potential application of the PFIC rules. Neither the Company nor the Depositary shall be liable for the inability or failure of an Owner or Holder to obtain the benefit of a foreign tax credit, reduced rate of withholding or refund of amounts withheld in respect of tax or any other tax benefit.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disclaimer of liability under the United States federal securities laws is intended by any provision of this Deposit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Resignation and Removal of the Depositary.</w:t>
      </w:r>
    </w:p>
    <w:p>
      <w:pPr>
        <w:spacing w:after="0" w:line="225"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this Section.</w:t>
      </w:r>
    </w:p>
    <w:p>
      <w:pPr>
        <w:sectPr>
          <w:pgSz w:w="11900" w:h="16838" w:orient="portrait"/>
          <w:cols w:equalWidth="0" w:num="1">
            <w:col w:w="11000"/>
          </w:cols>
          <w:pgMar w:left="440" w:top="270" w:right="459" w:bottom="1440" w:gutter="0" w:footer="0" w:header="0"/>
        </w:sectPr>
      </w:pPr>
    </w:p>
    <w:bookmarkStart w:id="314" w:name="page315"/>
    <w:bookmarkEnd w:id="314"/>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Depositary resigns or is removed, the Company shall use reasonable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 (i) 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spacing w:after="0" w:line="194"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Any corporation or other entity into or with which the Depositary may be merged or consolidated shall be the successor of the Depositary without the execution or filing of any document or any further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The Custodians.</w:t>
      </w:r>
    </w:p>
    <w:p>
      <w:pPr>
        <w:spacing w:after="0" w:line="22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The Custodian shall be subject at all times and in all respects to the directions of the Depositary and shall be responsible solely to it. The Depositary in its 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require any Custodian that resigns or is removed to deliver all Deposited Securities held by it to another Custodian. The Depositary shall notify the Company of the appointment of a substitute or additional Custodian as promptly as practicable and, if practicable, prior to the effectiveness of such appointment.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Notices and Reports.</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decision as soon as it is lawful and practical to give that notice. The notice shall be in English and shall include all details that the Company is required to include in any notice to any governmental or regulatory authority or securities exchange or is required to make available generally to holders of Shares by publication or otherwise.</w:t>
      </w:r>
    </w:p>
    <w:p>
      <w:pPr>
        <w:spacing w:after="0" w:line="183" w:lineRule="exact"/>
        <w:rPr>
          <w:sz w:val="20"/>
          <w:szCs w:val="20"/>
          <w:color w:val="auto"/>
        </w:rPr>
      </w:pPr>
    </w:p>
    <w:p>
      <w:pPr>
        <w:ind w:right="180" w:firstLine="991"/>
        <w:spacing w:after="0" w:line="254" w:lineRule="auto"/>
        <w:rPr>
          <w:sz w:val="20"/>
          <w:szCs w:val="20"/>
          <w:color w:val="auto"/>
        </w:rPr>
      </w:pPr>
      <w:r>
        <w:rPr>
          <w:rFonts w:ascii="Times New Roman" w:cs="Times New Roman" w:eastAsia="Times New Roman" w:hAnsi="Times New Roman"/>
          <w:sz w:val="18"/>
          <w:szCs w:val="18"/>
          <w:color w:val="auto"/>
        </w:rPr>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at the Company’s expense (unless otherwise agreed between the Company and the Depositary),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timely requested in writing by the Depositary from time to time, in order for the Depositary to effect that Dissemination.</w:t>
      </w:r>
    </w:p>
    <w:p>
      <w:pPr>
        <w:spacing w:after="0" w:line="19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The Company represents that as of the date of this Deposit Agreement, that the statements in Article 11 of the form of Receipt appearing as Exhibit A to this Deposit Agreement or, if applicable, most recently filed with the Commission pursuant to Rule 424(b) under the Securities Act with respect to the Company’s obligation to file periodic reports under the United States Securities Exchange Act of 1934, as amended, or its qualification for exemption from registration under that Act pursuant to Rule 12g3-2(b) under that Act, as the case may be, are true and correct. The Company agrees to promptly notify the Depositary upon becoming aware of any change in the truth of any of those statements or if there is any change in the Company’s status regarding those reporting obligations or that qualification.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Distribution of Additional Shares, Rights, etc.</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If the Company or any affiliate of the Company determines to make any issuance or distribution of (1) additional Shares, (2) rights to subscribe for Shares, (3) securities convertible into Shares, or (4) rights to subscribe for such securities (each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the Company shall notify the Depositary in writing in English as promptly as practicable and in any event before the Distribution starts and, if reasonably requested in writing by the Depositary, the Company shall furnish as promptly as practicable to the Depositary either (i) evidence satisfactory to the Depositary that the Distribution is registered under the Securities Act of 1933 or (ii) a written opinion from U.S. counsel for the Company that is reasonably satisfactory to the Depositary, stating that the Distribution does not require, or, if made in the United States, would not require, registration under the Securities Act of 1933.</w:t>
      </w:r>
    </w:p>
    <w:p>
      <w:pPr>
        <w:spacing w:after="0" w:line="189"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The Company agrees with the Depositary that neither the Company nor any company controlled by, controlling or under common control with the Company will at any time deposit any Shares that, at the time of deposit, are Restricted Securities.</w:t>
      </w:r>
    </w:p>
    <w:p>
      <w:pPr>
        <w:spacing w:after="0" w:line="162"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herein, nothing in this Deposit Agreement shall be deemed to oblige the Company to file any registration statement in respect of any proposed transactions. To the extent the Company in its sole discretion deems it necessary or advisable in order to avoid any requirement to register securities under the Securities Act of 1933, it may prevent Owners in the United States from purchasing securities and may instruct the Depositary not to accept certain Shares reasonably identified in such instruction for deposit for such period of time following the issuance of such additional securities or to adopt such other specific measures as the Company may reasonably request.</w:t>
      </w:r>
    </w:p>
    <w:p>
      <w:pPr>
        <w:sectPr>
          <w:pgSz w:w="11900" w:h="16838" w:orient="portrait"/>
          <w:cols w:equalWidth="0" w:num="1">
            <w:col w:w="11000"/>
          </w:cols>
          <w:pgMar w:left="440" w:top="270" w:right="459" w:bottom="1440" w:gutter="0" w:footer="0" w:header="0"/>
        </w:sectPr>
      </w:pPr>
    </w:p>
    <w:bookmarkStart w:id="315" w:name="page316"/>
    <w:bookmarkEnd w:id="31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5.8. </w:t>
      </w: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The Company agrees to indemnify the Depositary, its directors, employees, agents and affiliates and each Custodian against, and hold each of them harmless from, any liability or expense (including, but not limited to any fees and expenses incurred in seeking, enforcing or collecting such indemnity and the reasonable and documented fees and expenses of counsel) that may arise out of or in connection with (a) any registration with the Commission of American Depositary Shares or Deposited Securities or the offer or sale thereof in the United States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w:t>
      </w:r>
    </w:p>
    <w:p>
      <w:pPr>
        <w:spacing w:after="0" w:line="192"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The indemnities contained in the preceding paragraph shall not extend to any liabilities or expenses arising out of information relating to the Depositary or any Custodian, as the case may be, furnished in writing by the Depositary to the Company expressly for use in any registration statement, proxy statement, prospectus or preliminary prospectus or any other offering documents relating to the American Depositary Shares, the Shares or any other Deposited Securities (it being acknowledged that, as of the date of this Deposit Agreement, the Depositary has not furnished any information of that kind).</w:t>
      </w:r>
    </w:p>
    <w:p>
      <w:pPr>
        <w:spacing w:after="0" w:line="183"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The Depositary agrees to indemnify the Company, its directors, officers, management, employees, agents and affiliates and hold them harmless from any liability or expense (including, but not limited to any fees and expenses incurred in seeking, enforcing or collecting such indemnity and the reasonable and documented fees and expenses of counsel) that may arise out of acts performed or omitted by the Depositary or any Custodian or their respective directors, employees, agents and affiliates due to their negligence or bad faith.</w:t>
      </w:r>
    </w:p>
    <w:p>
      <w:pPr>
        <w:spacing w:after="0" w:line="180"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The obligations set forth in this Section 5.8 shall survive the termination of this Deposit Agreement and the succession or substitution of any party hereto.</w:t>
      </w:r>
    </w:p>
    <w:p>
      <w:pPr>
        <w:spacing w:after="0" w:line="162" w:lineRule="exact"/>
        <w:rPr>
          <w:sz w:val="20"/>
          <w:szCs w:val="20"/>
          <w:color w:val="auto"/>
        </w:rPr>
      </w:pPr>
    </w:p>
    <w:p>
      <w:pPr>
        <w:ind w:left="4" w:right="20" w:firstLine="991"/>
        <w:spacing w:after="0" w:line="252" w:lineRule="auto"/>
        <w:rPr>
          <w:sz w:val="20"/>
          <w:szCs w:val="20"/>
          <w:color w:val="auto"/>
        </w:rPr>
      </w:pPr>
      <w:r>
        <w:rPr>
          <w:rFonts w:ascii="Times New Roman" w:cs="Times New Roman" w:eastAsia="Times New Roman" w:hAnsi="Times New Roman"/>
          <w:sz w:val="18"/>
          <w:szCs w:val="18"/>
          <w:color w:val="auto"/>
        </w:rPr>
        <w:t>If a claim is asserted or an action is commenced against a person that is entitled to seek and intends to seek indemnification for that claim or action under this Section 5.8 (an “Indemnifiable Claim”), that person (an “Indemnified Person”) shall (i) promptly notify in writing the person obligated to provide that indemnification (the “Indemnifying Person”) of that assertion or commencement and (ii) consult in good faith with the Indemnifying Person as to the conduct of the defense of that Indemnifiable Claim, which defense shall be reasonable in the circumstances. To the extent that (x) no conflict of interest exists in the conduct of the defense and (y) no legal defenses are available to the Indemnified Person that are different from or in addition to those available to the Indemnifying Person, the Indemnifying Person may, by written notice to the Indemnified Person, assume the defense of an Indemnifiable Claim with counsel reasonably satisfactory to the Indemnified Person. After notice from the Indemnifying Person to the Indemnified Person of its election to assume the defense of an Indemnifiable Claim, and provided no conflict of interest exists or no different or additional legal defenses are available, the Indemnifying Person shall not be liable to the Indemnified Person for any legal expenses of other counsel or any other expenses subsequently incurred by the Indemnified Person in connection with the defense other than reasonable costs of investigation. Neither the Indemnified Person nor the Indemnifying Person shall compromise or settle an Indemnifiable Claim without the consent of the other (which consent shall not be unreasonably withheld). The Indemnifying Person shall have no obligation to indemnify and hold harmless the Indemnified Person from any loss, expense or liability incurred by the Indemnified Person as a result of a default judgment entered against the Indemnified Person unless such judgment was entered after the Indemnifying Person agreed, in writing, to assume the defense of an Indemnifiable Claim.</w:t>
      </w:r>
    </w:p>
    <w:p>
      <w:pPr>
        <w:spacing w:after="0" w:line="1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Charges of Depositary.</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The Company agrees to pay the fees and charges specified in the following paragraph only to the extent the Company is a depositor of Shares or an Owner.</w:t>
      </w:r>
    </w:p>
    <w:p>
      <w:pPr>
        <w:spacing w:after="0" w:line="162"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7"/>
          <w:szCs w:val="17"/>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this Deposit Agreement,</w:t>
      </w:r>
    </w:p>
    <w:p>
      <w:pPr>
        <w:spacing w:after="0" w:line="2" w:lineRule="exact"/>
        <w:rPr>
          <w:sz w:val="20"/>
          <w:szCs w:val="20"/>
          <w:color w:val="auto"/>
        </w:rPr>
      </w:pPr>
    </w:p>
    <w:p>
      <w:pPr>
        <w:ind w:left="4" w:hanging="4"/>
        <w:spacing w:after="0" w:line="265" w:lineRule="auto"/>
        <w:tabs>
          <w:tab w:leader="none" w:pos="259"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 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 services, which will be payable as provided in item 9 below, and</w:t>
      </w:r>
    </w:p>
    <w:p>
      <w:pPr>
        <w:spacing w:after="0" w:line="1" w:lineRule="exact"/>
        <w:rPr>
          <w:rFonts w:ascii="Times New Roman" w:cs="Times New Roman" w:eastAsia="Times New Roman" w:hAnsi="Times New Roman"/>
          <w:sz w:val="17"/>
          <w:szCs w:val="17"/>
          <w:color w:val="auto"/>
        </w:rPr>
      </w:pPr>
    </w:p>
    <w:p>
      <w:pPr>
        <w:ind w:left="4" w:right="180" w:hanging="4"/>
        <w:spacing w:after="0" w:line="253" w:lineRule="auto"/>
        <w:tabs>
          <w:tab w:leader="none" w:pos="25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spacing w:after="0" w:line="189"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The Depositary may collect any of its fees by deduction from any cash distribution payable, or by selling a portion of any securities to be distributed, to Owners that are obligated to pay those fees.</w:t>
      </w:r>
    </w:p>
    <w:p>
      <w:pPr>
        <w:spacing w:after="0" w:line="162"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In performing its duties under this Deposit Agreement, the Depositary may use brokers, dealers, foreign currency dealers or other service providers that are owned by or affiliated with the Depositary and that may earn or share fees, spreads or commissions.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Depositary may own and deal in any class of securities of the Company and its affiliates and in American Depositary Shares.</w:t>
      </w:r>
    </w:p>
    <w:p>
      <w:pPr>
        <w:sectPr>
          <w:pgSz w:w="11900" w:h="16838" w:orient="portrait"/>
          <w:cols w:equalWidth="0" w:num="1">
            <w:col w:w="11024"/>
          </w:cols>
          <w:pgMar w:left="436" w:top="270" w:right="439" w:bottom="245" w:gutter="0" w:footer="0" w:header="0"/>
        </w:sectPr>
      </w:pPr>
    </w:p>
    <w:bookmarkStart w:id="316" w:name="page317"/>
    <w:bookmarkEnd w:id="3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5.10. </w:t>
      </w:r>
      <w:r>
        <w:rPr>
          <w:rFonts w:ascii="Times New Roman" w:cs="Times New Roman" w:eastAsia="Times New Roman" w:hAnsi="Times New Roman"/>
          <w:sz w:val="18"/>
          <w:szCs w:val="18"/>
          <w:u w:val="single" w:color="auto"/>
          <w:color w:val="auto"/>
        </w:rPr>
        <w:t>Retention of Depositary Documents.</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The Depositary is authorized to destroy those documents, records, bills and other data compiled during the term of this Deposit Agreement at the times permitted by the laws or regulations governing the Depositary, unless the Company requests, in writing, with reasonably sufficient prior notice, that such papers be retained for a longer period or turned over to the Company or to a successor depositary, at the Company’s expense.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Exclusivity.</w:t>
      </w:r>
    </w:p>
    <w:p>
      <w:pPr>
        <w:spacing w:after="0" w:line="225" w:lineRule="exact"/>
        <w:rPr>
          <w:sz w:val="20"/>
          <w:szCs w:val="20"/>
          <w:color w:val="auto"/>
        </w:rPr>
      </w:pPr>
    </w:p>
    <w:p>
      <w:pPr>
        <w:jc w:val="both"/>
        <w:ind w:right="360" w:firstLine="991"/>
        <w:spacing w:after="0" w:line="266" w:lineRule="auto"/>
        <w:rPr>
          <w:sz w:val="20"/>
          <w:szCs w:val="20"/>
          <w:color w:val="auto"/>
        </w:rPr>
      </w:pPr>
      <w:r>
        <w:rPr>
          <w:rFonts w:ascii="Times New Roman" w:cs="Times New Roman" w:eastAsia="Times New Roman" w:hAnsi="Times New Roman"/>
          <w:sz w:val="18"/>
          <w:szCs w:val="18"/>
          <w:color w:val="auto"/>
        </w:rPr>
        <w:t>Without prejudice to the Company’s rights under Section 5.4, the Company agrees not to appoint any other depositary for issuance of depositary shares, depositary receipts or any similar securities or instruments (for the avoidance of doubt, other than instruments or securities issued directly by the Company) so long as The Bank of New York Mellon is acting as Depositary under this Deposit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Information for Regulatory Compliance.</w:t>
      </w:r>
    </w:p>
    <w:p>
      <w:pPr>
        <w:spacing w:after="0" w:line="225"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Each of the Company and the Depositary shall provide to the other, as promptly as practicable, information from its records or otherwise available to it that is reasonably requested by the other to permit the other to comply with applicable law or requirements of governmental or regulatory authorities.</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ARTICLE 6. AMENDMENT AND TERMINATION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Amendment.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form of the Receipts and any provisions of this Deposit Agreement may at any time and from time to time be amended by agreement between the Company and the Depositary without the consent of Owners or Holders in any respect that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9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any governmental body should adopt new laws, rules or regulations which would require an amendment of this Deposit Agreement to ensure compliance therewith, the Depositary and the Company agree to amend this Deposit Agreement at any time in accordance with such changed laws, rules and regulations. Such amendment to this Deposit Agreement in such circumstances may become effective before a notice of such amendment or supplement is given to Owners or within any other period of time as required for compliance with such laws, rules or regulations.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Termination.</w:t>
      </w:r>
    </w:p>
    <w:p>
      <w:pPr>
        <w:spacing w:after="0" w:line="225" w:lineRule="exact"/>
        <w:rPr>
          <w:sz w:val="20"/>
          <w:szCs w:val="20"/>
          <w:color w:val="auto"/>
        </w:rPr>
      </w:pPr>
    </w:p>
    <w:p>
      <w:pPr>
        <w:ind w:right="60" w:firstLine="987"/>
        <w:spacing w:after="0" w:line="255" w:lineRule="auto"/>
        <w:tabs>
          <w:tab w:leader="none" w:pos="1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or (ii) a Termination Option Event has occurred or will occur. If termination of this Deposit Agreement is initiated by the Company or the Depositary, the Depositary shall, as promptly as practicable, Disseminate a notice of termination to the Owners of all American Depositary Shares then outstanding setting a date for termination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which shall be at least 90 days, and not more than 120 days, after the date of that notice, and this Deposit Agreement shall terminate on that Termination Date.</w:t>
      </w:r>
    </w:p>
    <w:p>
      <w:pPr>
        <w:spacing w:after="0" w:line="188" w:lineRule="exact"/>
        <w:rPr>
          <w:rFonts w:ascii="Times New Roman" w:cs="Times New Roman" w:eastAsia="Times New Roman" w:hAnsi="Times New Roman"/>
          <w:sz w:val="18"/>
          <w:szCs w:val="18"/>
          <w:color w:val="auto"/>
        </w:rPr>
      </w:pPr>
    </w:p>
    <w:p>
      <w:pPr>
        <w:ind w:right="680" w:firstLine="987"/>
        <w:spacing w:after="0" w:line="282" w:lineRule="auto"/>
        <w:tabs>
          <w:tab w:leader="none" w:pos="124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Termination Date, the Company shall be discharged from all obligations under this Deposit Agreement except for its obligations to the Depositary under Sections 5.8 and 5.9.</w:t>
      </w:r>
    </w:p>
    <w:p>
      <w:pPr>
        <w:spacing w:after="0" w:line="161"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(i) to account for the net proceeds and other cash (after deducting, in each case, the fee of the Depositary for the surrender of American Depositary Shares, any expenses for the account of the Owner of such American Depositary Shares in accordance with the terms and conditions of this Deposit Agreement and any applicable taxes or governmental charges) and (ii) for its obligations under Section 5.8 and (iii) to act as provided in paragraph (d) below.</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Termination Date, if any American Depositary Shares remain outstanding, the Depositary shall continue to receive dividends and other 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w:t>
      </w:r>
    </w:p>
    <w:p>
      <w:pPr>
        <w:sectPr>
          <w:pgSz w:w="11900" w:h="16838" w:orient="portrait"/>
          <w:cols w:equalWidth="0" w:num="1">
            <w:col w:w="11000"/>
          </w:cols>
          <w:pgMar w:left="440" w:top="270" w:right="459" w:bottom="424" w:gutter="0" w:footer="0" w:header="0"/>
        </w:sectPr>
      </w:pPr>
    </w:p>
    <w:bookmarkStart w:id="317" w:name="page318"/>
    <w:bookmarkEnd w:id="31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ARTICLE 7. MISCELLANEOUS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Counterparts; Signatures; Delivery.</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The exchange of copies of this Deposit Agreement and manually-signed signature pages by facsimile, or email attaching a pdf or similar bit-mapped image, shall constitute effective execution and delivery of this Deposit Agreement as to the parties to it; copies and signature pages so exchanged may be used in lieu of the original Deposit Agreement and signature pages for all purposes and shall have the same validity, legal effect and admissibility in evidence as an original manual signature; the parties to this Deposit Agreement hereby agree not to argue to the contrary.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No Third Party Beneficiaries.</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This Deposit Agreement is for the exclusive benefit of the Company, the Depositary, the Owners and the Holders and their respective successors and shall not be deemed to give any legal or equitable right, remedy or claim whatsoever to any other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Severability.</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Owners and Holders as Parties; Binding Effect.</w:t>
      </w:r>
    </w:p>
    <w:p>
      <w:pPr>
        <w:spacing w:after="0" w:line="225"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The Owners and Holders from time to time shall be parties to this Deposit Agreement and shall be bound by all of the terms and conditions of this Deposit Agreement and of the Receipts by acceptance of American Depositary Shares or any interest therein.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addressed to Opthea Limited, 650 Chapel Street, South Yarra, Victoria 3141, Attention: Mike Tonroe, or any other place to which the Company may have transferred its principal office with notice to the Depositary.</w:t>
      </w:r>
    </w:p>
    <w:p>
      <w:pPr>
        <w:spacing w:after="0" w:line="180"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w:t>
      </w:r>
    </w:p>
    <w:p>
      <w:pPr>
        <w:spacing w:after="0" w:line="164"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 intended for that Owner be mailed to some other address, at the address designated in that request. Dissemination in electronic form will be effective when sent in the manner consented to by the Owner to the electronic address most recently provided by the Owner for that purpose.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Appointment of Agent for Service of Process; Submission to Jurisdiction; Jury Trial Waiver.</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Company hereby designates and appoints the person named in Exhibit A to this Deposit Agreement as the Company’s authorized agent in the United States upon which process may be served in any suit or proceeding arising out of or relating to the Shares or Deposited Securities, the American Depositary Shares, the Receipts or this Deposit Agreement (a “Proceeding”). Each of the Company and the Depository consents and submits to the jurisdiction of any state or federal court in the State of New York in which any Proceeding may be instituted. The Company agrees that service of process upon said authorized agent shall be deemed in every respect effective service of process upon the Company in any Proceeding. The Company agrees to deliver to the Depositary, upon the execution and delivery of this Deposit Agreement, a written acceptance by the agent named 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sectPr>
          <w:pgSz w:w="11900" w:h="16838" w:orient="portrait"/>
          <w:cols w:equalWidth="0" w:num="1">
            <w:col w:w="10980"/>
          </w:cols>
          <w:pgMar w:left="440" w:top="270" w:right="479" w:bottom="217" w:gutter="0" w:footer="0" w:header="0"/>
        </w:sectPr>
      </w:pPr>
    </w:p>
    <w:bookmarkStart w:id="318" w:name="page319"/>
    <w:bookmarkEnd w:id="318"/>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PARTY TO THIS DEPOSIT AGREEMENT (INCLUDING, FOR AVOIDANCE OF DOUBT, EACH OWNER AND HOLDER) 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THIS DEPOSIT AGREEMENT OR ANY TRANSACTION CONTEMPLATED HEREIN OR THEREIN, OR THE BREACH HEREOF OR THEREOF, INCLUDING, WITHOUT LIMITATION, ANY QUESTION REGARDING EXISTENCE, VALIDITY OR TERMINATION (WHETHER BASED ON CONTRACT, TORT OR ANY OTHER THEORY).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Waiver of Immunities.</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extent permitted by law, hereby irrevocably and unconditionally waives, and agrees not to plead or claim, any immunity of that kind and consents to relief and enforcement as provided above.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This Deposit Agreement and the Receipts shall be interpreted in accordance with and all rights hereunder and thereunder and provisions hereof and thereof shall be governed by and construed in accordance with the laws of the State of New York.</w:t>
      </w:r>
    </w:p>
    <w:p>
      <w:pPr>
        <w:sectPr>
          <w:pgSz w:w="11900" w:h="16838" w:orient="portrait"/>
          <w:cols w:equalWidth="0" w:num="1">
            <w:col w:w="11000"/>
          </w:cols>
          <w:pgMar w:left="440" w:top="270" w:right="459" w:bottom="1440" w:gutter="0" w:footer="0" w:header="0"/>
        </w:sectPr>
      </w:pPr>
    </w:p>
    <w:bookmarkStart w:id="319" w:name="page320"/>
    <w:bookmarkEnd w:id="319"/>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OPTHEA LIMITED and THE BANK OF NEW YORK MELLON have duly executed this Deposit Agreement as of the day and year first set forth above and all Owners and Holders shall become parties hereto upon acceptance by them of American Depositary Shares or any interest therein.</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OPTHEA LIMITED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Mike Tonroe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 as Depositary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00"/>
          </w:cols>
          <w:pgMar w:left="440" w:top="270" w:right="459" w:bottom="1440" w:gutter="0" w:footer="0" w:header="0"/>
        </w:sectPr>
      </w:pPr>
    </w:p>
    <w:bookmarkStart w:id="320" w:name="page321"/>
    <w:bookmarkEnd w:id="320"/>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5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(Each American Depositary Share represents</w:t>
      </w:r>
    </w:p>
    <w:p>
      <w:pPr>
        <w:spacing w:after="0" w:line="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Eight deposited Shares)</w:t>
      </w:r>
    </w:p>
    <w:p>
      <w:pPr>
        <w:spacing w:after="0" w:line="2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FOR ORDINARY SHARES OF</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OPTHEA LIMITED</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(INCORPORATED UNDER THE LAWS OF THE COMMONWEALTH OF AUSTRALIA)</w:t>
      </w:r>
    </w:p>
    <w:p>
      <w:pPr>
        <w:sectPr>
          <w:pgSz w:w="11900" w:h="16838" w:orient="portrait"/>
          <w:cols w:equalWidth="0" w:num="1">
            <w:col w:w="10760"/>
          </w:cols>
          <w:pgMar w:left="440" w:top="270" w:right="699" w:bottom="1440" w:gutter="0" w:footer="0" w:header="0"/>
        </w:sectPr>
      </w:pPr>
    </w:p>
    <w:p>
      <w:pPr>
        <w:spacing w:after="0" w:line="218"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The Bank of New York Mellon, as depositary (hereinafter called the “Depositary”), hereby certifies that assigns IS THE OWNER OF</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or registered</w:t>
      </w:r>
    </w:p>
    <w:p>
      <w:pPr>
        <w:spacing w:after="0" w:line="479" w:lineRule="exact"/>
        <w:rPr>
          <w:sz w:val="20"/>
          <w:szCs w:val="20"/>
          <w:color w:val="auto"/>
        </w:rPr>
      </w:pPr>
    </w:p>
    <w:p>
      <w:pPr>
        <w:sectPr>
          <w:pgSz w:w="11900" w:h="16838" w:orient="portrait"/>
          <w:cols w:equalWidth="0" w:num="2">
            <w:col w:w="9040" w:space="720"/>
            <w:col w:w="1000"/>
          </w:cols>
          <w:pgMar w:left="440" w:top="270" w:right="699" w:bottom="1440" w:gutter="0" w:footer="0" w:header="0"/>
          <w:type w:val="continuous"/>
        </w:sectPr>
      </w:pPr>
    </w:p>
    <w:p>
      <w:pPr>
        <w:spacing w:after="0" w:line="1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representing deposited ordinary shares (herein called “Shares”) of Opthea Limited, incorporated under the laws of the Commonwealth of Australia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the date hereof, each American Depositary Share represents eight Shares deposited or subject to deposit under the Deposit Agreement (as such term is hereinafter defined) with a custodian for the Depositary (herein called the “</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that, as of the date of the Deposit Agreement, was HSBC Bank Australia Limited located in Australia. The Depositary’s Office and its principal executive office are located at 240 Greenwich Street, New York, N.Y. 10286.</w:t>
      </w:r>
    </w:p>
    <w:p>
      <w:pPr>
        <w:spacing w:after="0" w:line="1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DEPOSITARY’S OFFICE ADDRESS IS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240 GREENWICH STREET, NEW Y</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ORK, N.Y. 10286</w:t>
      </w:r>
    </w:p>
    <w:p>
      <w:pPr>
        <w:sectPr>
          <w:pgSz w:w="11900" w:h="16838" w:orient="portrait"/>
          <w:cols w:equalWidth="0" w:num="1">
            <w:col w:w="10760"/>
          </w:cols>
          <w:pgMar w:left="440" w:top="270" w:right="699" w:bottom="1440" w:gutter="0" w:footer="0" w:header="0"/>
          <w:type w:val="continuous"/>
        </w:sectPr>
      </w:pPr>
    </w:p>
    <w:bookmarkStart w:id="321" w:name="page322"/>
    <w:bookmarkEnd w:id="321"/>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 AGREEMENT.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American Depositary Receipt is one of an issue (herein called “</w:t>
      </w:r>
      <w:r>
        <w:rPr>
          <w:rFonts w:ascii="Times New Roman" w:cs="Times New Roman" w:eastAsia="Times New Roman" w:hAnsi="Times New Roman"/>
          <w:sz w:val="18"/>
          <w:szCs w:val="18"/>
          <w:u w:val="single" w:color="auto"/>
          <w:color w:val="auto"/>
        </w:rPr>
        <w:t>Receipts</w:t>
      </w:r>
      <w:r>
        <w:rPr>
          <w:rFonts w:ascii="Times New Roman" w:cs="Times New Roman" w:eastAsia="Times New Roman" w:hAnsi="Times New Roman"/>
          <w:sz w:val="18"/>
          <w:szCs w:val="18"/>
          <w:color w:val="auto"/>
        </w:rPr>
        <w:t>”), all issued and to be issued upon the terms and conditions set forth</w:t>
      </w:r>
    </w:p>
    <w:p>
      <w:pPr>
        <w:spacing w:after="0" w:line="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in the Amended and Restated Deposit Agreement dated as of , 2020 (herein called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among the Company, the Depositary, and all Owners and 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Times New Roman" w:cs="Times New Roman" w:eastAsia="Times New Roman" w:hAnsi="Times New Roman"/>
          <w:sz w:val="18"/>
          <w:szCs w:val="18"/>
          <w:u w:val="single" w:color="auto"/>
          <w:color w:val="auto"/>
        </w:rPr>
        <w:t>Deposited Securities</w:t>
      </w:r>
      <w:r>
        <w:rPr>
          <w:rFonts w:ascii="Times New Roman" w:cs="Times New Roman" w:eastAsia="Times New Roman" w:hAnsi="Times New Roman"/>
          <w:sz w:val="18"/>
          <w:szCs w:val="18"/>
          <w:color w:val="auto"/>
        </w:rPr>
        <w:t>”). Copies of the Deposit Agreement are on file at the Depositary’s Office in New York City and at the office of the Custodian.</w:t>
      </w:r>
    </w:p>
    <w:p>
      <w:pPr>
        <w:spacing w:after="0" w:line="190"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spacing w:after="0" w:line="324" w:lineRule="exact"/>
        <w:rPr>
          <w:sz w:val="20"/>
          <w:szCs w:val="20"/>
          <w:color w:val="auto"/>
        </w:rPr>
      </w:pPr>
    </w:p>
    <w:p>
      <w:pPr>
        <w:ind w:left="424" w:hanging="424"/>
        <w:spacing w:after="0"/>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AMERICAN DEPOSITARY SHARES AND WITHDRAWAL OF SHARES.</w:t>
      </w:r>
    </w:p>
    <w:p>
      <w:pPr>
        <w:spacing w:after="0" w:line="117"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Times New Roman" w:cs="Times New Roman" w:eastAsia="Times New Roman" w:hAnsi="Times New Roman"/>
          <w:sz w:val="18"/>
          <w:szCs w:val="18"/>
          <w:u w:val="single" w:color="auto"/>
          <w:color w:val="auto"/>
        </w:rPr>
        <w:t>but not</w:t>
      </w:r>
      <w:r>
        <w:rPr>
          <w:rFonts w:ascii="Times New Roman" w:cs="Times New Roman" w:eastAsia="Times New Roman" w:hAnsi="Times New Roman"/>
          <w:sz w:val="18"/>
          <w:szCs w:val="18"/>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Times New Roman" w:cs="Times New Roman" w:eastAsia="Times New Roman" w:hAnsi="Times New Roman"/>
          <w:sz w:val="18"/>
          <w:szCs w:val="18"/>
          <w:u w:val="single" w:color="auto"/>
          <w:color w:val="auto"/>
        </w:rPr>
        <w:t>and except that</w:t>
      </w:r>
      <w:r>
        <w:rPr>
          <w:rFonts w:ascii="Times New Roman" w:cs="Times New Roman" w:eastAsia="Times New Roman" w:hAnsi="Times New Roman"/>
          <w:sz w:val="18"/>
          <w:szCs w:val="18"/>
          <w:color w:val="auto"/>
        </w:rPr>
        <w:t xml:space="preserve"> 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Times New Roman" w:cs="Times New Roman" w:eastAsia="Times New Roman" w:hAnsi="Times New Roman"/>
          <w:sz w:val="18"/>
          <w:szCs w:val="18"/>
          <w:u w:val="single" w:color="auto"/>
          <w:color w:val="auto"/>
        </w:rPr>
        <w:t>except that</w:t>
      </w:r>
      <w:r>
        <w:rPr>
          <w:rFonts w:ascii="Times New Roman" w:cs="Times New Roman" w:eastAsia="Times New Roman" w:hAnsi="Times New Roman"/>
          <w:sz w:val="18"/>
          <w:szCs w:val="18"/>
          <w:color w:val="auto"/>
        </w:rPr>
        <w:t>, at the request, risk and expense of the surrendering Owner,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344" w:lineRule="exact"/>
        <w:rPr>
          <w:sz w:val="20"/>
          <w:szCs w:val="20"/>
          <w:color w:val="auto"/>
        </w:rPr>
      </w:pPr>
    </w:p>
    <w:p>
      <w:pPr>
        <w:ind w:left="424" w:right="1120" w:hanging="424"/>
        <w:spacing w:after="0" w:line="282" w:lineRule="auto"/>
        <w:tabs>
          <w:tab w:leader="none" w:pos="42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TRANSFER OF AMERICAN DEPOSITARY SHARES; COMBINATION AND SPLIT-UP OF RECEIPTS; INTERCHANGE OF CERTIFICATED AND UNCERTIFICATED AMERICAN DEPOSITARY SHARES.</w:t>
      </w:r>
    </w:p>
    <w:p>
      <w:pPr>
        <w:spacing w:after="0" w:line="54"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The Depositary, subject to the terms and conditions of the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of the Deposit Agreement),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89" w:lineRule="exact"/>
        <w:rPr>
          <w:sz w:val="20"/>
          <w:szCs w:val="20"/>
          <w:color w:val="auto"/>
        </w:rPr>
      </w:pPr>
    </w:p>
    <w:p>
      <w:pPr>
        <w:ind w:left="4" w:right="180" w:firstLine="440"/>
        <w:spacing w:after="0" w:line="289" w:lineRule="auto"/>
        <w:rPr>
          <w:sz w:val="20"/>
          <w:szCs w:val="20"/>
          <w:color w:val="auto"/>
        </w:rPr>
      </w:pPr>
      <w:r>
        <w:rPr>
          <w:rFonts w:ascii="Times New Roman" w:cs="Times New Roman" w:eastAsia="Times New Roman" w:hAnsi="Times New Roman"/>
          <w:sz w:val="17"/>
          <w:szCs w:val="17"/>
          <w:color w:val="auto"/>
        </w:rPr>
        <w:t>The Depositary, subject to the terms and conditions of the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58"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87"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As a condition precedent to the delivery, registration of transfer, or surrender of any American Depositary Shares or split-up or combination of any Receipt or withdrawal of any Deposited Securities, the Depositary, the Custodian, or Registrar may require payment from the depositor of the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spacing w:after="0" w:line="189"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Times New Roman" w:cs="Times New Roman" w:eastAsia="Times New Roman" w:hAnsi="Times New Roman"/>
          <w:sz w:val="17"/>
          <w:szCs w:val="17"/>
          <w:u w:val="single" w:color="auto"/>
          <w:color w:val="auto"/>
        </w:rPr>
        <w:t>but, notwithstanding anything to the contrary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the Deposit Agreement, only for</w:t>
      </w:r>
      <w:r>
        <w:rPr>
          <w:rFonts w:ascii="Times New Roman" w:cs="Times New Roman" w:eastAsia="Times New Roman" w:hAnsi="Times New Roman"/>
          <w:sz w:val="17"/>
          <w:szCs w:val="17"/>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w:t>
      </w:r>
    </w:p>
    <w:p>
      <w:pPr>
        <w:spacing w:after="0" w:line="5" w:lineRule="exact"/>
        <w:rPr>
          <w:sz w:val="20"/>
          <w:szCs w:val="20"/>
          <w:color w:val="auto"/>
        </w:rPr>
      </w:pPr>
    </w:p>
    <w:p>
      <w:pPr>
        <w:jc w:val="both"/>
        <w:ind w:left="4" w:right="140" w:hanging="4"/>
        <w:spacing w:after="0" w:line="255" w:lineRule="auto"/>
        <w:tabs>
          <w:tab w:leader="none" w:pos="26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w:t>
      </w:r>
    </w:p>
    <w:p>
      <w:pPr>
        <w:sectPr>
          <w:pgSz w:w="11900" w:h="16838" w:orient="portrait"/>
          <w:cols w:equalWidth="0" w:num="1">
            <w:col w:w="11024"/>
          </w:cols>
          <w:pgMar w:left="436" w:top="270" w:right="439" w:bottom="665" w:gutter="0" w:footer="0" w:header="0"/>
        </w:sectPr>
      </w:pPr>
    </w:p>
    <w:bookmarkStart w:id="322" w:name="page323"/>
    <w:bookmarkEnd w:id="322"/>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not knowingly accept for deposit under the Deposit Agreement any Shares that, at the time of deposit, are Restricted Securities or for which the Depositary has received written instructions from the Company that the deposit of those Shares would violate applicable law or regulation.</w:t>
      </w:r>
    </w:p>
    <w:p>
      <w:pPr>
        <w:spacing w:after="0" w:line="324" w:lineRule="exact"/>
        <w:rPr>
          <w:sz w:val="20"/>
          <w:szCs w:val="20"/>
          <w:color w:val="auto"/>
        </w:rPr>
      </w:pPr>
    </w:p>
    <w:p>
      <w:pPr>
        <w:ind w:left="424" w:hanging="424"/>
        <w:spacing w:after="0"/>
        <w:tabs>
          <w:tab w:leader="none" w:pos="42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OF OWNER FOR TAXES.</w:t>
      </w:r>
    </w:p>
    <w:p>
      <w:pPr>
        <w:spacing w:after="0" w:line="117"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may apply those dividends or other distributions or the net proceeds of any sale of that kind in payment of that tax or other governmental charge but, even after a sale of that kind, the Owner shall remain liable for any deficiency. The Depositary shall distribute any net proceeds of a sale made under Section 3.2 of the Deposit Agreement that are not used to pay taxes or governmental charges to the Owners entitled to them in accordance with 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324" w:lineRule="exact"/>
        <w:rPr>
          <w:sz w:val="20"/>
          <w:szCs w:val="20"/>
          <w:color w:val="auto"/>
        </w:rPr>
      </w:pPr>
    </w:p>
    <w:p>
      <w:pPr>
        <w:ind w:left="424" w:hanging="424"/>
        <w:spacing w:after="0"/>
        <w:tabs>
          <w:tab w:leader="none" w:pos="42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WARRANTIES ON DEPOSIT OF SHARES.</w:t>
      </w:r>
    </w:p>
    <w:p>
      <w:pPr>
        <w:spacing w:after="0" w:line="117"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spacing w:after="0" w:line="332" w:lineRule="exact"/>
        <w:rPr>
          <w:sz w:val="20"/>
          <w:szCs w:val="20"/>
          <w:color w:val="auto"/>
        </w:rPr>
      </w:pPr>
    </w:p>
    <w:p>
      <w:pPr>
        <w:ind w:left="424" w:hanging="424"/>
        <w:spacing w:after="0"/>
        <w:tabs>
          <w:tab w:leader="none" w:pos="42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PROOFS, CERTIFICATES, AND OTHER INFORMATION.</w:t>
      </w:r>
    </w:p>
    <w:p>
      <w:pPr>
        <w:spacing w:after="0" w:line="117"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Any person presenting Shares for deposit or any Owner or Holder may be required from time to time to file with the Depositary or the Custodian such proof of citizenship or residence, taxpayer status, exchange control approval, payment of all applicable taxes or other governmental charges, or such information relating to legal and beneficial ownership, including the registration on the books of the Company or the Foreign Registrar, if applicable, to execute such certificates and to make such representations and warranties, as the Depositary may deem necessary or proper or as the Company may reasonably require by notice to the Depositary.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Each Owner and Holder agrees to provide, in a timely manner, all proofs, information, representations and warranties required under Section 3.1 of the Deposit Agreement. As conditions of accepting Shares for deposit, the Depositary may require (i) any certification required by the Depositary or the Custodian in accordance with the provisions of the Deposit Agreement, (ii) a written order directing the Depositary to deliver to, or upon the written order of, the person or persons stated in that order, the number of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 If requested in writing, the Depositary shall, as promptly as practicable, at the Company’s expense, provide the Company with copies of any such proofs, certificates or other information it receives pursuant to Section 3.1 of the Deposit Agreement, to the extent that disclosure is permitted under applicable law. The Depositary will refuse to accept Shares for deposit if the Depositary has received a written notice that deposit of such Shares would violate applicable laws, rules and regulations, or the Constitution or similar organizational document of the Company.</w:t>
      </w:r>
    </w:p>
    <w:p>
      <w:pPr>
        <w:spacing w:after="0" w:line="338" w:lineRule="exact"/>
        <w:rPr>
          <w:sz w:val="20"/>
          <w:szCs w:val="20"/>
          <w:color w:val="auto"/>
        </w:rPr>
      </w:pPr>
    </w:p>
    <w:p>
      <w:pPr>
        <w:ind w:left="424" w:hanging="424"/>
        <w:spacing w:after="0"/>
        <w:tabs>
          <w:tab w:leader="none" w:pos="42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OF DEPOSITARY.</w:t>
      </w:r>
    </w:p>
    <w:p>
      <w:pPr>
        <w:spacing w:after="0" w:line="117"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w:t>
      </w:r>
    </w:p>
    <w:p>
      <w:pPr>
        <w:ind w:left="4" w:right="160" w:hanging="4"/>
        <w:spacing w:after="0" w:line="253" w:lineRule="auto"/>
        <w:tabs>
          <w:tab w:leader="none" w:pos="25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not limited to Sections 4.1 through 4.4 and 4.8 of the Deposit Agreement, (7) a fee for the distribution of securities pursuant to Section 4.2 of the Deposit Agreement or of rights pursuant to Section 4.4 of the Deposit Agreement (where the</w:t>
      </w:r>
    </w:p>
    <w:p>
      <w:pPr>
        <w:sectPr>
          <w:pgSz w:w="11900" w:h="16838" w:orient="portrait"/>
          <w:cols w:equalWidth="0" w:num="1">
            <w:col w:w="11004"/>
          </w:cols>
          <w:pgMar w:left="436" w:top="270" w:right="459" w:bottom="1440" w:gutter="0" w:footer="0" w:header="0"/>
        </w:sectPr>
      </w:pPr>
    </w:p>
    <w:bookmarkStart w:id="323" w:name="page324"/>
    <w:bookmarkEnd w:id="323"/>
    <w:p>
      <w:pPr>
        <w:ind w:left="4" w:right="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w:t>
      </w:r>
    </w:p>
    <w:p>
      <w:pPr>
        <w:spacing w:after="0" w:line="2" w:lineRule="exact"/>
        <w:rPr>
          <w:sz w:val="20"/>
          <w:szCs w:val="20"/>
          <w:color w:val="auto"/>
        </w:rPr>
      </w:pPr>
    </w:p>
    <w:p>
      <w:pPr>
        <w:ind w:left="4" w:right="20" w:hanging="4"/>
        <w:spacing w:after="0" w:line="252" w:lineRule="auto"/>
        <w:tabs>
          <w:tab w:leader="none" w:pos="25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spacing w:after="0" w:line="190"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collect any of its fees by deduction from any cash distribution payable, or by selling a portion of any securities to be distributed, to Owners that are obligated to pay those fees.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Depositary may own and deal in any class of securities of the Company and its affiliates and in American Depositary Shares.</w:t>
      </w:r>
    </w:p>
    <w:p>
      <w:pPr>
        <w:spacing w:after="0" w:line="225"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332" w:lineRule="exact"/>
        <w:rPr>
          <w:sz w:val="20"/>
          <w:szCs w:val="20"/>
          <w:color w:val="auto"/>
        </w:rPr>
      </w:pPr>
    </w:p>
    <w:p>
      <w:pPr>
        <w:ind w:left="424" w:hanging="424"/>
        <w:spacing w:after="0"/>
        <w:tabs>
          <w:tab w:leader="none" w:pos="42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INTERESTS.</w:t>
      </w:r>
    </w:p>
    <w:p>
      <w:pPr>
        <w:spacing w:after="0" w:line="11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When required in order to comply with applicable laws and regulations, the rules and requirements of the Australian Securities Exchange, the Nasdaq Global Market or any other stock exchange on which the Shares or the American Depositary Shares are registered, traded or listed or any book-entry settlement system,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in the Company’s reasonable opinion, required for that compliance. Each Owner and Holder agrees to provide all information known to it in response to a request made pursuant to Section 3.4 of the Deposit Agreement. Each Holder consents to the disclosure by the Depositary and the Owner or other Holder through which it holds American Depositary Shares, directly or indirectly, of all information responsive to a request made pursuant to that Section relating to that Holder that is known to that Owner or other Holder.</w:t>
      </w:r>
    </w:p>
    <w:p>
      <w:pPr>
        <w:spacing w:after="0" w:line="188" w:lineRule="exact"/>
        <w:rPr>
          <w:sz w:val="20"/>
          <w:szCs w:val="20"/>
          <w:color w:val="auto"/>
        </w:rPr>
      </w:pPr>
    </w:p>
    <w:p>
      <w:pPr>
        <w:jc w:val="both"/>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Each Owner and Holder of American Depositary Shares further agrees to comply with the laws and regulations of the United States and Australia (if and to the extent applicable) with respect to the disclosure requirements regarding beneficial ownership of Shares, all as if the American Depositary Shares were the Shares represented thereby, including requirements to make notifications and filings within the required timeframes to the Company, to the Commission, to the Australian Securities Exchange and any other authorities in the United States or in Australia.</w:t>
      </w:r>
    </w:p>
    <w:p>
      <w:pPr>
        <w:spacing w:after="0" w:line="328" w:lineRule="exact"/>
        <w:rPr>
          <w:sz w:val="20"/>
          <w:szCs w:val="20"/>
          <w:color w:val="auto"/>
        </w:rPr>
      </w:pPr>
    </w:p>
    <w:p>
      <w:pPr>
        <w:ind w:left="424" w:hanging="424"/>
        <w:spacing w:after="0"/>
        <w:tabs>
          <w:tab w:leader="none" w:pos="42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AMERICAN DEPOSITARY SHARES.</w:t>
      </w:r>
    </w:p>
    <w:p>
      <w:pPr>
        <w:spacing w:after="0" w:line="11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spacing w:after="0" w:line="340" w:lineRule="exact"/>
        <w:rPr>
          <w:sz w:val="20"/>
          <w:szCs w:val="20"/>
          <w:color w:val="auto"/>
        </w:rPr>
      </w:pPr>
    </w:p>
    <w:p>
      <w:pPr>
        <w:ind w:left="424" w:hanging="424"/>
        <w:spacing w:after="0"/>
        <w:tabs>
          <w:tab w:leader="none" w:pos="42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OF RECEIPT.</w:t>
      </w:r>
    </w:p>
    <w:p>
      <w:pPr>
        <w:spacing w:after="0" w:line="11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spacing w:after="0" w:line="328" w:lineRule="exact"/>
        <w:rPr>
          <w:sz w:val="20"/>
          <w:szCs w:val="20"/>
          <w:color w:val="auto"/>
        </w:rPr>
      </w:pPr>
    </w:p>
    <w:p>
      <w:pPr>
        <w:ind w:left="424" w:hanging="424"/>
        <w:spacing w:after="0"/>
        <w:tabs>
          <w:tab w:leader="none" w:pos="42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INSPECTION OF TRANSFER BOOKS.</w:t>
      </w:r>
    </w:p>
    <w:p>
      <w:pPr>
        <w:spacing w:after="0" w:line="117"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Securities Exchange Act of 1934 and, accordingly, files certain reports with the Commission. Those reports will be available for inspection and copying through the Commission’s EDGAR system or at public reference facilities maintained by the Commission in Washington, D.C.</w:t>
      </w:r>
    </w:p>
    <w:p>
      <w:pPr>
        <w:spacing w:after="0" w:line="176"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sectPr>
          <w:pgSz w:w="11900" w:h="16838" w:orient="portrait"/>
          <w:cols w:equalWidth="0" w:num="1">
            <w:col w:w="11004"/>
          </w:cols>
          <w:pgMar w:left="436" w:top="270" w:right="459" w:bottom="1440" w:gutter="0" w:footer="0" w:header="0"/>
        </w:sectPr>
      </w:pPr>
    </w:p>
    <w:bookmarkStart w:id="324" w:name="page325"/>
    <w:bookmarkEnd w:id="324"/>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will maintain a register of American Depositary Shares and transfers of American Depositary Shares, which shall be open for inspection by the Owners at the Depositary’s Office during regular business hours, but only for the purpose of communicating with Owners regarding the business of the Company or a matter related to the Deposit Agreement or the American Depositary Shares.</w:t>
      </w:r>
    </w:p>
    <w:p>
      <w:pPr>
        <w:spacing w:after="0" w:line="324" w:lineRule="exact"/>
        <w:rPr>
          <w:sz w:val="20"/>
          <w:szCs w:val="20"/>
          <w:color w:val="auto"/>
        </w:rPr>
      </w:pPr>
    </w:p>
    <w:p>
      <w:pPr>
        <w:ind w:left="424" w:hanging="424"/>
        <w:spacing w:after="0"/>
        <w:tabs>
          <w:tab w:leader="none" w:pos="42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w:t>
      </w:r>
    </w:p>
    <w:p>
      <w:pPr>
        <w:spacing w:after="0" w:line="117"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distribute the amount thus received (net of the fees and expenses of the Depositary as provided in Article 7 hereof and Section 5.9 of the Deposit Agreement) to the Owners entitled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w:t>
      </w:r>
    </w:p>
    <w:p>
      <w:pPr>
        <w:spacing w:after="0" w:line="189"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If a cash distribution would represent a return of all or substantially all the value of the Deposited Securities underlying American Depositary Shares, the Depositary may, after consultation with the Company to the extent practicable:</w:t>
      </w:r>
    </w:p>
    <w:p>
      <w:pPr>
        <w:spacing w:after="0" w:line="162" w:lineRule="exact"/>
        <w:rPr>
          <w:sz w:val="20"/>
          <w:szCs w:val="20"/>
          <w:color w:val="auto"/>
        </w:rPr>
      </w:pPr>
    </w:p>
    <w:p>
      <w:pPr>
        <w:ind w:left="4" w:right="280" w:firstLine="436"/>
        <w:spacing w:after="0" w:line="282" w:lineRule="auto"/>
        <w:tabs>
          <w:tab w:leader="none" w:pos="65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payment of or deduct the fee for surrender of American Depositary Shares (whether or not it is also requiring surrender of American Depositary Shares) as a condition of making that cash distribution; or</w:t>
      </w:r>
    </w:p>
    <w:p>
      <w:pPr>
        <w:spacing w:after="0" w:line="161"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70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Deposited Securities other than the subject cash distribution and add any net cash proceeds of that sale to the cash distribution, call for surrender of all those American Depositary Shares and require that surrender as a condition of making that cash distribution.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If the Depositary acts under this paragraph, that action shall also be a </w:t>
      </w:r>
      <w:r>
        <w:rPr>
          <w:rFonts w:ascii="Times New Roman" w:cs="Times New Roman" w:eastAsia="Times New Roman" w:hAnsi="Times New Roman"/>
          <w:sz w:val="18"/>
          <w:szCs w:val="18"/>
          <w:u w:val="single" w:color="auto"/>
          <w:color w:val="auto"/>
        </w:rPr>
        <w:t>Termination Option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provisions of Section 4.11 and 5.9 of the Deposit Agreement, whenever the Depositary receives any distribution other than a distribution described in Section 4.1, 4.3 or 4.4 of the Deposit Agreement on Deposited Securities (but not in exchange for or in conversion or in lieu of Deposited Securities), the Depositary will cause the securities or property received by it to be distributed to the Owners entitled thereto, after deduction or upon payment of any fees and expenses of the Depositary and any taxes or other governmental charges, in any manner that the Depositary deems equitable and practicable for accomplishing that distribution (which may be a distribution of depositary shares representing the securities received);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in the opinion of the Depositary such distribution cannot be made proportionately among the Owners entitled thereto, or if for any other reason the Depositary, after consultation with the Company to the extent practicable, deems such distribution not to be lawful and feasible, the Depositary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 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w:t>
      </w:r>
    </w:p>
    <w:p>
      <w:pPr>
        <w:spacing w:after="0" w:line="1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a distribution to be made under Section 4.2 of the Deposit Agreement would represent a return of all or substantially all the value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Deposited Securities underlying American Depositary Shares, the Depositary may, after consultation with the Company to the extent practicable:</w:t>
      </w:r>
    </w:p>
    <w:p>
      <w:pPr>
        <w:spacing w:after="0" w:line="207" w:lineRule="exact"/>
        <w:rPr>
          <w:sz w:val="20"/>
          <w:szCs w:val="20"/>
          <w:color w:val="auto"/>
        </w:rPr>
      </w:pPr>
    </w:p>
    <w:p>
      <w:pPr>
        <w:ind w:left="4" w:right="280" w:firstLine="436"/>
        <w:spacing w:after="0" w:line="282" w:lineRule="auto"/>
        <w:tabs>
          <w:tab w:leader="none" w:pos="65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payment of or deduct the fee for surrender of American Depositary Shares (whether or not it is also requiring surrender of American Depositary Shares) as a condition of making that distribution; or</w:t>
      </w:r>
    </w:p>
    <w:p>
      <w:pPr>
        <w:spacing w:after="0" w:line="161"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70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Deposited Securities other than the subject distribution and add any net cash proceeds of that sale to the distribution, call for surrender of all those American Depositary Shares and require that surrender as a condition of making that distribution.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If the Depositary acts under this paragraph, that action shall also be a </w:t>
      </w:r>
      <w:r>
        <w:rPr>
          <w:rFonts w:ascii="Times New Roman" w:cs="Times New Roman" w:eastAsia="Times New Roman" w:hAnsi="Times New Roman"/>
          <w:sz w:val="18"/>
          <w:szCs w:val="18"/>
          <w:u w:val="single" w:color="auto"/>
          <w:color w:val="auto"/>
        </w:rPr>
        <w:t>Termination Option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Whenever the Depositary receives any distribution consisting of a dividend in, or free distribution of, Shares, the Depositary may, and if the Company so requests in writing, shall,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9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 that has not been effected.</w:t>
      </w:r>
    </w:p>
    <w:p>
      <w:pPr>
        <w:sectPr>
          <w:pgSz w:w="11900" w:h="16838" w:orient="portrait"/>
          <w:cols w:equalWidth="0" w:num="1">
            <w:col w:w="11004"/>
          </w:cols>
          <w:pgMar w:left="436" w:top="270" w:right="459" w:bottom="1440" w:gutter="0" w:footer="0" w:header="0"/>
        </w:sectPr>
      </w:pPr>
    </w:p>
    <w:bookmarkStart w:id="325" w:name="page326"/>
    <w:bookmarkEnd w:id="325"/>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83"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Each Owner and Holder agrees to indemnify the Company, the Depositary, the Custodian and their respective directors, employees, agents and affiliates for, and hold each of them harmless against, any claim by any governmental authority or any other entity or person with respect to taxes, additions to tax, penalties or interest arising out of any refund of taxes, reduced withholding at source or other tax benefit received by it. The obligations of Owners and Holders under the preceding sentence shall survive any transfer of American Depositary Shares or surrender of American Depositary Shares and withdrawal of Deposited Securities and the termination of the Deposit Agreement.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spacing w:after="0" w:line="337" w:lineRule="exact"/>
        <w:rPr>
          <w:sz w:val="20"/>
          <w:szCs w:val="20"/>
          <w:color w:val="auto"/>
        </w:rPr>
      </w:pPr>
    </w:p>
    <w:p>
      <w:pPr>
        <w:ind w:left="424" w:hanging="424"/>
        <w:spacing w:after="0"/>
        <w:tabs>
          <w:tab w:leader="none" w:pos="42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w:t>
      </w:r>
    </w:p>
    <w:p>
      <w:pPr>
        <w:spacing w:after="0" w:line="117" w:lineRule="exact"/>
        <w:rPr>
          <w:rFonts w:ascii="Times New Roman" w:cs="Times New Roman" w:eastAsia="Times New Roman" w:hAnsi="Times New Roman"/>
          <w:sz w:val="18"/>
          <w:szCs w:val="18"/>
          <w:color w:val="auto"/>
        </w:rPr>
      </w:pPr>
    </w:p>
    <w:p>
      <w:pPr>
        <w:ind w:left="4" w:right="100" w:firstLine="436"/>
        <w:spacing w:after="0" w:line="255" w:lineRule="auto"/>
        <w:tabs>
          <w:tab w:leader="none" w:pos="689"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88"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50"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 For the avoidance of doubt, nothing in the Deposit Agreement shall create any obligation on the part of the Company to file a registration statement with respect to rights or the underlying securities or to endeavor to have such a registration statement declared effective.</w:t>
      </w:r>
    </w:p>
    <w:p>
      <w:pPr>
        <w:spacing w:after="0" w:line="192" w:lineRule="exact"/>
        <w:rPr>
          <w:sz w:val="20"/>
          <w:szCs w:val="20"/>
          <w:color w:val="auto"/>
        </w:rPr>
      </w:pPr>
    </w:p>
    <w:p>
      <w:pPr>
        <w:ind w:left="4" w:right="80" w:firstLine="436"/>
        <w:spacing w:after="0" w:line="281" w:lineRule="auto"/>
        <w:tabs>
          <w:tab w:leader="none" w:pos="689"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64" w:lineRule="exact"/>
        <w:rPr>
          <w:rFonts w:ascii="Times New Roman" w:cs="Times New Roman" w:eastAsia="Times New Roman" w:hAnsi="Times New Roman"/>
          <w:sz w:val="17"/>
          <w:szCs w:val="17"/>
          <w:color w:val="auto"/>
        </w:rPr>
      </w:pPr>
    </w:p>
    <w:p>
      <w:pPr>
        <w:ind w:left="4" w:right="80" w:firstLine="436"/>
        <w:spacing w:after="0" w:line="258" w:lineRule="auto"/>
        <w:tabs>
          <w:tab w:leader="none" w:pos="699"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 The Depositary may enter into any arrangements with the Company or persons acting on behalf of the Company to effect the orderly disposal of rights.</w:t>
      </w:r>
    </w:p>
    <w:p>
      <w:pPr>
        <w:spacing w:after="0" w:line="183"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89"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the Deposit Agreement.</w:t>
      </w:r>
    </w:p>
    <w:p>
      <w:pPr>
        <w:spacing w:after="0" w:line="175"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69"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Depositary shall be responsible for any failure to determine that it may be lawful or feasible to make rights available to or exercise rights on behalf of Owners in general or any Owner in particular, or to sell rights.</w:t>
      </w:r>
    </w:p>
    <w:p>
      <w:pPr>
        <w:spacing w:after="0" w:line="31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FOREIGN CURRENCY.</w:t>
      </w:r>
    </w:p>
    <w:p>
      <w:pPr>
        <w:spacing w:after="0" w:line="117"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shall, as promptly as practicable, convert or cause to be converted by sale or in any other manner that it may determine that foreign currency into Dollars, and those Dollars shall be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 of the Deposit Agreement.</w:t>
      </w:r>
    </w:p>
    <w:p>
      <w:pPr>
        <w:spacing w:after="0" w:line="189" w:lineRule="exact"/>
        <w:rPr>
          <w:sz w:val="20"/>
          <w:szCs w:val="20"/>
          <w:color w:val="auto"/>
        </w:rPr>
      </w:pPr>
    </w:p>
    <w:p>
      <w:pPr>
        <w:ind w:left="4" w:right="840" w:firstLine="440"/>
        <w:spacing w:after="0" w:line="282" w:lineRule="auto"/>
        <w:rPr>
          <w:sz w:val="20"/>
          <w:szCs w:val="20"/>
          <w:color w:val="auto"/>
        </w:rPr>
      </w:pPr>
      <w:r>
        <w:rPr>
          <w:rFonts w:ascii="Times New Roman" w:cs="Times New Roman" w:eastAsia="Times New Roman" w:hAnsi="Times New Roman"/>
          <w:sz w:val="18"/>
          <w:szCs w:val="18"/>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ectPr>
          <w:pgSz w:w="11900" w:h="16838" w:orient="portrait"/>
          <w:cols w:equalWidth="0" w:num="1">
            <w:col w:w="11004"/>
          </w:cols>
          <w:pgMar w:left="436" w:top="270" w:right="459" w:bottom="1440" w:gutter="0" w:footer="0" w:header="0"/>
        </w:sectPr>
      </w:pPr>
    </w:p>
    <w:bookmarkStart w:id="326" w:name="page327"/>
    <w:bookmarkEnd w:id="326"/>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after consultation with the Company to the extent practicable,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83"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0"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Owners, subject to the Depositary’s obligations under Section 5.3 of the Deposit Agreement.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343" w:lineRule="exact"/>
        <w:rPr>
          <w:sz w:val="20"/>
          <w:szCs w:val="20"/>
          <w:color w:val="auto"/>
        </w:rPr>
      </w:pPr>
    </w:p>
    <w:p>
      <w:pPr>
        <w:ind w:left="424" w:hanging="424"/>
        <w:spacing w:after="0"/>
        <w:tabs>
          <w:tab w:leader="none" w:pos="42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DATES.</w:t>
      </w:r>
    </w:p>
    <w:p>
      <w:pPr>
        <w:spacing w:after="0" w:line="117"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 Deposit Agreement and to the other terms and conditions of the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344" w:lineRule="exact"/>
        <w:rPr>
          <w:sz w:val="20"/>
          <w:szCs w:val="20"/>
          <w:color w:val="auto"/>
        </w:rPr>
      </w:pPr>
    </w:p>
    <w:p>
      <w:pPr>
        <w:ind w:left="424" w:hanging="424"/>
        <w:spacing w:after="0"/>
        <w:tabs>
          <w:tab w:leader="none" w:pos="42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OF DEPOSITED SHARES.</w:t>
      </w:r>
    </w:p>
    <w:p>
      <w:pPr>
        <w:spacing w:after="0" w:line="117"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Australian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Times New Roman" w:cs="Times New Roman" w:eastAsia="Times New Roman" w:hAnsi="Times New Roman"/>
          <w:sz w:val="18"/>
          <w:szCs w:val="18"/>
          <w:u w:val="single" w:color="auto"/>
          <w:color w:val="auto"/>
        </w:rPr>
        <w:t>Instruction Cutoff Date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87"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61"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5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30 days prior to the meeting date.</w:t>
      </w:r>
    </w:p>
    <w:p>
      <w:pPr>
        <w:sectPr>
          <w:pgSz w:w="11900" w:h="16838" w:orient="portrait"/>
          <w:cols w:equalWidth="0" w:num="1">
            <w:col w:w="11004"/>
          </w:cols>
          <w:pgMar w:left="436" w:top="270" w:right="459" w:bottom="766" w:gutter="0" w:footer="0" w:header="0"/>
        </w:sectPr>
      </w:pPr>
    </w:p>
    <w:bookmarkStart w:id="327" w:name="page328"/>
    <w:bookmarkEnd w:id="327"/>
    <w:p>
      <w:pPr>
        <w:jc w:val="both"/>
        <w:ind w:left="4" w:right="100" w:firstLine="987"/>
        <w:spacing w:after="0" w:line="266" w:lineRule="auto"/>
        <w:tabs>
          <w:tab w:leader="none" w:pos="124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in this Article 16 to the contrary, the Depositary and the Company may mutually agree to modify, amend or adopt additional procedures with respect to voting Deposited Securities from time to time as they determine may be necessary or appropriate to comply with applicable laws and regulations.</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 AND EXCHANGE OFFERS; REDEMPTION, REPLACEMENT OR CANCELLATION OF DEPOSITED SECURITIES.</w:t>
      </w:r>
    </w:p>
    <w:p>
      <w:pPr>
        <w:spacing w:after="0" w:line="117" w:lineRule="exact"/>
        <w:rPr>
          <w:rFonts w:ascii="Times New Roman" w:cs="Times New Roman" w:eastAsia="Times New Roman" w:hAnsi="Times New Roman"/>
          <w:sz w:val="18"/>
          <w:szCs w:val="18"/>
          <w:color w:val="auto"/>
        </w:rPr>
      </w:pPr>
    </w:p>
    <w:p>
      <w:pPr>
        <w:ind w:left="4" w:right="240" w:firstLine="436"/>
        <w:spacing w:after="0" w:line="261" w:lineRule="auto"/>
        <w:tabs>
          <w:tab w:leader="none" w:pos="689"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Depositary shall not tender any Deposited Securities in response to any voluntary cash tender offer, exchange offer or similar offer (including a takeover offer made under Chapter 6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made to holders of Deposited Securities (a “</w:t>
      </w:r>
      <w:r>
        <w:rPr>
          <w:rFonts w:ascii="Times New Roman" w:cs="Times New Roman" w:eastAsia="Times New Roman" w:hAnsi="Times New Roman"/>
          <w:sz w:val="18"/>
          <w:szCs w:val="18"/>
          <w:u w:val="single" w:color="auto"/>
          <w:color w:val="auto"/>
        </w:rPr>
        <w:t>Voluntary Offer</w:t>
      </w:r>
      <w:r>
        <w:rPr>
          <w:rFonts w:ascii="Times New Roman" w:cs="Times New Roman" w:eastAsia="Times New Roman" w:hAnsi="Times New Roman"/>
          <w:sz w:val="18"/>
          <w:szCs w:val="18"/>
          <w:color w:val="auto"/>
        </w:rPr>
        <w:t>”), except when instructed in writing to do so by an Owner surrendering American Depositary Shares and subject to any conditions or procedures the Depositary may require.</w:t>
      </w:r>
    </w:p>
    <w:p>
      <w:pPr>
        <w:spacing w:after="0" w:line="179"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Depositary receives a written notice that Deposited Securities have been redeemed for cash or otherwise purchased for cash in a transaction that is mandatory and binding on the Depositary as a holder of those Deposited Securities (including the implementation of a scheme of arrangement under Part 5.1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and compulsory acquisition under Chapter 6A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(a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Depositary, at the expense of the Company (unless otherwise agreed between the Company and the Depositary),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of the Deposit Agreement and (iii) distribute the money received upon that Redemption to the Owners entitled to it upon surrender by them of called American Depositary Shares in accordance with</w:t>
      </w:r>
    </w:p>
    <w:p>
      <w:pPr>
        <w:spacing w:after="0" w:line="5" w:lineRule="exact"/>
        <w:rPr>
          <w:rFonts w:ascii="Times New Roman" w:cs="Times New Roman" w:eastAsia="Times New Roman" w:hAnsi="Times New Roman"/>
          <w:sz w:val="18"/>
          <w:szCs w:val="18"/>
          <w:color w:val="auto"/>
        </w:rPr>
      </w:pPr>
    </w:p>
    <w:p>
      <w:pPr>
        <w:ind w:left="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2.5 of the Deposit Agreement (and, for the avoidance of doubt, Owners shall not be entitled to receive that money under Section 4.1 of the Deposit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Times New Roman" w:cs="Times New Roman" w:eastAsia="Times New Roman" w:hAnsi="Times New Roman"/>
          <w:sz w:val="18"/>
          <w:szCs w:val="18"/>
          <w:u w:val="single" w:color="auto"/>
          <w:color w:val="auto"/>
        </w:rPr>
        <w:t>except that</w:t>
      </w:r>
      <w:r>
        <w:rPr>
          <w:rFonts w:ascii="Times New Roman" w:cs="Times New Roman" w:eastAsia="Times New Roman" w:hAnsi="Times New Roman"/>
          <w:sz w:val="18"/>
          <w:szCs w:val="18"/>
          <w:color w:val="auto"/>
        </w:rPr>
        <w:t xml:space="preserve"> the allocations may be adjusted so that no fraction of a converted American Depositary Share is allocated to any Owner. A Redemption of all or substantially all of the Deposited Securities shall be a </w:t>
      </w:r>
      <w:r>
        <w:rPr>
          <w:rFonts w:ascii="Times New Roman" w:cs="Times New Roman" w:eastAsia="Times New Roman" w:hAnsi="Times New Roman"/>
          <w:sz w:val="18"/>
          <w:szCs w:val="18"/>
          <w:u w:val="single" w:color="auto"/>
          <w:color w:val="auto"/>
        </w:rPr>
        <w:t>Termination Option Event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89"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the Depositary shall, if required, surrender the old Deposited Securities affected by that Replacement of Shares and hold, as new Deposited Securities under the Deposit Agreement, the new securities or other property delivered to it in that Replacement.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Depositary may elect to sell those new Deposited Securities if in the opinion of the Depositary, after consultation with the Company to the extent practicable,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 Event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99"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after consultation with the Company to the extent practicable,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88" w:lineRule="exact"/>
        <w:rPr>
          <w:rFonts w:ascii="Times New Roman" w:cs="Times New Roman" w:eastAsia="Times New Roman" w:hAnsi="Times New Roman"/>
          <w:sz w:val="18"/>
          <w:szCs w:val="18"/>
          <w:color w:val="auto"/>
        </w:rPr>
      </w:pPr>
    </w:p>
    <w:p>
      <w:pPr>
        <w:ind w:left="4" w:firstLine="436"/>
        <w:spacing w:after="0" w:line="289" w:lineRule="auto"/>
        <w:tabs>
          <w:tab w:leader="none" w:pos="689"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there are no Deposited Securities with respect to American Depositary Shares, including if the Deposited Securities are cancelled, or the Deposited Securities with respect to American Depositary Shares become apparently worthless, the Depositary may call for surrender of those American Depositary Shares or may cancel those American Depositary Shares, upon notice to Owners, and that condition shall be a </w:t>
      </w:r>
      <w:r>
        <w:rPr>
          <w:rFonts w:ascii="Times New Roman" w:cs="Times New Roman" w:eastAsia="Times New Roman" w:hAnsi="Times New Roman"/>
          <w:sz w:val="17"/>
          <w:szCs w:val="17"/>
          <w:u w:val="single" w:color="auto"/>
          <w:color w:val="auto"/>
        </w:rPr>
        <w:t>Termination Option Event</w:t>
      </w:r>
      <w:r>
        <w:rPr>
          <w:rFonts w:ascii="Times New Roman" w:cs="Times New Roman" w:eastAsia="Times New Roman" w:hAnsi="Times New Roman"/>
          <w:sz w:val="17"/>
          <w:szCs w:val="17"/>
          <w:color w:val="auto"/>
        </w:rPr>
        <w:t>.</w:t>
      </w:r>
    </w:p>
    <w:p>
      <w:pPr>
        <w:spacing w:after="0" w:line="306"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OF THE COMPANY AND DEPOSITARY.</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Depositary nor the Company nor any of their respective directors, employees, agents or affiliates shall incur any liability to any Owner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Holder:</w:t>
      </w:r>
    </w:p>
    <w:p>
      <w:pPr>
        <w:spacing w:after="0" w:line="207" w:lineRule="exact"/>
        <w:rPr>
          <w:sz w:val="20"/>
          <w:szCs w:val="20"/>
          <w:color w:val="auto"/>
        </w:rPr>
      </w:pPr>
    </w:p>
    <w:p>
      <w:pPr>
        <w:ind w:left="4" w:firstLine="436"/>
        <w:spacing w:after="0" w:line="253" w:lineRule="auto"/>
        <w:tabs>
          <w:tab w:leader="none" w:pos="65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reason of (A) any provision of any present or future law or regulation or other act of the government of the United States, any State of the United States or any other state or jurisdiction, or of any other country,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sectPr>
          <w:pgSz w:w="11900" w:h="16838" w:orient="portrait"/>
          <w:cols w:equalWidth="0" w:num="1">
            <w:col w:w="11004"/>
          </w:cols>
          <w:pgMar w:left="436" w:top="270" w:right="459" w:bottom="995" w:gutter="0" w:footer="0" w:header="0"/>
        </w:sectPr>
      </w:pPr>
    </w:p>
    <w:bookmarkStart w:id="328" w:name="page329"/>
    <w:bookmarkEnd w:id="328"/>
    <w:p>
      <w:pPr>
        <w:ind w:left="4" w:firstLine="436"/>
        <w:spacing w:after="0" w:line="282" w:lineRule="auto"/>
        <w:tabs>
          <w:tab w:leader="none" w:pos="7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any exercise of, or failure to exercise, any discretion provided for in the Deposit Agreement (including any determination by the Depositary to take, or not take, any action that the Deposit Agreement provides the Depositary may take);</w:t>
      </w:r>
    </w:p>
    <w:p>
      <w:pPr>
        <w:spacing w:after="0" w:line="161"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75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inability of any Owner or Holder to benefit from any distribution, offering, right or other benefit that is made available to holders of Deposited Securities but is not, under the terms of the Deposit Agreement, made available to Owners or Holders; or</w:t>
      </w:r>
    </w:p>
    <w:p>
      <w:pPr>
        <w:spacing w:after="0" w:line="161"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special, consequential, indirect or punitive damages for any breach of the terms of the Deposit Agreement.</w:t>
      </w:r>
    </w:p>
    <w:p>
      <w:pPr>
        <w:spacing w:after="0" w:line="225"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Where, by the terms of a distribution to which Section 4.1, 4.2 or 4.3 of the Deposit Agreement applies, or an offering to which Section 4.4 of the Deposit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0"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Neither the Company nor its directors, officers, employees, agents, controlling persons and affiliates nor the Depositary assume any obligation nor shall any of them be subject to any liability under the Deposit Agreement to Owners or Holders, except that they agree to perform their obligations specifically set forth in the Deposit Agreement without gross negligence or bad faith. The Depositary shall not be a fiduciary or have any fiduciary duty to Owners or Holders. The Depositary shall not be subject to any liability with respect to the validity or worth of the Deposited Securities. Neither the Depositary nor the Company nor any of their respective directors, officers, employees, agents, controlling persons and affiliates shall be under any obligation to appear in, prosecute or defend any action, suit, or other proceeding in respect of any Deposited Securities or in respect of the American Depositary Shares,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and any of their respective directors, officers, employees, agents, controlling persons and affiliates may rely, and shall be protected in relying upon, any written notice, request, direction or other document believed by it to be genuine and to have been signed or presented by the proper party or parties. Neither the Company nor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w:t>
      </w:r>
    </w:p>
    <w:p>
      <w:pPr>
        <w:spacing w:after="0" w:line="19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Neither the Company nor the Depositary shall have any duty to make any determination or provide any information as to the tax status of the Company or any liability for any tax consequences that may be incurred by Owners or Holders as a result of owning or holding American Depositary Shares, including without limitation, tax consequences resulting from the Company (or any of its subsidiaries) being treated as a “Passive Foreign Investment Company” (“</w:t>
      </w:r>
      <w:r>
        <w:rPr>
          <w:rFonts w:ascii="Times New Roman" w:cs="Times New Roman" w:eastAsia="Times New Roman" w:hAnsi="Times New Roman"/>
          <w:sz w:val="18"/>
          <w:szCs w:val="18"/>
          <w:u w:val="single" w:color="auto"/>
          <w:color w:val="auto"/>
        </w:rPr>
        <w:t>PFIC</w:t>
      </w:r>
      <w:r>
        <w:rPr>
          <w:rFonts w:ascii="Times New Roman" w:cs="Times New Roman" w:eastAsia="Times New Roman" w:hAnsi="Times New Roman"/>
          <w:sz w:val="18"/>
          <w:szCs w:val="18"/>
          <w:color w:val="auto"/>
        </w:rPr>
        <w:t>”) (in each case as defined in the U.S. Internal Revenue Code of 1986, as amended, and the regulations issued thereunder) or otherwise. The Company may have been in the past and may be in the future a PFIC for U.S. Federal income tax purposes. Owners must consult their own tax advisers as to the potential application of the PFIC rules. Neither the Company nor the Depositary shall be liable for the inability or failure of an Owner or Holder to obtain the benefit of a foreign tax credit, reduced rate of withholding or refund of amounts withheld in respect of tax or any other tax benefit.</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disclaimer of liability under the United States federal securities laws is intended by any provision of the Deposit Agreement.</w:t>
      </w:r>
    </w:p>
    <w:p>
      <w:pPr>
        <w:spacing w:after="0" w:line="374" w:lineRule="exact"/>
        <w:rPr>
          <w:sz w:val="20"/>
          <w:szCs w:val="20"/>
          <w:color w:val="auto"/>
        </w:rPr>
      </w:pPr>
    </w:p>
    <w:p>
      <w:pPr>
        <w:ind w:left="424" w:hanging="424"/>
        <w:spacing w:after="0"/>
        <w:tabs>
          <w:tab w:leader="none" w:pos="42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 AND REMOVAL OF THE DEPOSITARY; APPOINTMENT OF SUCCESSOR CUSTODIAN.</w:t>
      </w:r>
    </w:p>
    <w:p>
      <w:pPr>
        <w:spacing w:after="0" w:line="117"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 The Depositary shall notify the Company of the appointment of a substitute or additional Custodian as promptly as practicable and, if practicable, prior to the effectiveness of such appointment.</w:t>
      </w:r>
    </w:p>
    <w:p>
      <w:pPr>
        <w:spacing w:after="0" w:line="337" w:lineRule="exact"/>
        <w:rPr>
          <w:sz w:val="20"/>
          <w:szCs w:val="20"/>
          <w:color w:val="auto"/>
        </w:rPr>
      </w:pPr>
    </w:p>
    <w:p>
      <w:pPr>
        <w:ind w:left="424" w:hanging="424"/>
        <w:spacing w:after="0"/>
        <w:tabs>
          <w:tab w:leader="none" w:pos="42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form of the Receipts and any provisions of the Deposit Agreement may at any time and from time to time be amended by agreement between the Company and the Depositary without the consent of Owners or Holders in any respect which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ectPr>
          <w:pgSz w:w="11900" w:h="16838" w:orient="portrait"/>
          <w:cols w:equalWidth="0" w:num="1">
            <w:col w:w="11004"/>
          </w:cols>
          <w:pgMar w:left="436" w:top="270" w:right="459" w:bottom="1440" w:gutter="0" w:footer="0" w:header="0"/>
        </w:sectPr>
      </w:pPr>
    </w:p>
    <w:bookmarkStart w:id="329" w:name="page330"/>
    <w:bookmarkEnd w:id="329"/>
    <w:p>
      <w:pPr>
        <w:ind w:left="424" w:hanging="424"/>
        <w:spacing w:after="0"/>
        <w:tabs>
          <w:tab w:leader="none" w:pos="42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TERMINATION OF DEPOSIT AGREEMENT.</w:t>
      </w:r>
    </w:p>
    <w:p>
      <w:pPr>
        <w:spacing w:after="0" w:line="117"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8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the Deposit Agreement or (ii) a Termination Option Event has occurred. If termination of the Deposit Agreement is initiated by the Company or the Depositary, the Depositary shall, as promptly as practicable, Disseminate a notice of termination to the Owners of all American Depositary Shares then outstanding setting a date for termination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which shall be at least 90 days, and not more than 120 days, after the date of that notice, and the Deposit Agreement shall terminate on that Termination Date.</w:t>
      </w:r>
    </w:p>
    <w:p>
      <w:pPr>
        <w:spacing w:after="0" w:line="188"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9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Termination Date, the Company shall be discharged from all obligations under the Deposit Agreement except for its obligations to the Depositary under Sections 5.8 and 5.9 of the Deposit Agreement.</w:t>
      </w:r>
    </w:p>
    <w:p>
      <w:pPr>
        <w:spacing w:after="0" w:line="161"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the Deposit Agreement, except (i) to account for the net proceeds and other cash (after 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and (ii) for its obligations under Section 5.8 of the Deposit Agreement and (iii) to act as provided in paragraph (d) below.</w:t>
      </w:r>
    </w:p>
    <w:p>
      <w:pPr>
        <w:spacing w:after="0" w:line="191"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Termination Date, if any American Depositary Shares remain outstanding,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the Deposit Agreement.</w:t>
      </w:r>
    </w:p>
    <w:p>
      <w:pPr>
        <w:spacing w:after="0" w:line="33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DIRECT REGISTRATION SYSTEM AND PROFILE MODIFICATION SYSTEM.</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2.4 of the Deposit Agreement, the parties acknowledge that DTC’s Direct Registration System</w:t>
      </w:r>
    </w:p>
    <w:p>
      <w:pPr>
        <w:spacing w:after="0" w:line="27" w:lineRule="exact"/>
        <w:rPr>
          <w:sz w:val="20"/>
          <w:szCs w:val="20"/>
          <w:color w:val="auto"/>
        </w:rPr>
      </w:pPr>
    </w:p>
    <w:p>
      <w:pPr>
        <w:jc w:val="both"/>
        <w:ind w:left="4" w:right="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DRS</w:t>
      </w:r>
      <w:r>
        <w:rPr>
          <w:rFonts w:ascii="Times New Roman" w:cs="Times New Roman" w:eastAsia="Times New Roman" w:hAnsi="Times New Roman"/>
          <w:sz w:val="18"/>
          <w:szCs w:val="18"/>
          <w:color w:val="auto"/>
        </w:rPr>
        <w:t>”) and Profile Modification System (“</w:t>
      </w:r>
      <w:r>
        <w:rPr>
          <w:rFonts w:ascii="Times New Roman" w:cs="Times New Roman" w:eastAsia="Times New Roman" w:hAnsi="Times New Roman"/>
          <w:sz w:val="18"/>
          <w:szCs w:val="18"/>
          <w:u w:val="single" w:color="auto"/>
          <w:color w:val="auto"/>
        </w:rPr>
        <w:t>Profile</w:t>
      </w:r>
      <w:r>
        <w:rPr>
          <w:rFonts w:ascii="Times New Roman" w:cs="Times New Roman" w:eastAsia="Times New Roman" w:hAnsi="Times New Roman"/>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90" w:lineRule="exact"/>
        <w:rPr>
          <w:sz w:val="20"/>
          <w:szCs w:val="20"/>
          <w:color w:val="auto"/>
        </w:rPr>
      </w:pPr>
    </w:p>
    <w:p>
      <w:pPr>
        <w:ind w:left="4" w:right="100" w:firstLine="436"/>
        <w:spacing w:after="0" w:line="256" w:lineRule="auto"/>
        <w:tabs>
          <w:tab w:leader="none" w:pos="69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spacing w:after="0" w:line="335"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AGENT FOR SERVICE OF PROCESS; SUBMISSION TO JURISDICTION; JURY TRIAL WAIVER; WAIVER OF IMMUNITIES.</w:t>
      </w:r>
    </w:p>
    <w:p>
      <w:pPr>
        <w:spacing w:after="0" w:line="5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 appointed Corporation Service Company, 1180 Avenue of the Americas, Suite 210, New York, New York 10036, as the</w:t>
      </w:r>
    </w:p>
    <w:p>
      <w:pPr>
        <w:spacing w:after="0" w:line="27"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Company’s authorized agent in the United States upon which process may be served in any suit or proceeding arising out of or relating to the Shares or Deposited Securities, the American Depositary Shares, the Receipts or the Deposit Agreement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Each of the Company and the Depositary has consented and submitted to the jurisdiction of any state or federal court in the State of New York in which any Proceeding may be instituted. The Company has agreed that service of process upon said authorized agent shall be deemed in every respect effective service of process upon the Company in any Proceeding.</w:t>
      </w:r>
    </w:p>
    <w:p>
      <w:pPr>
        <w:spacing w:after="0" w:line="187" w:lineRule="exact"/>
        <w:rPr>
          <w:sz w:val="20"/>
          <w:szCs w:val="20"/>
          <w:color w:val="auto"/>
        </w:rPr>
      </w:pPr>
    </w:p>
    <w:p>
      <w:pPr>
        <w:ind w:left="4" w:right="200" w:firstLine="440"/>
        <w:spacing w:after="0" w:line="255" w:lineRule="auto"/>
        <w:rPr>
          <w:sz w:val="20"/>
          <w:szCs w:val="20"/>
          <w:color w:val="auto"/>
        </w:rPr>
      </w:pPr>
      <w:r>
        <w:rPr>
          <w:rFonts w:ascii="Times New Roman" w:cs="Times New Roman" w:eastAsia="Times New Roman" w:hAnsi="Times New Roman"/>
          <w:sz w:val="18"/>
          <w:szCs w:val="18"/>
          <w:color w:val="auto"/>
        </w:rPr>
        <w:t>EACH PARTY TO THE DEPOSIT AGREEMENT (INCLUDING, FOR AVOIDANCE OF DOUBT, EACH OWNER AND HOLDER) THEREBY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 TRANSACTION CONTEMPLATED HEREIN OR THEREIN, OR THE BREACH HEREOF OR THEREOF, INCLUDING, WITHOUT LIMITATION, ANY QUESTION REGARDING EXISTENCE, VALIDITY OR TERMINATION (WHETHER BASED ON CONTRACT, TORT OR ANY OTHER THEORY).</w:t>
      </w:r>
    </w:p>
    <w:p>
      <w:pPr>
        <w:spacing w:after="0" w:line="189"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w:t>
      </w:r>
    </w:p>
    <w:p>
      <w:pPr>
        <w:sectPr>
          <w:pgSz w:w="11900" w:h="16838" w:orient="portrait"/>
          <w:cols w:equalWidth="0" w:num="1">
            <w:col w:w="10964"/>
          </w:cols>
          <w:pgMar w:left="436" w:top="270" w:right="499" w:bottom="10" w:gutter="0" w:footer="0" w:header="0"/>
        </w:sectPr>
      </w:pPr>
    </w:p>
    <w:bookmarkStart w:id="330" w:name="page331"/>
    <w:bookmarkEnd w:id="33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or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sectPr>
          <w:pgSz w:w="11900" w:h="16838" w:orient="portrait"/>
          <w:cols w:equalWidth="0" w:num="1">
            <w:col w:w="10940"/>
          </w:cols>
          <w:pgMar w:left="440" w:top="270" w:right="51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ectPr>
          <w:pgSz w:w="11900" w:h="16838" w:orient="portrait"/>
          <w:cols w:equalWidth="0" w:num="1">
            <w:col w:w="11024"/>
          </w:cols>
          <w:pgMar w:left="436" w:top="117" w:right="439" w:bottom="1440" w:gutter="0" w:footer="0" w:header="0"/>
        </w:sectPr>
      </w:pPr>
    </w:p>
    <w:p>
      <w:pPr>
        <w:spacing w:after="0" w:line="268" w:lineRule="exact"/>
        <w:rPr>
          <w:sz w:val="20"/>
          <w:szCs w:val="20"/>
          <w:color w:val="auto"/>
        </w:rPr>
      </w:pPr>
    </w:p>
    <w:p>
      <w:pPr>
        <w:jc w:val="both"/>
        <w:ind w:left="4"/>
        <w:spacing w:after="0" w:line="511" w:lineRule="auto"/>
        <w:rPr>
          <w:sz w:val="20"/>
          <w:szCs w:val="20"/>
          <w:color w:val="auto"/>
        </w:rPr>
      </w:pPr>
      <w:r>
        <w:rPr>
          <w:rFonts w:ascii="Times New Roman" w:cs="Times New Roman" w:eastAsia="Times New Roman" w:hAnsi="Times New Roman"/>
          <w:sz w:val="18"/>
          <w:szCs w:val="18"/>
          <w:color w:val="auto"/>
        </w:rPr>
        <w:t>Contact Our ref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Semple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4976495</wp:posOffset>
            </wp:positionH>
            <wp:positionV relativeFrom="paragraph">
              <wp:posOffset>-24765</wp:posOffset>
            </wp:positionV>
            <wp:extent cx="1457325" cy="4546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1457325" cy="4546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+61 3 8656 3349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csemple@gtlaw.com.au</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CXS:1041902</w:t>
      </w:r>
    </w:p>
    <w:p>
      <w:pPr>
        <w:spacing w:after="0" w:line="9" w:lineRule="exact"/>
        <w:rPr>
          <w:sz w:val="20"/>
          <w:szCs w:val="20"/>
          <w:color w:val="auto"/>
        </w:rPr>
      </w:pPr>
    </w:p>
    <w:p>
      <w:pPr>
        <w:sectPr>
          <w:pgSz w:w="11900" w:h="16838" w:orient="portrait"/>
          <w:cols w:equalWidth="0" w:num="2">
            <w:col w:w="564" w:space="320"/>
            <w:col w:w="10140"/>
          </w:cols>
          <w:pgMar w:left="436" w:top="117" w:right="439" w:bottom="1440" w:gutter="0" w:footer="0" w:header="0"/>
          <w:type w:val="continuous"/>
        </w:sectPr>
      </w:pPr>
    </w:p>
    <w:p>
      <w:pPr>
        <w:jc w:val="right"/>
        <w:spacing w:after="0"/>
        <w:rPr>
          <w:sz w:val="20"/>
          <w:szCs w:val="20"/>
          <w:color w:val="auto"/>
        </w:rPr>
      </w:pPr>
      <w:r>
        <w:rPr>
          <w:rFonts w:ascii="Times New Roman" w:cs="Times New Roman" w:eastAsia="Times New Roman" w:hAnsi="Times New Roman"/>
          <w:sz w:val="18"/>
          <w:szCs w:val="18"/>
          <w:color w:val="auto"/>
        </w:rPr>
        <w:t>101 Collins Street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Melbourne VIC 3000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 +61 3 8656 3300</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8"/>
          <w:szCs w:val="18"/>
          <w:color w:val="auto"/>
        </w:rPr>
        <w:t>: +61 3 8656 3400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www.gtlaw.com.au</w:t>
      </w:r>
    </w:p>
    <w:p>
      <w:pPr>
        <w:spacing w:after="0" w:line="3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9 October 2020</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Directors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Opthea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Level 4, 650 Chapel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Yarra VIC 3141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Directors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Opthea Limited – Registration Statement on Form F-1</w:t>
      </w:r>
    </w:p>
    <w:p>
      <w:pPr>
        <w:spacing w:after="0" w:line="117"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8"/>
          <w:szCs w:val="18"/>
          <w:color w:val="auto"/>
        </w:rPr>
        <w:t>We have acted as Australian legal counsel to Opthea Limited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company incorporated under the laws of the Commonwealth of Australia, in connection with its filing of a registration statement on Form F-1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under the U.S. Securities Act of 1933, as amended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with the U.S. Securities and Exchange Commission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Registration Statement relates to the public offering by the Company, as set out in the prospectus forming part of the Registration Statement</w:t>
      </w:r>
    </w:p>
    <w:p>
      <w:pPr>
        <w:spacing w:after="0" w:line="27" w:lineRule="exact"/>
        <w:rPr>
          <w:sz w:val="20"/>
          <w:szCs w:val="20"/>
          <w:color w:val="auto"/>
        </w:rPr>
      </w:pPr>
    </w:p>
    <w:p>
      <w:pPr>
        <w:ind w:left="4" w:right="3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of up to 10,695,000 American Depositary Shares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(including 1,395,000 ADSs to cover over-allotments (if any)) to be issued and sold by the Company. Each of the ADSs represents eight fully paid ordinary shares in the Company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820"/>
        <w:spacing w:after="0" w:line="282" w:lineRule="auto"/>
        <w:rPr>
          <w:sz w:val="20"/>
          <w:szCs w:val="20"/>
          <w:color w:val="auto"/>
        </w:rPr>
      </w:pPr>
      <w:r>
        <w:rPr>
          <w:rFonts w:ascii="Times New Roman" w:cs="Times New Roman" w:eastAsia="Times New Roman" w:hAnsi="Times New Roman"/>
          <w:sz w:val="18"/>
          <w:szCs w:val="18"/>
          <w:color w:val="auto"/>
        </w:rPr>
        <w:t>The Registration Statement, including the Prospectus, is referred to in this letter collectively (and unless the context requires otherwise) as the Documents.</w:t>
      </w:r>
    </w:p>
    <w:p>
      <w:pPr>
        <w:spacing w:after="0" w:line="306" w:lineRule="exact"/>
        <w:rPr>
          <w:sz w:val="20"/>
          <w:szCs w:val="20"/>
          <w:color w:val="auto"/>
        </w:rPr>
      </w:pPr>
    </w:p>
    <w:p>
      <w:pPr>
        <w:ind w:left="424" w:hanging="424"/>
        <w:spacing w:after="0"/>
        <w:tabs>
          <w:tab w:leader="none" w:pos="424"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 and searches conducted and relied on by us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purposes of this opinion, we have examined and relied on copies of the following documents:</w:t>
      </w:r>
    </w:p>
    <w:p>
      <w:pPr>
        <w:spacing w:after="0" w:line="131" w:lineRule="exact"/>
        <w:rPr>
          <w:sz w:val="20"/>
          <w:szCs w:val="20"/>
          <w:color w:val="auto"/>
        </w:rPr>
      </w:pPr>
    </w:p>
    <w:p>
      <w:pPr>
        <w:ind w:left="424" w:hanging="424"/>
        <w:spacing w:after="0"/>
        <w:tabs>
          <w:tab w:leader="none" w:pos="4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Prospectus;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Constitution;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 minutes of meeting and resolutions of the Board of Directors dated 17 July 2020, 24 September 2020 and 9 October 2020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search obtained from the Australian Securities and Investments Commission as at 9 October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5640705</wp:posOffset>
            </wp:positionH>
            <wp:positionV relativeFrom="paragraph">
              <wp:posOffset>111760</wp:posOffset>
            </wp:positionV>
            <wp:extent cx="1354455" cy="8572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4">
                      <a:extLst>
                        <a:ext uri="{28A0092B-C50C-407E-A947-70E740481C1C}"/>
                      </a:extLst>
                    </a:blip>
                    <a:srcRect/>
                    <a:stretch>
                      <a:fillRect/>
                    </a:stretch>
                  </pic:blipFill>
                  <pic:spPr bwMode="auto">
                    <a:xfrm>
                      <a:off x="0" y="0"/>
                      <a:ext cx="1354455" cy="8572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type w:val="continuous"/>
        </w:sectPr>
      </w:pPr>
    </w:p>
    <w:bookmarkStart w:id="332" w:name="page333"/>
    <w:bookmarkEnd w:id="332"/>
    <w:p>
      <w:pPr>
        <w:ind w:left="424" w:hanging="424"/>
        <w:spacing w:after="0"/>
        <w:tabs>
          <w:tab w:leader="none" w:pos="424"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4546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54660"/>
                    </a:xfrm>
                    <a:prstGeom prst="rect">
                      <a:avLst/>
                    </a:prstGeom>
                    <a:noFill/>
                  </pic:spPr>
                </pic:pic>
              </a:graphicData>
            </a:graphic>
          </wp:anchor>
        </w:drawing>
        <w:t>Assumptions in providing this letter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purposes of this opinion, we have assumed:</w:t>
      </w:r>
    </w:p>
    <w:p>
      <w:pPr>
        <w:spacing w:after="0" w:line="131" w:lineRule="exact"/>
        <w:rPr>
          <w:sz w:val="20"/>
          <w:szCs w:val="20"/>
          <w:color w:val="auto"/>
        </w:rPr>
      </w:pPr>
    </w:p>
    <w:p>
      <w:pPr>
        <w:ind w:left="424" w:right="460" w:hanging="424"/>
        <w:spacing w:after="0" w:line="282"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and the authenticity of all documents, instruments and certificates submitted to us as originals and the exact conformity with the authentic originals of all documents, instruments and certificates submitted to us as copies or forms or originals;</w:t>
      </w:r>
    </w:p>
    <w:p>
      <w:pPr>
        <w:spacing w:after="0" w:line="67" w:lineRule="exact"/>
        <w:rPr>
          <w:rFonts w:ascii="Times New Roman" w:cs="Times New Roman" w:eastAsia="Times New Roman" w:hAnsi="Times New Roman"/>
          <w:sz w:val="18"/>
          <w:szCs w:val="18"/>
          <w:color w:val="auto"/>
        </w:rPr>
      </w:pPr>
    </w:p>
    <w:p>
      <w:pPr>
        <w:ind w:left="424" w:right="660" w:hanging="424"/>
        <w:spacing w:after="0" w:line="282"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relevant original documents continue in full force and effect and all signatures, seals, dates, duty stamps and markings appearing on all documents and copy documents submitted to us are genuine;</w:t>
      </w:r>
    </w:p>
    <w:p>
      <w:pPr>
        <w:spacing w:after="0" w:line="67" w:lineRule="exact"/>
        <w:rPr>
          <w:rFonts w:ascii="Times New Roman" w:cs="Times New Roman" w:eastAsia="Times New Roman" w:hAnsi="Times New Roman"/>
          <w:sz w:val="18"/>
          <w:szCs w:val="18"/>
          <w:color w:val="auto"/>
        </w:rPr>
      </w:pPr>
    </w:p>
    <w:p>
      <w:pPr>
        <w:ind w:left="424" w:right="620" w:hanging="424"/>
        <w:spacing w:after="0" w:line="282"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party to each document has all the requisite power and authority (corporate and otherwise) to execute and deliver and perform its obligations there under;</w:t>
      </w:r>
    </w:p>
    <w:p>
      <w:pPr>
        <w:spacing w:after="0" w:line="67"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matters of internal management required by the constitution of each of the parties to the relevant documents (other than the Company) have been duly attended to (including, without limitation, the holding of properly constituted meetings of the boards of directors of each of those parties and the passing at those meetings of appropriate resolutions);</w:t>
      </w:r>
    </w:p>
    <w:p>
      <w:pPr>
        <w:spacing w:after="0" w:line="81" w:lineRule="exact"/>
        <w:rPr>
          <w:rFonts w:ascii="Times New Roman" w:cs="Times New Roman" w:eastAsia="Times New Roman" w:hAnsi="Times New Roman"/>
          <w:sz w:val="18"/>
          <w:szCs w:val="18"/>
          <w:color w:val="auto"/>
        </w:rPr>
      </w:pPr>
    </w:p>
    <w:p>
      <w:pPr>
        <w:jc w:val="both"/>
        <w:ind w:left="424" w:right="100" w:hanging="424"/>
        <w:spacing w:after="0" w:line="261"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which purport to be governed by the law of any jurisdiction other than the laws of the Commonwealth of Australia are legal, valid and binding obligations of all parties to those documents and none of the execution, delivery or performance of any document by any party to the document violates or contravenes or is rendered invalid, not binding or unenforceable under any applicable law under any jurisdiction other than the laws of the Commonwealth of Australia;</w:t>
      </w:r>
    </w:p>
    <w:p>
      <w:pPr>
        <w:spacing w:after="0" w:line="85"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engage in fraudulent or unconscionable conduct or conduct which is misleading or deceptive or which is likely to mislead or deceive in relation to the issuance or sale of Shares or ADS;</w:t>
      </w:r>
    </w:p>
    <w:p>
      <w:pPr>
        <w:spacing w:after="0" w:line="67"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bad faith, fraud, undue influence, coercion or duress or similar conduct on the part of the Company in relation to the issuance or sale of Shares or ADS under the Registration Statement;</w:t>
      </w:r>
    </w:p>
    <w:p>
      <w:pPr>
        <w:spacing w:after="0" w:line="67"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provided to us by or on behalf of officers of the Company was true, correct and complete when provided and remains so at the date of this letter, containing all information required, without us making any separate enquiry or investigation other than viewing the ASIC search, in order for us to provide this opinion;</w:t>
      </w:r>
    </w:p>
    <w:p>
      <w:pPr>
        <w:spacing w:after="0" w:line="81"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will be able to pay its debts as and when they fall due and is otherwise solvent as at the time the Shares or ADS are issued or sold; and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 2</w:t>
      </w:r>
    </w:p>
    <w:p>
      <w:pPr>
        <w:sectPr>
          <w:pgSz w:w="11900" w:h="16838" w:orient="portrait"/>
          <w:cols w:equalWidth="0" w:num="1">
            <w:col w:w="11024"/>
          </w:cols>
          <w:pgMar w:left="436" w:top="1130" w:right="439" w:bottom="1440" w:gutter="0" w:footer="0" w:header="0"/>
        </w:sectPr>
      </w:pPr>
    </w:p>
    <w:bookmarkStart w:id="333" w:name="page334"/>
    <w:bookmarkEnd w:id="333"/>
    <w:p>
      <w:pPr>
        <w:jc w:val="both"/>
        <w:ind w:left="424" w:right="260" w:hanging="424"/>
        <w:spacing w:after="0" w:line="266" w:lineRule="auto"/>
        <w:tabs>
          <w:tab w:leader="none" w:pos="42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4546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8">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54660"/>
                    </a:xfrm>
                    <a:prstGeom prst="rect">
                      <a:avLst/>
                    </a:prstGeom>
                    <a:noFill/>
                  </pic:spPr>
                </pic:pic>
              </a:graphicData>
            </a:graphic>
          </wp:anchor>
        </w:drawing>
        <w:t>all public records and searches which we have examined are accurate and the information disclosed by the searches conducted by us is true and complete and such information has not since been altered and the searches did not fail to disclose any information which had been delivered for registration, lodgement or filing against the Company’s records but which did not appear on the public records at the date of our search.</w:t>
      </w:r>
    </w:p>
    <w:p>
      <w:pPr>
        <w:spacing w:after="0" w:line="320" w:lineRule="exact"/>
        <w:rPr>
          <w:sz w:val="20"/>
          <w:szCs w:val="20"/>
          <w:color w:val="auto"/>
        </w:rPr>
      </w:pPr>
    </w:p>
    <w:p>
      <w:pPr>
        <w:ind w:left="424" w:hanging="424"/>
        <w:spacing w:after="0"/>
        <w:tabs>
          <w:tab w:leader="none" w:pos="424"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Based on and subject to the above, in our opinion:</w:t>
      </w:r>
    </w:p>
    <w:p>
      <w:pPr>
        <w:spacing w:after="0" w:line="131" w:lineRule="exact"/>
        <w:rPr>
          <w:sz w:val="20"/>
          <w:szCs w:val="20"/>
          <w:color w:val="auto"/>
        </w:rPr>
      </w:pPr>
    </w:p>
    <w:p>
      <w:pPr>
        <w:ind w:left="424" w:right="340" w:hanging="424"/>
        <w:spacing w:after="0" w:line="266" w:lineRule="auto"/>
        <w:tabs>
          <w:tab w:leader="none" w:pos="42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duly incorporated and validly existing under the laws of the Commonwealth of Australia in good standing (as such term is not defined under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w:t>
      </w:r>
      <w:r>
        <w:rPr>
          <w:rFonts w:ascii="Times New Roman" w:cs="Times New Roman" w:eastAsia="Times New Roman" w:hAnsi="Times New Roman"/>
          <w:sz w:val="18"/>
          <w:szCs w:val="18"/>
          <w:b w:val="1"/>
          <w:bCs w:val="1"/>
          <w:color w:val="auto"/>
        </w:rPr>
        <w:t>Corporations Act</w:t>
      </w:r>
      <w:r>
        <w:rPr>
          <w:rFonts w:ascii="Times New Roman" w:cs="Times New Roman" w:eastAsia="Times New Roman" w:hAnsi="Times New Roman"/>
          <w:sz w:val="18"/>
          <w:szCs w:val="18"/>
          <w:color w:val="auto"/>
        </w:rPr>
        <w:t>), meaning solely that there are no current orders for the winding up of, or appointment of a receiver or liquidator for the Company or any notice of its proposed deregistration);</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the Shares has been duly authorized; and</w:t>
      </w:r>
    </w:p>
    <w:p>
      <w:pPr>
        <w:spacing w:after="0" w:line="130" w:lineRule="exact"/>
        <w:rPr>
          <w:rFonts w:ascii="Times New Roman" w:cs="Times New Roman" w:eastAsia="Times New Roman" w:hAnsi="Times New Roman"/>
          <w:sz w:val="18"/>
          <w:szCs w:val="18"/>
          <w:color w:val="auto"/>
        </w:rPr>
      </w:pPr>
    </w:p>
    <w:p>
      <w:pPr>
        <w:ind w:left="424" w:right="60" w:hanging="424"/>
        <w:spacing w:after="0" w:line="256" w:lineRule="auto"/>
        <w:tabs>
          <w:tab w:leader="none" w:pos="42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issue of the Shares against payment for the Shares offered under the Documents, the Shares will be validly issued, fully paid and ‘non-assessable’ (for the purposes of this opinion, the term ‘non-assessable’ when used to describe the liability of a person as the registered holder of shares is not a concept known under the laws of the Commonwealth of Australia, so we have assumed those words to mean that holders of such Shares, having fully paid all amounts due on the issue of such Shares, are under no personal liability under the Corporations Act to contribute to the assets and liabilities of the Company on a winding up of the Company or subject to any call for payment of further capital in their capacity solely as holders of such Shares).</w:t>
      </w:r>
    </w:p>
    <w:p>
      <w:pPr>
        <w:spacing w:after="0" w:line="332" w:lineRule="exact"/>
        <w:rPr>
          <w:sz w:val="20"/>
          <w:szCs w:val="20"/>
          <w:color w:val="auto"/>
        </w:rPr>
      </w:pPr>
    </w:p>
    <w:p>
      <w:pPr>
        <w:ind w:left="424" w:hanging="424"/>
        <w:spacing w:after="0"/>
        <w:tabs>
          <w:tab w:leader="none" w:pos="424"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is subject to:</w:t>
      </w:r>
    </w:p>
    <w:p>
      <w:pPr>
        <w:spacing w:after="0" w:line="131" w:lineRule="exact"/>
        <w:rPr>
          <w:sz w:val="20"/>
          <w:szCs w:val="20"/>
          <w:color w:val="auto"/>
        </w:rPr>
      </w:pPr>
    </w:p>
    <w:p>
      <w:pPr>
        <w:ind w:left="424" w:right="540" w:hanging="424"/>
        <w:spacing w:after="0" w:line="282" w:lineRule="auto"/>
        <w:tabs>
          <w:tab w:leader="none" w:pos="42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amendments thereto (including all necessary post-effective amendments), becoming effective under the Securities Act (and on the assumption that it will remain effective at the time of issuance of any ADS thereunder);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upon consideration being received for the issue of the ADS.</w:t>
      </w:r>
    </w:p>
    <w:p>
      <w:pPr>
        <w:spacing w:after="0" w:line="370" w:lineRule="exact"/>
        <w:rPr>
          <w:sz w:val="20"/>
          <w:szCs w:val="20"/>
          <w:color w:val="auto"/>
        </w:rPr>
      </w:pPr>
    </w:p>
    <w:p>
      <w:pPr>
        <w:ind w:left="424" w:hanging="424"/>
        <w:spacing w:after="0"/>
        <w:tabs>
          <w:tab w:leader="none" w:pos="424"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w:t>
      </w:r>
    </w:p>
    <w:p>
      <w:pPr>
        <w:spacing w:after="0" w:line="121"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The opinion expressed above, which is governed by and to be interpreted in accordance with, the laws of the State of Victoria, Australia, is given only with respect to the laws of that State and of the Commonwealth of Australia that are in effect on the date of this opinion. We have not investigated and do not express any view about, any law other than that of Australia.</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is limited to the matters stated in this letter, and no opinion is implied or may be inferred beyond the matters expressly stated.</w:t>
      </w:r>
    </w:p>
    <w:p>
      <w:pPr>
        <w:spacing w:after="0" w:line="225"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This opinion is deemed to be given as of the date hereof and will speak as at such date. We do not undertake any obligation to advise you of any changes (including but not limited to any subsequently enacted, published or reported laws, regulations or binding authority) that may occur or come to our attention after the date of this letter which may affect our opinion.</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 3</w:t>
      </w:r>
    </w:p>
    <w:p>
      <w:pPr>
        <w:sectPr>
          <w:pgSz w:w="11900" w:h="16838" w:orient="portrait"/>
          <w:cols w:equalWidth="0" w:num="1">
            <w:col w:w="11024"/>
          </w:cols>
          <w:pgMar w:left="436" w:top="1134" w:right="439" w:bottom="1440" w:gutter="0" w:footer="0" w:header="0"/>
        </w:sectPr>
      </w:pPr>
    </w:p>
    <w:bookmarkStart w:id="334" w:name="page335"/>
    <w:bookmarkEnd w:id="334"/>
    <w:p>
      <w:pPr>
        <w:ind w:left="424" w:hanging="424"/>
        <w:spacing w:after="0"/>
        <w:tabs>
          <w:tab w:leader="none" w:pos="424"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4546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0">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54660"/>
                    </a:xfrm>
                    <a:prstGeom prst="rect">
                      <a:avLst/>
                    </a:prstGeom>
                    <a:noFill/>
                  </pic:spPr>
                </pic:pic>
              </a:graphicData>
            </a:graphic>
          </wp:anchor>
        </w:drawing>
        <w:t>Consent</w:t>
      </w:r>
    </w:p>
    <w:p>
      <w:pPr>
        <w:spacing w:after="0" w:line="121" w:lineRule="exact"/>
        <w:rPr>
          <w:sz w:val="20"/>
          <w:szCs w:val="20"/>
          <w:color w:val="auto"/>
        </w:rPr>
      </w:pPr>
    </w:p>
    <w:p>
      <w:pPr>
        <w:ind w:left="4" w:right="400"/>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to the use of our name under the caption ‘Legal Matters’ in the Prospectus. In giving this consent, we do not admit that we come within the category of persons whose consent is required under Section 7 of the Securities Act or the rules and regulations of the Commission promulgated under that Act.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Gilbert + Tobin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 Craig Semple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+61 3 8656 3349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csemple@gtlaw.com.au</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 4</w:t>
      </w:r>
    </w:p>
    <w:p>
      <w:pPr>
        <w:sectPr>
          <w:pgSz w:w="11900" w:h="16838" w:orient="portrait"/>
          <w:cols w:equalWidth="0" w:num="1">
            <w:col w:w="11024"/>
          </w:cols>
          <w:pgMar w:left="436" w:top="1130" w:right="439" w:bottom="1440" w:gutter="0" w:footer="0" w:header="0"/>
        </w:sectPr>
      </w:pPr>
    </w:p>
    <w:bookmarkStart w:id="335" w:name="page336"/>
    <w:bookmarkEnd w:id="335"/>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contained in this document, identified by [***], has been redacted because it is both (i) not material and (ii)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918210</wp:posOffset>
            </wp:positionV>
            <wp:extent cx="4757420" cy="9429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1">
                      <a:extLst>
                        <a:ext uri="{28A0092B-C50C-407E-A947-70E740481C1C}"/>
                      </a:extLst>
                    </a:blip>
                    <a:srcRect/>
                    <a:stretch>
                      <a:fillRect/>
                    </a:stretch>
                  </pic:blipFill>
                  <pic:spPr bwMode="auto">
                    <a:xfrm>
                      <a:off x="0" y="0"/>
                      <a:ext cx="475742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5"/>
          <w:szCs w:val="65"/>
          <w:b w:val="1"/>
          <w:bCs w:val="1"/>
          <w:color w:val="auto"/>
        </w:rPr>
        <w:t>OPTHEA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Commercial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Date: October 28, 2013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Selexis 2013</w:t>
      </w:r>
    </w:p>
    <w:p>
      <w:pPr>
        <w:sectPr>
          <w:pgSz w:w="11900" w:h="16838" w:orient="portrait"/>
          <w:cols w:equalWidth="0" w:num="1">
            <w:col w:w="11020"/>
          </w:cols>
          <w:pgMar w:left="440" w:top="117" w:right="439" w:bottom="1440" w:gutter="0" w:footer="0" w:header="0"/>
        </w:sectPr>
      </w:pPr>
    </w:p>
    <w:bookmarkStart w:id="336" w:name="page337"/>
    <w:bookmarkEnd w:id="336"/>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Commercial License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effective on October 28, 2013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by and between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Selexis SA</w:t>
      </w:r>
      <w:r>
        <w:rPr>
          <w:rFonts w:ascii="Times New Roman" w:cs="Times New Roman" w:eastAsia="Times New Roman" w:hAnsi="Times New Roman"/>
          <w:sz w:val="18"/>
          <w:szCs w:val="18"/>
          <w:color w:val="auto"/>
        </w:rPr>
        <w:t>, a company incorporated under the laws of Switzerland, with its registered office at [***], Geneva, Switzerland (“</w:t>
      </w:r>
      <w:r>
        <w:rPr>
          <w:rFonts w:ascii="Times New Roman" w:cs="Times New Roman" w:eastAsia="Times New Roman" w:hAnsi="Times New Roman"/>
          <w:sz w:val="18"/>
          <w:szCs w:val="18"/>
          <w:b w:val="1"/>
          <w:bCs w:val="1"/>
          <w:color w:val="auto"/>
        </w:rPr>
        <w:t>SELEXIS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OPTHEA PTY LTD</w:t>
      </w:r>
      <w:r>
        <w:rPr>
          <w:rFonts w:ascii="Times New Roman" w:cs="Times New Roman" w:eastAsia="Times New Roman" w:hAnsi="Times New Roman"/>
          <w:sz w:val="18"/>
          <w:szCs w:val="18"/>
          <w:color w:val="auto"/>
        </w:rPr>
        <w:t>, a company incorporated under the laws of Australia, with its registered office at Level 4, 650 Chapel Street, South Yarra, Victoria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3141, Australia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(SELEXIS and COMPANY,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135" w:lineRule="exact"/>
        <w:rPr>
          <w:sz w:val="20"/>
          <w:szCs w:val="20"/>
          <w:color w:val="auto"/>
        </w:rPr>
      </w:pPr>
    </w:p>
    <w:p>
      <w:pPr>
        <w:ind w:left="424" w:right="400" w:hanging="424"/>
        <w:spacing w:after="0" w:line="282" w:lineRule="auto"/>
        <w:tabs>
          <w:tab w:leader="none" w:pos="42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COMPANY is a biopharmaceutical company engaged in the research, development, manufacturing and sale of biopharmaceutical products;</w:t>
      </w:r>
    </w:p>
    <w:p>
      <w:pPr>
        <w:spacing w:after="0" w:line="67" w:lineRule="exact"/>
        <w:rPr>
          <w:rFonts w:ascii="Times New Roman" w:cs="Times New Roman" w:eastAsia="Times New Roman" w:hAnsi="Times New Roman"/>
          <w:sz w:val="18"/>
          <w:szCs w:val="18"/>
          <w:color w:val="auto"/>
        </w:rPr>
      </w:pPr>
    </w:p>
    <w:p>
      <w:pPr>
        <w:ind w:left="424" w:right="720" w:hanging="424"/>
        <w:spacing w:after="0" w:line="282" w:lineRule="auto"/>
        <w:tabs>
          <w:tab w:leader="none" w:pos="42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SELEXIS is a biotechnology company engaged in the development and sale of recombinant cell lines based on the SELEXIS Technology;</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SELEXIS is the owner of certain Confidential Information, the SELEXIS Know-How and the SELEXIS Patent Rights;</w:t>
      </w:r>
    </w:p>
    <w:p>
      <w:pPr>
        <w:spacing w:after="0" w:line="126" w:lineRule="exact"/>
        <w:rPr>
          <w:rFonts w:ascii="Times New Roman" w:cs="Times New Roman" w:eastAsia="Times New Roman" w:hAnsi="Times New Roman"/>
          <w:sz w:val="18"/>
          <w:szCs w:val="18"/>
          <w:color w:val="auto"/>
        </w:rPr>
      </w:pPr>
    </w:p>
    <w:p>
      <w:pPr>
        <w:ind w:left="424" w:right="180" w:hanging="424"/>
        <w:spacing w:after="0" w:line="317" w:lineRule="auto"/>
        <w:tabs>
          <w:tab w:leader="none" w:pos="424"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w:t>
      </w:r>
      <w:r>
        <w:rPr>
          <w:rFonts w:ascii="Times New Roman" w:cs="Times New Roman" w:eastAsia="Times New Roman" w:hAnsi="Times New Roman"/>
          <w:sz w:val="13"/>
          <w:szCs w:val="13"/>
          <w:color w:val="auto"/>
        </w:rPr>
        <w:t>HEREAS</w:t>
      </w:r>
      <w:r>
        <w:rPr>
          <w:rFonts w:ascii="Times New Roman" w:cs="Times New Roman" w:eastAsia="Times New Roman" w:hAnsi="Times New Roman"/>
          <w:sz w:val="17"/>
          <w:szCs w:val="17"/>
          <w:color w:val="auto"/>
        </w:rPr>
        <w:t>, pursuant to a services agreement between the PARTIES dated November 26, 2012 (the “</w:t>
      </w:r>
      <w:r>
        <w:rPr>
          <w:rFonts w:ascii="Times New Roman" w:cs="Times New Roman" w:eastAsia="Times New Roman" w:hAnsi="Times New Roman"/>
          <w:sz w:val="17"/>
          <w:szCs w:val="17"/>
          <w:b w:val="1"/>
          <w:bCs w:val="1"/>
          <w:color w:val="auto"/>
        </w:rPr>
        <w:t>Services Agreement</w:t>
      </w:r>
      <w:r>
        <w:rPr>
          <w:rFonts w:ascii="Times New Roman" w:cs="Times New Roman" w:eastAsia="Times New Roman" w:hAnsi="Times New Roman"/>
          <w:sz w:val="17"/>
          <w:szCs w:val="17"/>
          <w:color w:val="auto"/>
        </w:rPr>
        <w:t>”) SELEXIS has developed certain recombinant cell line(s) for COMPANY using the SELEXIS Technology and COMPANY has evaluated such cell Line(s); and</w:t>
      </w:r>
    </w:p>
    <w:p>
      <w:pPr>
        <w:spacing w:after="0" w:line="41" w:lineRule="exact"/>
        <w:rPr>
          <w:rFonts w:ascii="Times New Roman" w:cs="Times New Roman" w:eastAsia="Times New Roman" w:hAnsi="Times New Roman"/>
          <w:sz w:val="17"/>
          <w:szCs w:val="17"/>
          <w:color w:val="auto"/>
        </w:rPr>
      </w:pPr>
    </w:p>
    <w:p>
      <w:pPr>
        <w:ind w:left="424" w:right="80" w:hanging="424"/>
        <w:spacing w:after="0" w:line="282" w:lineRule="auto"/>
        <w:tabs>
          <w:tab w:leader="none" w:pos="42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SELEXIS is willing to grant COMPANY, and COMPANY is willing to receive from SELEXIS, a license to the SELEXIS Know-How and the SELEXIS Patent Rights with respect to the recombinant cell lines, on the terms and conditions set forth in this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THEREFORE</w:t>
      </w:r>
      <w:r>
        <w:rPr>
          <w:rFonts w:ascii="Times New Roman" w:cs="Times New Roman" w:eastAsia="Times New Roman" w:hAnsi="Times New Roman"/>
          <w:sz w:val="18"/>
          <w:szCs w:val="18"/>
          <w:color w:val="auto"/>
        </w:rPr>
        <w:t>, the PARTIES agree as follows:</w:t>
      </w:r>
    </w:p>
    <w:p>
      <w:pPr>
        <w:sectPr>
          <w:pgSz w:w="11900" w:h="16838" w:orient="portrait"/>
          <w:cols w:equalWidth="0" w:num="1">
            <w:col w:w="11024"/>
          </w:cols>
          <w:pgMar w:left="436" w:top="266" w:right="439" w:bottom="1440" w:gutter="0" w:footer="0" w:header="0"/>
        </w:sectPr>
      </w:pP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37" w:name="page338"/>
    <w:bookmarkEnd w:id="337"/>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544" w:hanging="544"/>
        <w:spacing w:after="0"/>
        <w:tabs>
          <w:tab w:leader="none" w:pos="544"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addition to the terms defined above, the following terms, whether used in the singular or plural, shall have the following meanings as used in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unless otherwise specifically indicated:</w:t>
      </w:r>
    </w:p>
    <w:p>
      <w:pPr>
        <w:spacing w:after="0" w:line="108" w:lineRule="exact"/>
        <w:rPr>
          <w:sz w:val="20"/>
          <w:szCs w:val="20"/>
          <w:color w:val="auto"/>
        </w:rPr>
      </w:pPr>
    </w:p>
    <w:p>
      <w:pPr>
        <w:jc w:val="both"/>
        <w:ind w:left="544" w:right="60" w:hanging="539"/>
        <w:spacing w:after="0" w:line="274"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Affiliate</w:t>
      </w:r>
      <w:r>
        <w:rPr>
          <w:rFonts w:ascii="Times New Roman" w:cs="Times New Roman" w:eastAsia="Times New Roman" w:hAnsi="Times New Roman"/>
          <w:sz w:val="17"/>
          <w:szCs w:val="17"/>
          <w:color w:val="auto"/>
        </w:rPr>
        <w:t>” shall mean any Person that, as of the Effective Date, directly or indirectly, controls, is controlled by, or is under common control with the relevant Person. For the purposes of this definition only, “</w:t>
      </w:r>
      <w:r>
        <w:rPr>
          <w:rFonts w:ascii="Times New Roman" w:cs="Times New Roman" w:eastAsia="Times New Roman" w:hAnsi="Times New Roman"/>
          <w:sz w:val="17"/>
          <w:szCs w:val="17"/>
          <w:b w:val="1"/>
          <w:bCs w:val="1"/>
          <w:u w:val="single" w:color="auto"/>
          <w:color w:val="auto"/>
        </w:rPr>
        <w:t>control</w:t>
      </w:r>
      <w:r>
        <w:rPr>
          <w:rFonts w:ascii="Times New Roman" w:cs="Times New Roman" w:eastAsia="Times New Roman" w:hAnsi="Times New Roman"/>
          <w:sz w:val="17"/>
          <w:szCs w:val="17"/>
          <w:color w:val="auto"/>
        </w:rPr>
        <w:t>” shall mean the possession, directly or indirectly, of the power to cause the direction of the management and policies of a Person, whether through ownership of voting securities of such Person, by contract or otherwise.</w:t>
      </w:r>
    </w:p>
    <w:p>
      <w:pPr>
        <w:spacing w:after="0" w:line="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 Person shall only be considered an Affiliate for so long as such Control exists.</w:t>
      </w:r>
    </w:p>
    <w:p>
      <w:pPr>
        <w:spacing w:after="0" w:line="108" w:lineRule="exact"/>
        <w:rPr>
          <w:sz w:val="20"/>
          <w:szCs w:val="20"/>
          <w:color w:val="auto"/>
        </w:rPr>
      </w:pPr>
    </w:p>
    <w:p>
      <w:pPr>
        <w:ind w:left="544" w:right="32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1.2.</w:t>
        <w:tab/>
        <w:t>“</w:t>
      </w:r>
      <w:r>
        <w:rPr>
          <w:rFonts w:ascii="Times New Roman" w:cs="Times New Roman" w:eastAsia="Times New Roman" w:hAnsi="Times New Roman"/>
          <w:sz w:val="18"/>
          <w:szCs w:val="18"/>
          <w:b w:val="1"/>
          <w:bCs w:val="1"/>
          <w:u w:val="single" w:color="auto"/>
          <w:color w:val="auto"/>
        </w:rPr>
        <w:t>BLA</w:t>
      </w:r>
      <w:r>
        <w:rPr>
          <w:rFonts w:ascii="Times New Roman" w:cs="Times New Roman" w:eastAsia="Times New Roman" w:hAnsi="Times New Roman"/>
          <w:sz w:val="18"/>
          <w:szCs w:val="18"/>
          <w:color w:val="auto"/>
        </w:rPr>
        <w:t>” shall mean a Biologic License Application for the Final Product filed with the FDA or any comparable filing made with a Regulatory Authority in another country.</w:t>
      </w:r>
    </w:p>
    <w:p>
      <w:pPr>
        <w:spacing w:after="0" w:line="60" w:lineRule="exact"/>
        <w:rPr>
          <w:sz w:val="20"/>
          <w:szCs w:val="20"/>
          <w:color w:val="auto"/>
        </w:rPr>
      </w:pPr>
    </w:p>
    <w:p>
      <w:pPr>
        <w:ind w:left="544" w:right="70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1.3.</w:t>
        <w:tab/>
        <w:t>“</w:t>
      </w:r>
      <w:r>
        <w:rPr>
          <w:rFonts w:ascii="Times New Roman" w:cs="Times New Roman" w:eastAsia="Times New Roman" w:hAnsi="Times New Roman"/>
          <w:sz w:val="18"/>
          <w:szCs w:val="18"/>
          <w:b w:val="1"/>
          <w:bCs w:val="1"/>
          <w:u w:val="single" w:color="auto"/>
          <w:color w:val="auto"/>
        </w:rPr>
        <w:t>Calendar Quarter</w:t>
      </w:r>
      <w:r>
        <w:rPr>
          <w:rFonts w:ascii="Times New Roman" w:cs="Times New Roman" w:eastAsia="Times New Roman" w:hAnsi="Times New Roman"/>
          <w:sz w:val="18"/>
          <w:szCs w:val="18"/>
          <w:color w:val="auto"/>
        </w:rPr>
        <w:t>” shall mean, for each Calendar Year, each of the three month periods ending March 31, June 30, September 30 and December 31 respectively.</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Calendar Year</w:t>
      </w:r>
      <w:r>
        <w:rPr>
          <w:rFonts w:ascii="Times New Roman" w:cs="Times New Roman" w:eastAsia="Times New Roman" w:hAnsi="Times New Roman"/>
          <w:sz w:val="17"/>
          <w:szCs w:val="17"/>
          <w:color w:val="auto"/>
        </w:rPr>
        <w:t>” shall mean the period commencing on January 1 and ending twelve (12) consecutive calendar months later on December 31.</w:t>
      </w:r>
    </w:p>
    <w:p>
      <w:pPr>
        <w:spacing w:after="0" w:line="131" w:lineRule="exact"/>
        <w:rPr>
          <w:sz w:val="20"/>
          <w:szCs w:val="20"/>
          <w:color w:val="auto"/>
        </w:rPr>
      </w:pPr>
    </w:p>
    <w:p>
      <w:pPr>
        <w:ind w:left="544" w:right="10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1.5.</w:t>
        <w:tab/>
        <w:t>“</w:t>
      </w:r>
      <w:r>
        <w:rPr>
          <w:rFonts w:ascii="Times New Roman" w:cs="Times New Roman" w:eastAsia="Times New Roman" w:hAnsi="Times New Roman"/>
          <w:sz w:val="18"/>
          <w:szCs w:val="18"/>
          <w:b w:val="1"/>
          <w:bCs w:val="1"/>
          <w:u w:val="single" w:color="auto"/>
          <w:color w:val="auto"/>
        </w:rPr>
        <w:t>Cell Line</w:t>
      </w:r>
      <w:r>
        <w:rPr>
          <w:rFonts w:ascii="Times New Roman" w:cs="Times New Roman" w:eastAsia="Times New Roman" w:hAnsi="Times New Roman"/>
          <w:sz w:val="18"/>
          <w:szCs w:val="18"/>
          <w:color w:val="auto"/>
        </w:rPr>
        <w:t>” shall mean a mammalian cell line that is developed using the SELEXIS Technology. Cell Line shall include, without limitation, any COMPANY Cell Line(s).</w:t>
      </w:r>
    </w:p>
    <w:p>
      <w:pPr>
        <w:spacing w:after="0" w:line="60" w:lineRule="exact"/>
        <w:rPr>
          <w:sz w:val="20"/>
          <w:szCs w:val="20"/>
          <w:color w:val="auto"/>
        </w:rPr>
      </w:pPr>
    </w:p>
    <w:p>
      <w:pPr>
        <w:ind w:left="544" w:right="52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1.6.</w:t>
        <w:tab/>
        <w:t>“</w:t>
      </w:r>
      <w:r>
        <w:rPr>
          <w:rFonts w:ascii="Times New Roman" w:cs="Times New Roman" w:eastAsia="Times New Roman" w:hAnsi="Times New Roman"/>
          <w:sz w:val="18"/>
          <w:szCs w:val="18"/>
          <w:b w:val="1"/>
          <w:bCs w:val="1"/>
          <w:u w:val="single" w:color="auto"/>
          <w:color w:val="auto"/>
        </w:rPr>
        <w:t>Clinical Trials</w:t>
      </w:r>
      <w:r>
        <w:rPr>
          <w:rFonts w:ascii="Times New Roman" w:cs="Times New Roman" w:eastAsia="Times New Roman" w:hAnsi="Times New Roman"/>
          <w:sz w:val="18"/>
          <w:szCs w:val="18"/>
          <w:color w:val="auto"/>
        </w:rPr>
        <w:t>” shall mean human studies designed to measure the safety and/or efficacy of the Product. Clinical Studies include Phase I Clinical Trials, Phase II Clinical Trials, and Phase III Clinical Trials.</w:t>
      </w:r>
    </w:p>
    <w:p>
      <w:pPr>
        <w:spacing w:after="0" w:line="60" w:lineRule="exact"/>
        <w:rPr>
          <w:sz w:val="20"/>
          <w:szCs w:val="20"/>
          <w:color w:val="auto"/>
        </w:rPr>
      </w:pPr>
    </w:p>
    <w:p>
      <w:pPr>
        <w:jc w:val="both"/>
        <w:ind w:left="544" w:right="20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1.7.</w:t>
        <w:tab/>
        <w:t>“</w:t>
      </w:r>
      <w:r>
        <w:rPr>
          <w:rFonts w:ascii="Times New Roman" w:cs="Times New Roman" w:eastAsia="Times New Roman" w:hAnsi="Times New Roman"/>
          <w:sz w:val="18"/>
          <w:szCs w:val="18"/>
          <w:b w:val="1"/>
          <w:bCs w:val="1"/>
          <w:u w:val="single" w:color="auto"/>
          <w:color w:val="auto"/>
        </w:rPr>
        <w:t>Collaboration Partner</w:t>
      </w:r>
      <w:r>
        <w:rPr>
          <w:rFonts w:ascii="Times New Roman" w:cs="Times New Roman" w:eastAsia="Times New Roman" w:hAnsi="Times New Roman"/>
          <w:sz w:val="18"/>
          <w:szCs w:val="18"/>
          <w:color w:val="auto"/>
        </w:rPr>
        <w:t>” shall mean a Third Party with which COMPANY collaborates on the development of the production process and/or commercialization of a Licensed Product or Final Product or to which COMPANY has granted a license for the development of the production process and/or commercialization of a Product.</w:t>
      </w:r>
    </w:p>
    <w:p>
      <w:pPr>
        <w:spacing w:after="0" w:line="76" w:lineRule="exact"/>
        <w:rPr>
          <w:sz w:val="20"/>
          <w:szCs w:val="20"/>
          <w:color w:val="auto"/>
        </w:rPr>
      </w:pPr>
    </w:p>
    <w:p>
      <w:pPr>
        <w:ind w:left="544" w:right="20"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1.8.</w:t>
        <w:tab/>
        <w:t>“</w:t>
      </w:r>
      <w:r>
        <w:rPr>
          <w:rFonts w:ascii="Times New Roman" w:cs="Times New Roman" w:eastAsia="Times New Roman" w:hAnsi="Times New Roman"/>
          <w:sz w:val="18"/>
          <w:szCs w:val="18"/>
          <w:b w:val="1"/>
          <w:bCs w:val="1"/>
          <w:u w:val="single" w:color="auto"/>
          <w:color w:val="auto"/>
        </w:rPr>
        <w:t>Combination Product Adjustment</w:t>
      </w:r>
      <w:r>
        <w:rPr>
          <w:rFonts w:ascii="Times New Roman" w:cs="Times New Roman" w:eastAsia="Times New Roman" w:hAnsi="Times New Roman"/>
          <w:sz w:val="18"/>
          <w:szCs w:val="18"/>
          <w:color w:val="auto"/>
        </w:rPr>
        <w:t>” shall mean the adjustment of: Net Sales for any combination product done by multiplying actual Net Sales of such combination product by the fraction A/(A + B) where [***], if sold separately, and [***], if sold separately. If, on a country-by-country basis, the other active ingredient, device or component in the combination is not sold separately, Net Sales shall be calculated by multiplying actual Net Sales of the combination product in such country by the fraction A/C where [***], if sold separately, in such country and [***].</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Commercial License</w:t>
      </w:r>
      <w:r>
        <w:rPr>
          <w:rFonts w:ascii="Times New Roman" w:cs="Times New Roman" w:eastAsia="Times New Roman" w:hAnsi="Times New Roman"/>
          <w:sz w:val="17"/>
          <w:szCs w:val="17"/>
          <w:color w:val="auto"/>
        </w:rPr>
        <w:t>” shall have the meaning set out in Article 2.1.</w:t>
      </w:r>
    </w:p>
    <w:p>
      <w:pPr>
        <w:spacing w:after="0" w:line="131" w:lineRule="exact"/>
        <w:rPr>
          <w:sz w:val="20"/>
          <w:szCs w:val="20"/>
          <w:color w:val="auto"/>
        </w:rPr>
      </w:pPr>
    </w:p>
    <w:p>
      <w:pPr>
        <w:ind w:left="544" w:right="36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1.10.</w:t>
        <w:tab/>
        <w:t>“</w:t>
      </w:r>
      <w:r>
        <w:rPr>
          <w:rFonts w:ascii="Times New Roman" w:cs="Times New Roman" w:eastAsia="Times New Roman" w:hAnsi="Times New Roman"/>
          <w:sz w:val="18"/>
          <w:szCs w:val="18"/>
          <w:b w:val="1"/>
          <w:bCs w:val="1"/>
          <w:u w:val="single" w:color="auto"/>
          <w:color w:val="auto"/>
        </w:rPr>
        <w:t>Commercial License Option</w:t>
      </w:r>
      <w:r>
        <w:rPr>
          <w:rFonts w:ascii="Times New Roman" w:cs="Times New Roman" w:eastAsia="Times New Roman" w:hAnsi="Times New Roman"/>
          <w:sz w:val="18"/>
          <w:szCs w:val="18"/>
          <w:color w:val="auto"/>
        </w:rPr>
        <w:t>” shall mean the option granted to Company in the Services Agreement to obtain a non-exclusive commercial license.</w:t>
      </w:r>
    </w:p>
    <w:p>
      <w:pPr>
        <w:sectPr>
          <w:pgSz w:w="11900" w:h="16838" w:orient="portrait"/>
          <w:cols w:equalWidth="0" w:num="1">
            <w:col w:w="11024"/>
          </w:cols>
          <w:pgMar w:left="436" w:top="266" w:right="439" w:bottom="1440" w:gutter="0" w:footer="0" w:header="0"/>
        </w:sectPr>
      </w:pPr>
    </w:p>
    <w:p>
      <w:pPr>
        <w:spacing w:after="0" w:line="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3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38" w:name="page339"/>
    <w:bookmarkEnd w:id="338"/>
    <w:p>
      <w:pPr>
        <w:jc w:val="center"/>
        <w:ind w:left="500"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540" w:right="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1.11.</w:t>
        <w:tab/>
        <w:t>“</w:t>
      </w:r>
      <w:r>
        <w:rPr>
          <w:rFonts w:ascii="Times New Roman" w:cs="Times New Roman" w:eastAsia="Times New Roman" w:hAnsi="Times New Roman"/>
          <w:sz w:val="18"/>
          <w:szCs w:val="18"/>
          <w:b w:val="1"/>
          <w:bCs w:val="1"/>
          <w:u w:val="single" w:color="auto"/>
          <w:color w:val="auto"/>
        </w:rPr>
        <w:t>COMPANY Technology</w:t>
      </w:r>
      <w:r>
        <w:rPr>
          <w:rFonts w:ascii="Times New Roman" w:cs="Times New Roman" w:eastAsia="Times New Roman" w:hAnsi="Times New Roman"/>
          <w:sz w:val="18"/>
          <w:szCs w:val="18"/>
          <w:color w:val="auto"/>
        </w:rPr>
        <w:t>” shall mean any Technology owned or controlled by COMPANY, including, without limitation, any such Technology related to Licensed or Final Product, but excluding any SELEXIS Technology related thereto.</w:t>
      </w:r>
    </w:p>
    <w:p>
      <w:pPr>
        <w:spacing w:after="0" w:line="60" w:lineRule="exact"/>
        <w:rPr>
          <w:sz w:val="20"/>
          <w:szCs w:val="20"/>
          <w:color w:val="auto"/>
        </w:rPr>
      </w:pPr>
    </w:p>
    <w:p>
      <w:pPr>
        <w:ind w:left="540" w:right="400" w:hanging="539"/>
        <w:spacing w:after="0" w:line="317" w:lineRule="auto"/>
        <w:tabs>
          <w:tab w:leader="none" w:pos="5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 Cell Line</w:t>
      </w:r>
      <w:r>
        <w:rPr>
          <w:rFonts w:ascii="Times New Roman" w:cs="Times New Roman" w:eastAsia="Times New Roman" w:hAnsi="Times New Roman"/>
          <w:sz w:val="17"/>
          <w:szCs w:val="17"/>
          <w:color w:val="auto"/>
        </w:rPr>
        <w:t>” shall mean the mammalian cell line developed by SELEXIS and provided to COMPANY pursuant to the Services Agreement and any progeny or derivatives thereof. A Cell Line which has been [***] shall be described as such in this Agreement.</w:t>
      </w:r>
    </w:p>
    <w:p>
      <w:pPr>
        <w:spacing w:after="0" w:line="37" w:lineRule="exact"/>
        <w:rPr>
          <w:sz w:val="20"/>
          <w:szCs w:val="20"/>
          <w:color w:val="auto"/>
        </w:rPr>
      </w:pPr>
    </w:p>
    <w:p>
      <w:pPr>
        <w:ind w:left="540" w:right="6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1.13.</w:t>
        <w:tab/>
        <w:t>“</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 shall mean any technical and business information pertaining to materials and production techniques, products, processes and services, including without limitation physical working models and samples of the products, research, development, patentable and unpatentable inventions, manufacturing, purchasing and product development plans, forecasts, strategies and information, engineering, marketing, merchandising, selling, customer lists, customer prospects, software codes, algorithms, names and expertise of employees and consultants, blueprints, technical information, trade secrets or know-how or other related proprietary business information and data, in any case whether such information is provided in tangible or intangible form, written, oral, graphic, pictorial or recorded form or stored on computer discs, hard drives, magnetic tape or digital or any other electronic medium. Confidential Information disclosed in any tangible format will be labeled “Confidential” or words to similar effect, and all non-tangible disclosures will be declared to be “Confidential” or words to similar effect at the time of disclosure. Confidential Information shall include any and all material and data created by the receiving party based on, containing or otherwise reflecting Confidential Information. Confidential Information shall also include any such information or documents which may be disclosed hereunder which the disclosing party received in confidence from a Third Party.</w:t>
      </w:r>
    </w:p>
    <w:p>
      <w:pPr>
        <w:spacing w:after="0" w:line="88" w:lineRule="exact"/>
        <w:rPr>
          <w:sz w:val="20"/>
          <w:szCs w:val="20"/>
          <w:color w:val="auto"/>
        </w:rPr>
      </w:pPr>
    </w:p>
    <w:p>
      <w:pPr>
        <w:ind w:left="540" w:right="5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1.14.</w:t>
        <w:tab/>
        <w:t>“</w:t>
      </w:r>
      <w:r>
        <w:rPr>
          <w:rFonts w:ascii="Times New Roman" w:cs="Times New Roman" w:eastAsia="Times New Roman" w:hAnsi="Times New Roman"/>
          <w:sz w:val="18"/>
          <w:szCs w:val="18"/>
          <w:b w:val="1"/>
          <w:bCs w:val="1"/>
          <w:u w:val="single" w:color="auto"/>
          <w:color w:val="auto"/>
        </w:rPr>
        <w:t>Contract Manufacturing Organization</w:t>
      </w:r>
      <w:r>
        <w:rPr>
          <w:rFonts w:ascii="Times New Roman" w:cs="Times New Roman" w:eastAsia="Times New Roman" w:hAnsi="Times New Roman"/>
          <w:sz w:val="18"/>
          <w:szCs w:val="18"/>
          <w:color w:val="auto"/>
        </w:rPr>
        <w:t>” shall mean an entity of which at least fifty percent (50%) of the business is directed toward the provision of services or products for non-affiliate third parties.</w:t>
      </w:r>
    </w:p>
    <w:p>
      <w:pPr>
        <w:spacing w:after="0" w:line="60" w:lineRule="exact"/>
        <w:rPr>
          <w:sz w:val="20"/>
          <w:szCs w:val="20"/>
          <w:color w:val="auto"/>
        </w:rPr>
      </w:pPr>
    </w:p>
    <w:p>
      <w:pPr>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1.15.</w:t>
        <w:tab/>
        <w:t>“</w:t>
      </w:r>
      <w:r>
        <w:rPr>
          <w:rFonts w:ascii="Times New Roman" w:cs="Times New Roman" w:eastAsia="Times New Roman" w:hAnsi="Times New Roman"/>
          <w:sz w:val="18"/>
          <w:szCs w:val="18"/>
          <w:b w:val="1"/>
          <w:bCs w:val="1"/>
          <w:u w:val="single" w:color="auto"/>
          <w:color w:val="auto"/>
        </w:rPr>
        <w:t>Contractor</w:t>
      </w:r>
      <w:r>
        <w:rPr>
          <w:rFonts w:ascii="Times New Roman" w:cs="Times New Roman" w:eastAsia="Times New Roman" w:hAnsi="Times New Roman"/>
          <w:sz w:val="18"/>
          <w:szCs w:val="18"/>
          <w:color w:val="auto"/>
        </w:rPr>
        <w:t>” shall mean a Third Party contractor who: (i) develops the production process for Licensed Products or Final Products by or on behalf of COMPANY or (ii) manufactures and supplies Licensed Products or Final Products by using such production process by or on behalf of Company.</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Default</w:t>
      </w:r>
      <w:r>
        <w:rPr>
          <w:rFonts w:ascii="Times New Roman" w:cs="Times New Roman" w:eastAsia="Times New Roman" w:hAnsi="Times New Roman"/>
          <w:sz w:val="17"/>
          <w:szCs w:val="17"/>
          <w:color w:val="auto"/>
        </w:rPr>
        <w:t>” shall have the meaning set out in Article 9.2.</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Defaulting Party</w:t>
      </w:r>
      <w:r>
        <w:rPr>
          <w:rFonts w:ascii="Times New Roman" w:cs="Times New Roman" w:eastAsia="Times New Roman" w:hAnsi="Times New Roman"/>
          <w:sz w:val="17"/>
          <w:szCs w:val="17"/>
          <w:color w:val="auto"/>
        </w:rPr>
        <w:t>” shall have the meaning set out in Article 9.2.</w:t>
      </w:r>
    </w:p>
    <w:p>
      <w:pPr>
        <w:spacing w:after="0" w:line="131" w:lineRule="exact"/>
        <w:rPr>
          <w:sz w:val="20"/>
          <w:szCs w:val="20"/>
          <w:color w:val="auto"/>
        </w:rPr>
      </w:pPr>
    </w:p>
    <w:p>
      <w:pPr>
        <w:ind w:left="540" w:right="2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Deliverables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reports and other data delivered to COMPANY pursuant to the Services Agreement, excluding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Line.</w:t>
      </w:r>
    </w:p>
    <w:p>
      <w:pPr>
        <w:sectPr>
          <w:pgSz w:w="11900" w:h="16838" w:orient="portrait"/>
          <w:cols w:equalWidth="0" w:num="1">
            <w:col w:w="11020"/>
          </w:cols>
          <w:pgMar w:left="440" w:top="266" w:right="43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4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39" w:name="page340"/>
    <w:bookmarkEnd w:id="339"/>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FDA</w:t>
      </w:r>
      <w:r>
        <w:rPr>
          <w:rFonts w:ascii="Times New Roman" w:cs="Times New Roman" w:eastAsia="Times New Roman" w:hAnsi="Times New Roman"/>
          <w:sz w:val="17"/>
          <w:szCs w:val="17"/>
          <w:color w:val="auto"/>
        </w:rPr>
        <w:t>” shall mean the United States Food and Drug Administration, or any successor agency.</w:t>
      </w:r>
    </w:p>
    <w:p>
      <w:pPr>
        <w:spacing w:after="0" w:line="131" w:lineRule="exact"/>
        <w:rPr>
          <w:sz w:val="20"/>
          <w:szCs w:val="20"/>
          <w:color w:val="auto"/>
        </w:rPr>
      </w:pPr>
    </w:p>
    <w:p>
      <w:pPr>
        <w:ind w:left="540" w:right="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Final Product</w:t>
      </w:r>
      <w:r>
        <w:rPr>
          <w:rFonts w:ascii="Times New Roman" w:cs="Times New Roman" w:eastAsia="Times New Roman" w:hAnsi="Times New Roman"/>
          <w:sz w:val="18"/>
          <w:szCs w:val="18"/>
          <w:color w:val="auto"/>
        </w:rPr>
        <w:t>” shall mean any pharmaceutical preparation in final form containing any Licensed Products for sale by prescription,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over-the-counter or any other method, in any dosage form, formulation, presentation, line extension or package configurations, including without limitation such Product in development where the context so requires in this Agreement.</w:t>
      </w:r>
    </w:p>
    <w:p>
      <w:pPr>
        <w:spacing w:after="0" w:line="76"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1.21.</w:t>
        <w:tab/>
        <w:t>“</w:t>
      </w:r>
      <w:r>
        <w:rPr>
          <w:rFonts w:ascii="Times New Roman" w:cs="Times New Roman" w:eastAsia="Times New Roman" w:hAnsi="Times New Roman"/>
          <w:sz w:val="18"/>
          <w:szCs w:val="18"/>
          <w:b w:val="1"/>
          <w:bCs w:val="1"/>
          <w:u w:val="single" w:color="auto"/>
          <w:color w:val="auto"/>
        </w:rPr>
        <w:t>First Commercial Sale</w:t>
      </w:r>
      <w:r>
        <w:rPr>
          <w:rFonts w:ascii="Times New Roman" w:cs="Times New Roman" w:eastAsia="Times New Roman" w:hAnsi="Times New Roman"/>
          <w:sz w:val="18"/>
          <w:szCs w:val="18"/>
          <w:color w:val="auto"/>
        </w:rPr>
        <w:t>” shall mean, with respect to any Final Product in any country, the first sale of such Final Product for use or consumption by the general public in such country after Regulatory Approval as well as Pricing and Reimbursement Approval for such Final Product has been obtained in such country. For the avoidance of doubt, sales prior to receipt of all Regulatory Approvals and Pricing and Reimbursement Approvals necessary to commence regular commercial sales, such as so-called “treatment IND sales”, “named patient sales” and “compassionate use sales”, shall not be construed as a First Commercial Sale.</w:t>
      </w:r>
    </w:p>
    <w:p>
      <w:pPr>
        <w:spacing w:after="0" w:line="85"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1.22.</w:t>
        <w:tab/>
        <w:t>“</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shall mean conditions beyond the control of a PARTY, including without limitation, an act of God, war, civil commotion, terrorist act, labor strike or lock-out, epidemic, failure or default of public utilities or common carriers, destruction of facilities or materials by fire, earthquake, storm or the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w:t>
      </w:r>
    </w:p>
    <w:p>
      <w:pPr>
        <w:spacing w:after="0" w:line="85" w:lineRule="exact"/>
        <w:rPr>
          <w:sz w:val="20"/>
          <w:szCs w:val="20"/>
          <w:color w:val="auto"/>
        </w:rPr>
      </w:pPr>
    </w:p>
    <w:p>
      <w:pPr>
        <w:ind w:left="540" w:right="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1.23.</w:t>
        <w:tab/>
        <w:t>“</w:t>
      </w:r>
      <w:r>
        <w:rPr>
          <w:rFonts w:ascii="Times New Roman" w:cs="Times New Roman" w:eastAsia="Times New Roman" w:hAnsi="Times New Roman"/>
          <w:sz w:val="18"/>
          <w:szCs w:val="18"/>
          <w:b w:val="1"/>
          <w:bCs w:val="1"/>
          <w:u w:val="single" w:color="auto"/>
          <w:color w:val="auto"/>
        </w:rPr>
        <w:t>IND</w:t>
      </w:r>
      <w:r>
        <w:rPr>
          <w:rFonts w:ascii="Times New Roman" w:cs="Times New Roman" w:eastAsia="Times New Roman" w:hAnsi="Times New Roman"/>
          <w:sz w:val="18"/>
          <w:szCs w:val="18"/>
          <w:color w:val="auto"/>
        </w:rPr>
        <w:t>” shall mean an Investigational New Drug Application for the Product filed with the FDA or any comparable filing made with a Regulatory Authority in another country.</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Insolvent Party</w:t>
      </w:r>
      <w:r>
        <w:rPr>
          <w:rFonts w:ascii="Times New Roman" w:cs="Times New Roman" w:eastAsia="Times New Roman" w:hAnsi="Times New Roman"/>
          <w:sz w:val="17"/>
          <w:szCs w:val="17"/>
          <w:color w:val="auto"/>
        </w:rPr>
        <w:t>” shall have the meaning set out in Article 9.3.</w:t>
      </w:r>
    </w:p>
    <w:p>
      <w:pPr>
        <w:spacing w:after="0" w:line="131" w:lineRule="exact"/>
        <w:rPr>
          <w:sz w:val="20"/>
          <w:szCs w:val="20"/>
          <w:color w:val="auto"/>
        </w:rPr>
      </w:pPr>
    </w:p>
    <w:p>
      <w:pPr>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1.25.</w:t>
        <w:tab/>
        <w:t>“</w:t>
      </w:r>
      <w:r>
        <w:rPr>
          <w:rFonts w:ascii="Times New Roman" w:cs="Times New Roman" w:eastAsia="Times New Roman" w:hAnsi="Times New Roman"/>
          <w:sz w:val="18"/>
          <w:szCs w:val="18"/>
          <w:b w:val="1"/>
          <w:bCs w:val="1"/>
          <w:u w:val="single" w:color="auto"/>
          <w:color w:val="auto"/>
        </w:rPr>
        <w:t>Invention</w:t>
      </w:r>
      <w:r>
        <w:rPr>
          <w:rFonts w:ascii="Times New Roman" w:cs="Times New Roman" w:eastAsia="Times New Roman" w:hAnsi="Times New Roman"/>
          <w:sz w:val="18"/>
          <w:szCs w:val="18"/>
          <w:color w:val="auto"/>
        </w:rPr>
        <w:t>” shall mean any invention, idea, innovation, enhancement, improvement or feature, whether or not patentable or registrable, together with any intellectual property rights relating thereto (including without limitation the Patent Rights and rights to confidentiality and proprietary information).</w:t>
      </w:r>
    </w:p>
    <w:p>
      <w:pPr>
        <w:spacing w:after="0" w:line="76" w:lineRule="exact"/>
        <w:rPr>
          <w:sz w:val="20"/>
          <w:szCs w:val="20"/>
          <w:color w:val="auto"/>
        </w:rPr>
      </w:pPr>
    </w:p>
    <w:p>
      <w:pPr>
        <w:ind w:left="540" w:right="20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1.26.</w:t>
        <w:tab/>
        <w:t>“</w:t>
      </w:r>
      <w:r>
        <w:rPr>
          <w:rFonts w:ascii="Times New Roman" w:cs="Times New Roman" w:eastAsia="Times New Roman" w:hAnsi="Times New Roman"/>
          <w:sz w:val="18"/>
          <w:szCs w:val="18"/>
          <w:b w:val="1"/>
          <w:bCs w:val="1"/>
          <w:u w:val="single" w:color="auto"/>
          <w:color w:val="auto"/>
        </w:rPr>
        <w:t>Know-How</w:t>
      </w:r>
      <w:r>
        <w:rPr>
          <w:rFonts w:ascii="Times New Roman" w:cs="Times New Roman" w:eastAsia="Times New Roman" w:hAnsi="Times New Roman"/>
          <w:sz w:val="18"/>
          <w:szCs w:val="18"/>
          <w:color w:val="auto"/>
        </w:rPr>
        <w:t>” shall mean information in whatever form, tangible or intangible and on whatever medium, including without limitation, information and materials relating to Inventions and other know-how, trade secrets, data (including without limitation all data from pre-clinical and clinical studies and other studies intended for regulatory submission), results, formulae, DNA and amino acid sequence information and developments.</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1.27.</w:t>
        <w:tab/>
        <w:t>“</w:t>
      </w:r>
      <w:r>
        <w:rPr>
          <w:rFonts w:ascii="Times New Roman" w:cs="Times New Roman" w:eastAsia="Times New Roman" w:hAnsi="Times New Roman"/>
          <w:sz w:val="18"/>
          <w:szCs w:val="18"/>
          <w:b w:val="1"/>
          <w:bCs w:val="1"/>
          <w:u w:val="single" w:color="auto"/>
          <w:color w:val="auto"/>
        </w:rPr>
        <w:t>Licensed Field of Use</w:t>
      </w:r>
      <w:r>
        <w:rPr>
          <w:rFonts w:ascii="Times New Roman" w:cs="Times New Roman" w:eastAsia="Times New Roman" w:hAnsi="Times New Roman"/>
          <w:sz w:val="18"/>
          <w:szCs w:val="18"/>
          <w:color w:val="auto"/>
        </w:rPr>
        <w:t>” shall mean all uses of a Licensed and/or Final Product.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Licensed Product</w:t>
      </w:r>
      <w:r>
        <w:rPr>
          <w:rFonts w:ascii="Times New Roman" w:cs="Times New Roman" w:eastAsia="Times New Roman" w:hAnsi="Times New Roman"/>
          <w:sz w:val="17"/>
          <w:szCs w:val="17"/>
          <w:color w:val="auto"/>
        </w:rPr>
        <w:t>” shall mean the recombinant protein listed in Exhibit 2.</w:t>
      </w:r>
    </w:p>
    <w:p>
      <w:pPr>
        <w:sectPr>
          <w:pgSz w:w="11900" w:h="16838" w:orient="portrait"/>
          <w:cols w:equalWidth="0" w:num="1">
            <w:col w:w="11020"/>
          </w:cols>
          <w:pgMar w:left="440" w:top="266" w:right="4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5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40" w:name="page341"/>
    <w:bookmarkEnd w:id="340"/>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Losses</w:t>
      </w:r>
      <w:r>
        <w:rPr>
          <w:rFonts w:ascii="Times New Roman" w:cs="Times New Roman" w:eastAsia="Times New Roman" w:hAnsi="Times New Roman"/>
          <w:sz w:val="17"/>
          <w:szCs w:val="17"/>
          <w:color w:val="auto"/>
        </w:rPr>
        <w:t>” shall mean all and any liability, damage, loss or expense.</w:t>
      </w:r>
    </w:p>
    <w:p>
      <w:pPr>
        <w:spacing w:after="0" w:line="131" w:lineRule="exact"/>
        <w:rPr>
          <w:sz w:val="20"/>
          <w:szCs w:val="20"/>
          <w:color w:val="auto"/>
        </w:rPr>
      </w:pPr>
    </w:p>
    <w:p>
      <w:pPr>
        <w:ind w:left="540" w:right="2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1.30.</w:t>
        <w:tab/>
        <w:t>“</w:t>
      </w:r>
      <w:r>
        <w:rPr>
          <w:rFonts w:ascii="Times New Roman" w:cs="Times New Roman" w:eastAsia="Times New Roman" w:hAnsi="Times New Roman"/>
          <w:sz w:val="18"/>
          <w:szCs w:val="18"/>
          <w:b w:val="1"/>
          <w:bCs w:val="1"/>
          <w:u w:val="single" w:color="auto"/>
          <w:color w:val="auto"/>
        </w:rPr>
        <w:t>Net Sales</w:t>
      </w:r>
      <w:r>
        <w:rPr>
          <w:rFonts w:ascii="Times New Roman" w:cs="Times New Roman" w:eastAsia="Times New Roman" w:hAnsi="Times New Roman"/>
          <w:sz w:val="18"/>
          <w:szCs w:val="18"/>
          <w:color w:val="auto"/>
        </w:rPr>
        <w:t>” shall mean the amount collected by COMPANY, its Affiliates and/or its sublicensees on account of sales of Final Product to Third Parties in the Territory, less the following deductions:</w:t>
      </w:r>
    </w:p>
    <w:p>
      <w:pPr>
        <w:spacing w:after="0" w:line="64" w:lineRule="exact"/>
        <w:rPr>
          <w:sz w:val="20"/>
          <w:szCs w:val="20"/>
          <w:color w:val="auto"/>
        </w:rPr>
      </w:pPr>
    </w:p>
    <w:p>
      <w:pPr>
        <w:ind w:left="1180" w:hanging="644"/>
        <w:spacing w:after="0"/>
        <w:tabs>
          <w:tab w:leader="none" w:pos="11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180" w:right="820" w:hanging="644"/>
        <w:spacing w:after="0" w:line="266" w:lineRule="auto"/>
        <w:tabs>
          <w:tab w:leader="none" w:pos="11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Final Product is sold in any country in the form of a combination product containing one or more other therapeutically active ingredients, the Net Sales for any such Final Product shall be computed using the Combination Product Adjustment for such country.</w:t>
      </w:r>
    </w:p>
    <w:p>
      <w:pPr>
        <w:spacing w:after="0" w:line="19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Non-Defaulting Party</w:t>
      </w:r>
      <w:r>
        <w:rPr>
          <w:rFonts w:ascii="Times New Roman" w:cs="Times New Roman" w:eastAsia="Times New Roman" w:hAnsi="Times New Roman"/>
          <w:sz w:val="17"/>
          <w:szCs w:val="17"/>
          <w:color w:val="auto"/>
        </w:rPr>
        <w:t>” shall have the meaning set out in Article 9.2.</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Notice of Default</w:t>
      </w:r>
      <w:r>
        <w:rPr>
          <w:rFonts w:ascii="Times New Roman" w:cs="Times New Roman" w:eastAsia="Times New Roman" w:hAnsi="Times New Roman"/>
          <w:sz w:val="17"/>
          <w:szCs w:val="17"/>
          <w:color w:val="auto"/>
        </w:rPr>
        <w:t>” shall have the meaning set out in Article 9.2.</w:t>
      </w:r>
    </w:p>
    <w:p>
      <w:pPr>
        <w:spacing w:after="0" w:line="131"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1.33.</w:t>
        <w:tab/>
        <w:t>“</w:t>
      </w:r>
      <w:r>
        <w:rPr>
          <w:rFonts w:ascii="Times New Roman" w:cs="Times New Roman" w:eastAsia="Times New Roman" w:hAnsi="Times New Roman"/>
          <w:sz w:val="18"/>
          <w:szCs w:val="18"/>
          <w:b w:val="1"/>
          <w:bCs w:val="1"/>
          <w:u w:val="single" w:color="auto"/>
          <w:color w:val="auto"/>
        </w:rPr>
        <w:t>Patent Rights</w:t>
      </w:r>
      <w:r>
        <w:rPr>
          <w:rFonts w:ascii="Times New Roman" w:cs="Times New Roman" w:eastAsia="Times New Roman" w:hAnsi="Times New Roman"/>
          <w:sz w:val="18"/>
          <w:szCs w:val="18"/>
          <w:color w:val="auto"/>
        </w:rPr>
        <w:t>” shall mean any and all of the following: (i) patent applications (including without limitation provisional patent applications) and patents (including without limitation the inventor’s certificates); (ii) any substitution, extension (including without limitation patent term extensions and supplementary protection certificates), registration, confirmation, reissue, continuation, divisional, continuation-in-part, re-examination, renewal, patent of addition or the like thereof or thereto; (iii) any foreign counterparts of any of the foregoing; and (iv) any utility model applications and utility models (whether or not corresponding to any of the foregoing).</w:t>
      </w:r>
    </w:p>
    <w:p>
      <w:pPr>
        <w:spacing w:after="0" w:line="85" w:lineRule="exact"/>
        <w:rPr>
          <w:sz w:val="20"/>
          <w:szCs w:val="20"/>
          <w:color w:val="auto"/>
        </w:rPr>
      </w:pPr>
    </w:p>
    <w:p>
      <w:pPr>
        <w:ind w:left="540" w:right="1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1.34.</w:t>
        <w:tab/>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shall mean an individual, a partnership, a joint venture, a corporation, a limited liability company, a trust, an estate, an unincorporated organization, or any other entity, or a government or any department or agency thereof, whether acting in an individual, fiduciary or other capacity.</w:t>
      </w:r>
    </w:p>
    <w:p>
      <w:pPr>
        <w:spacing w:after="0" w:line="76" w:lineRule="exact"/>
        <w:rPr>
          <w:sz w:val="20"/>
          <w:szCs w:val="20"/>
          <w:color w:val="auto"/>
        </w:rPr>
      </w:pPr>
    </w:p>
    <w:p>
      <w:pPr>
        <w:ind w:left="540" w:right="1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1.35.</w:t>
        <w:tab/>
        <w:t>“</w:t>
      </w:r>
      <w:r>
        <w:rPr>
          <w:rFonts w:ascii="Times New Roman" w:cs="Times New Roman" w:eastAsia="Times New Roman" w:hAnsi="Times New Roman"/>
          <w:sz w:val="18"/>
          <w:szCs w:val="18"/>
          <w:b w:val="1"/>
          <w:bCs w:val="1"/>
          <w:u w:val="single" w:color="auto"/>
          <w:color w:val="auto"/>
        </w:rPr>
        <w:t>Phase I Clinical Trial</w:t>
      </w:r>
      <w:r>
        <w:rPr>
          <w:rFonts w:ascii="Times New Roman" w:cs="Times New Roman" w:eastAsia="Times New Roman" w:hAnsi="Times New Roman"/>
          <w:sz w:val="18"/>
          <w:szCs w:val="18"/>
          <w:color w:val="auto"/>
        </w:rPr>
        <w:t>” shall mean a Clinical Trial conducted in humans which is principally intended to obtain data on the safety, tolerability, pharmacokinetic or pharmacodynamic properties of a product. Phase I shall be deemed to have commenced when the first patient in the study has been treated. Phase I shall be deemed to have completed when the last patient has completed his or her treatment being investigated by that Clinical Trial as described in its protocol, the database is locked, and data from all patients, according to protocol, has been analyzed for the primary endpoint.</w:t>
      </w:r>
    </w:p>
    <w:p>
      <w:pPr>
        <w:sectPr>
          <w:pgSz w:w="11900" w:h="16838" w:orient="portrait"/>
          <w:cols w:equalWidth="0" w:num="1">
            <w:col w:w="11020"/>
          </w:cols>
          <w:pgMar w:left="440" w:top="266" w:right="439" w:bottom="1440" w:gutter="0" w:footer="0" w:header="0"/>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6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41" w:name="page342"/>
    <w:bookmarkEnd w:id="341"/>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540" w:right="10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1.36.</w:t>
        <w:tab/>
        <w:t>“</w:t>
      </w:r>
      <w:r>
        <w:rPr>
          <w:rFonts w:ascii="Times New Roman" w:cs="Times New Roman" w:eastAsia="Times New Roman" w:hAnsi="Times New Roman"/>
          <w:sz w:val="18"/>
          <w:szCs w:val="18"/>
          <w:b w:val="1"/>
          <w:bCs w:val="1"/>
          <w:u w:val="single" w:color="auto"/>
          <w:color w:val="auto"/>
        </w:rPr>
        <w:t>Phase II Clinical Trial</w:t>
      </w:r>
      <w:r>
        <w:rPr>
          <w:rFonts w:ascii="Times New Roman" w:cs="Times New Roman" w:eastAsia="Times New Roman" w:hAnsi="Times New Roman"/>
          <w:sz w:val="18"/>
          <w:szCs w:val="18"/>
          <w:color w:val="auto"/>
        </w:rPr>
        <w:t>” shall mean a Clinical Trial conducted in humans in which the primary objective is a preliminary determination of therapeutic efficiency and/or to find an optimal dose range in patients with the disease target being studied. Phase II shall be deemed to have commenced when the first patient in the study has been treated. Phase II shall be deemed to have completed when the last patient has completed his or her treatment being investigated by that Clinical Trial as described in its protocol, the database is locked, and data from all patients, according to protocol, has been analyzed for the primary endpoint.</w:t>
      </w:r>
    </w:p>
    <w:p>
      <w:pPr>
        <w:spacing w:after="0" w:line="85" w:lineRule="exact"/>
        <w:rPr>
          <w:sz w:val="20"/>
          <w:szCs w:val="20"/>
          <w:color w:val="auto"/>
        </w:rPr>
      </w:pPr>
    </w:p>
    <w:p>
      <w:pPr>
        <w:ind w:left="540" w:right="16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1.37.</w:t>
        <w:tab/>
        <w:t>“</w:t>
      </w:r>
      <w:r>
        <w:rPr>
          <w:rFonts w:ascii="Times New Roman" w:cs="Times New Roman" w:eastAsia="Times New Roman" w:hAnsi="Times New Roman"/>
          <w:sz w:val="18"/>
          <w:szCs w:val="18"/>
          <w:b w:val="1"/>
          <w:bCs w:val="1"/>
          <w:u w:val="single" w:color="auto"/>
          <w:color w:val="auto"/>
        </w:rPr>
        <w:t>Phase III Clinical Trial</w:t>
      </w:r>
      <w:r>
        <w:rPr>
          <w:rFonts w:ascii="Times New Roman" w:cs="Times New Roman" w:eastAsia="Times New Roman" w:hAnsi="Times New Roman"/>
          <w:sz w:val="18"/>
          <w:szCs w:val="18"/>
          <w:color w:val="auto"/>
        </w:rPr>
        <w:t>” shall mean a Clinical Trial conducted in humans in which the primary objective is a determination of therapeutic efficiency in patients with the disease target being studied. Phase III shall be deemed to have commenced when the first patient in the study has been treated. Phase III shall be deemed to have completed when the last patient has completed his or her treatment being investigated by that Clinical Trial as described in its protocol, the database is locked, and data from all patients, according to protocol, has been analyzed for the primary endpoint.</w:t>
      </w:r>
    </w:p>
    <w:p>
      <w:pPr>
        <w:spacing w:after="0" w:line="85" w:lineRule="exact"/>
        <w:rPr>
          <w:sz w:val="20"/>
          <w:szCs w:val="20"/>
          <w:color w:val="auto"/>
        </w:rPr>
      </w:pPr>
    </w:p>
    <w:p>
      <w:pPr>
        <w:ind w:left="540" w:right="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1.38.</w:t>
        <w:tab/>
        <w:t>“</w:t>
      </w:r>
      <w:r>
        <w:rPr>
          <w:rFonts w:ascii="Times New Roman" w:cs="Times New Roman" w:eastAsia="Times New Roman" w:hAnsi="Times New Roman"/>
          <w:sz w:val="18"/>
          <w:szCs w:val="18"/>
          <w:b w:val="1"/>
          <w:bCs w:val="1"/>
          <w:u w:val="single" w:color="auto"/>
          <w:color w:val="auto"/>
        </w:rPr>
        <w:t>Price and Reimbursement Approval</w:t>
      </w:r>
      <w:r>
        <w:rPr>
          <w:rFonts w:ascii="Times New Roman" w:cs="Times New Roman" w:eastAsia="Times New Roman" w:hAnsi="Times New Roman"/>
          <w:sz w:val="18"/>
          <w:szCs w:val="18"/>
          <w:color w:val="auto"/>
        </w:rPr>
        <w:t>” shall mean any approvals, licenses, registrations or authorizations of any supranational, national, regional, state or local Regulatory Authority or other regulatory agency, department, bureau or governmental entity, necessary to determine or set the pricing of a Product, and/or its reimbursement level by the relevant health authorities, providers or other funding institutions, at supranational, national, regional, state or local level.</w:t>
      </w:r>
    </w:p>
    <w:p>
      <w:pPr>
        <w:spacing w:after="0" w:line="82" w:lineRule="exact"/>
        <w:rPr>
          <w:sz w:val="20"/>
          <w:szCs w:val="20"/>
          <w:color w:val="auto"/>
        </w:rPr>
      </w:pPr>
    </w:p>
    <w:p>
      <w:pPr>
        <w:jc w:val="both"/>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1.39.</w:t>
        <w:tab/>
        <w:t>“</w:t>
      </w:r>
      <w:r>
        <w:rPr>
          <w:rFonts w:ascii="Times New Roman" w:cs="Times New Roman" w:eastAsia="Times New Roman" w:hAnsi="Times New Roman"/>
          <w:sz w:val="18"/>
          <w:szCs w:val="18"/>
          <w:b w:val="1"/>
          <w:bCs w:val="1"/>
          <w:u w:val="single" w:color="auto"/>
          <w:color w:val="auto"/>
        </w:rPr>
        <w:t>Regulatory Approval</w:t>
      </w:r>
      <w:r>
        <w:rPr>
          <w:rFonts w:ascii="Times New Roman" w:cs="Times New Roman" w:eastAsia="Times New Roman" w:hAnsi="Times New Roman"/>
          <w:sz w:val="18"/>
          <w:szCs w:val="18"/>
          <w:color w:val="auto"/>
        </w:rPr>
        <w:t>” shall mean any approvals, licenses, registrations or authorizations of any supranational, national, regional, state or local Regulatory Authority or other regulatory agency, department, bureau or governmental entity, necessary for the manufacture, marketing or sale of a Product or conduct of Clinical Trials in a regulatory jurisdiction, excluding Price and Reimbursement Approval.</w:t>
      </w:r>
    </w:p>
    <w:p>
      <w:pPr>
        <w:spacing w:after="0" w:line="76" w:lineRule="exact"/>
        <w:rPr>
          <w:sz w:val="20"/>
          <w:szCs w:val="20"/>
          <w:color w:val="auto"/>
        </w:rPr>
      </w:pPr>
    </w:p>
    <w:p>
      <w:pPr>
        <w:ind w:left="540" w:right="18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1.40.</w:t>
        <w:tab/>
        <w:t>“</w:t>
      </w:r>
      <w:r>
        <w:rPr>
          <w:rFonts w:ascii="Times New Roman" w:cs="Times New Roman" w:eastAsia="Times New Roman" w:hAnsi="Times New Roman"/>
          <w:sz w:val="18"/>
          <w:szCs w:val="18"/>
          <w:b w:val="1"/>
          <w:bCs w:val="1"/>
          <w:u w:val="single" w:color="auto"/>
          <w:color w:val="auto"/>
        </w:rPr>
        <w:t>Regulatory Authority</w:t>
      </w:r>
      <w:r>
        <w:rPr>
          <w:rFonts w:ascii="Times New Roman" w:cs="Times New Roman" w:eastAsia="Times New Roman" w:hAnsi="Times New Roman"/>
          <w:sz w:val="18"/>
          <w:szCs w:val="18"/>
          <w:color w:val="auto"/>
        </w:rPr>
        <w:t>” shall mean (i) the FDA or (ii) any and all governmental or supranational agencies, ministries, authorities or other bodies with similar regulatory authority with respect to approval or registration of pharmaceutical or biologic products in any other jurisdiction anywhere in the world.</w:t>
      </w:r>
    </w:p>
    <w:p>
      <w:pPr>
        <w:spacing w:after="0" w:line="76" w:lineRule="exact"/>
        <w:rPr>
          <w:sz w:val="20"/>
          <w:szCs w:val="20"/>
          <w:color w:val="auto"/>
        </w:rPr>
      </w:pPr>
    </w:p>
    <w:p>
      <w:pPr>
        <w:ind w:left="540" w:right="18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1.41.</w:t>
        <w:tab/>
        <w:t>“</w:t>
      </w:r>
      <w:r>
        <w:rPr>
          <w:rFonts w:ascii="Times New Roman" w:cs="Times New Roman" w:eastAsia="Times New Roman" w:hAnsi="Times New Roman"/>
          <w:sz w:val="18"/>
          <w:szCs w:val="18"/>
          <w:b w:val="1"/>
          <w:bCs w:val="1"/>
          <w:u w:val="single" w:color="auto"/>
          <w:color w:val="auto"/>
        </w:rPr>
        <w:t>Royalty Term</w:t>
      </w:r>
      <w:r>
        <w:rPr>
          <w:rFonts w:ascii="Times New Roman" w:cs="Times New Roman" w:eastAsia="Times New Roman" w:hAnsi="Times New Roman"/>
          <w:sz w:val="18"/>
          <w:szCs w:val="18"/>
          <w:color w:val="auto"/>
        </w:rPr>
        <w:t>” shall mean with respect to each Final Product sold in a particular country, the period beginning on the date of the First Commercial Sale in such country and terminating on the expiration of the last-to-expire or lapse of any Valid Claims in such country covering the Licensed Product, the Final Product, the Company Cell Line, or any other Cell Line used to produce Licensed Product, or the development, use, or manufacture of any of the foregoing. In no event shall the Royalty Term exceed the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of October 2024.</w:t>
      </w:r>
    </w:p>
    <w:p>
      <w:pPr>
        <w:spacing w:after="0" w:line="82" w:lineRule="exact"/>
        <w:rPr>
          <w:sz w:val="20"/>
          <w:szCs w:val="20"/>
          <w:color w:val="auto"/>
        </w:rPr>
      </w:pPr>
    </w:p>
    <w:p>
      <w:pPr>
        <w:ind w:left="540" w:right="16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1.42.</w:t>
        <w:tab/>
        <w:t>“</w:t>
      </w:r>
      <w:r>
        <w:rPr>
          <w:rFonts w:ascii="Times New Roman" w:cs="Times New Roman" w:eastAsia="Times New Roman" w:hAnsi="Times New Roman"/>
          <w:sz w:val="18"/>
          <w:szCs w:val="18"/>
          <w:b w:val="1"/>
          <w:bCs w:val="1"/>
          <w:u w:val="single" w:color="auto"/>
          <w:color w:val="auto"/>
        </w:rPr>
        <w:t>SELEXIS Know-How</w:t>
      </w:r>
      <w:r>
        <w:rPr>
          <w:rFonts w:ascii="Times New Roman" w:cs="Times New Roman" w:eastAsia="Times New Roman" w:hAnsi="Times New Roman"/>
          <w:sz w:val="18"/>
          <w:szCs w:val="18"/>
          <w:color w:val="auto"/>
        </w:rPr>
        <w:t>” shall mean SELEXIS’ Confidential Information and Know-How owned, controlled by SELEXIS, or to which SELEXIS has received a license which includes a right to grant sublicenses consistent with the Commercial License relating to, without limitation, the construction and development of recombinant cell lines for the manufacture of biopharmaceutical products and existing as of the Effective Date or obtained thereafter during the Term.</w:t>
      </w:r>
    </w:p>
    <w:p>
      <w:pPr>
        <w:spacing w:after="0" w:line="82" w:lineRule="exact"/>
        <w:rPr>
          <w:sz w:val="20"/>
          <w:szCs w:val="20"/>
          <w:color w:val="auto"/>
        </w:rPr>
      </w:pPr>
    </w:p>
    <w:p>
      <w:pPr>
        <w:ind w:left="540" w:right="7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1.43.</w:t>
        <w:tab/>
        <w:t>“</w:t>
      </w:r>
      <w:r>
        <w:rPr>
          <w:rFonts w:ascii="Times New Roman" w:cs="Times New Roman" w:eastAsia="Times New Roman" w:hAnsi="Times New Roman"/>
          <w:sz w:val="18"/>
          <w:szCs w:val="18"/>
          <w:b w:val="1"/>
          <w:bCs w:val="1"/>
          <w:u w:val="single" w:color="auto"/>
          <w:color w:val="auto"/>
        </w:rPr>
        <w:t>SELEXIS Materials</w:t>
      </w:r>
      <w:r>
        <w:rPr>
          <w:rFonts w:ascii="Times New Roman" w:cs="Times New Roman" w:eastAsia="Times New Roman" w:hAnsi="Times New Roman"/>
          <w:sz w:val="18"/>
          <w:szCs w:val="18"/>
          <w:color w:val="auto"/>
        </w:rPr>
        <w:t>” shall mean the materials provided by SELEXIS to COMPANY under this Agreement and all modifications and improvements thereof made by SELEXIS during the Term, if any. SELEXIS Materials excludes the Cell Lines.</w:t>
      </w:r>
    </w:p>
    <w:p>
      <w:pPr>
        <w:sectPr>
          <w:pgSz w:w="11900" w:h="16838" w:orient="portrait"/>
          <w:cols w:equalWidth="0" w:num="1">
            <w:col w:w="11020"/>
          </w:cols>
          <w:pgMar w:left="440" w:top="266" w:right="43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7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42" w:name="page343"/>
    <w:bookmarkEnd w:id="342"/>
    <w:p>
      <w:pPr>
        <w:jc w:val="center"/>
        <w:ind w:left="52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540" w:right="20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1.44.</w:t>
        <w:tab/>
        <w:t>“</w:t>
      </w:r>
      <w:r>
        <w:rPr>
          <w:rFonts w:ascii="Times New Roman" w:cs="Times New Roman" w:eastAsia="Times New Roman" w:hAnsi="Times New Roman"/>
          <w:sz w:val="18"/>
          <w:szCs w:val="18"/>
          <w:b w:val="1"/>
          <w:bCs w:val="1"/>
          <w:u w:val="single" w:color="auto"/>
          <w:color w:val="auto"/>
        </w:rPr>
        <w:t>SELEXIS Patent Rights</w:t>
      </w:r>
      <w:r>
        <w:rPr>
          <w:rFonts w:ascii="Times New Roman" w:cs="Times New Roman" w:eastAsia="Times New Roman" w:hAnsi="Times New Roman"/>
          <w:sz w:val="18"/>
          <w:szCs w:val="18"/>
          <w:color w:val="auto"/>
        </w:rPr>
        <w:t>” shall mean Patent Rights which: (i) are owned or controlled by SELEXIS, or to which SELEXIS has received a license which includes a right to grant sublicenses consistent with the Commercial License (ii) are necessary or useful for the use of SELEXIS Materials or the construction, development and use of Cell Lines and (iii) are existing as of the Effective Date or obtained thereafter during the Term. Without limiting the generality this Article, the SELEXIS Patent Rights as of the Effective Date are listed in Exhibit 1 hereto.</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SELEXIS Technology</w:t>
      </w:r>
      <w:r>
        <w:rPr>
          <w:rFonts w:ascii="Times New Roman" w:cs="Times New Roman" w:eastAsia="Times New Roman" w:hAnsi="Times New Roman"/>
          <w:sz w:val="17"/>
          <w:szCs w:val="17"/>
          <w:color w:val="auto"/>
        </w:rPr>
        <w:t>” shall mean the SELEXIS Patent Rights, the SELEXIS Know-How and the SELEXIS Materials.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Tax Authority</w:t>
      </w:r>
      <w:r>
        <w:rPr>
          <w:rFonts w:ascii="Times New Roman" w:cs="Times New Roman" w:eastAsia="Times New Roman" w:hAnsi="Times New Roman"/>
          <w:sz w:val="17"/>
          <w:szCs w:val="17"/>
          <w:color w:val="auto"/>
        </w:rPr>
        <w:t>” shall mean the relevant governing tax authority as defined in Article 4.2.</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Taxes</w:t>
      </w:r>
      <w:r>
        <w:rPr>
          <w:rFonts w:ascii="Times New Roman" w:cs="Times New Roman" w:eastAsia="Times New Roman" w:hAnsi="Times New Roman"/>
          <w:sz w:val="17"/>
          <w:szCs w:val="17"/>
          <w:color w:val="auto"/>
        </w:rPr>
        <w:t>” shall mean all excises, taxes and duties with the exception of VAT.</w:t>
      </w:r>
    </w:p>
    <w:p>
      <w:pPr>
        <w:spacing w:after="0" w:line="131" w:lineRule="exact"/>
        <w:rPr>
          <w:sz w:val="20"/>
          <w:szCs w:val="20"/>
          <w:color w:val="auto"/>
        </w:rPr>
      </w:pPr>
    </w:p>
    <w:p>
      <w:pPr>
        <w:ind w:left="540" w:right="16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1.48.</w:t>
        <w:tab/>
        <w:t>“</w:t>
      </w:r>
      <w:r>
        <w:rPr>
          <w:rFonts w:ascii="Times New Roman" w:cs="Times New Roman" w:eastAsia="Times New Roman" w:hAnsi="Times New Roman"/>
          <w:sz w:val="18"/>
          <w:szCs w:val="18"/>
          <w:b w:val="1"/>
          <w:bCs w:val="1"/>
          <w:u w:val="single" w:color="auto"/>
          <w:color w:val="auto"/>
        </w:rPr>
        <w:t>Technology</w:t>
      </w:r>
      <w:r>
        <w:rPr>
          <w:rFonts w:ascii="Times New Roman" w:cs="Times New Roman" w:eastAsia="Times New Roman" w:hAnsi="Times New Roman"/>
          <w:sz w:val="18"/>
          <w:szCs w:val="18"/>
          <w:color w:val="auto"/>
        </w:rPr>
        <w:t>” shall mean all inventions (whether or not patentable or patented) and intellectual property rights therein, including without limitation, patents, patent applications, know-how, trade secrets, copyrights, trademarks, designs, concepts, registered and unregistered design rights, data, work product, results, reports, improvements, business and research plans, analytic methods and results, experimental methods and results, manufacturing processes, developments, technologies, technical information, composites of genes and gene constructs, cell lines, manuals, standard operating procedures, instructions and specifications.</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Term</w:t>
      </w:r>
      <w:r>
        <w:rPr>
          <w:rFonts w:ascii="Times New Roman" w:cs="Times New Roman" w:eastAsia="Times New Roman" w:hAnsi="Times New Roman"/>
          <w:sz w:val="17"/>
          <w:szCs w:val="17"/>
          <w:color w:val="auto"/>
        </w:rPr>
        <w:t>” shall have the meaning set out in Article 9.1.</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Territory</w:t>
      </w:r>
      <w:r>
        <w:rPr>
          <w:rFonts w:ascii="Times New Roman" w:cs="Times New Roman" w:eastAsia="Times New Roman" w:hAnsi="Times New Roman"/>
          <w:sz w:val="17"/>
          <w:szCs w:val="17"/>
          <w:color w:val="auto"/>
        </w:rPr>
        <w:t>” shall mean the entire world.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Third Party</w:t>
      </w:r>
      <w:r>
        <w:rPr>
          <w:rFonts w:ascii="Times New Roman" w:cs="Times New Roman" w:eastAsia="Times New Roman" w:hAnsi="Times New Roman"/>
          <w:sz w:val="17"/>
          <w:szCs w:val="17"/>
          <w:color w:val="auto"/>
        </w:rPr>
        <w:t>” shall mean a Person other than SELEXIS, COMPANY or an Affiliate of SELEXIS or COMPANY.</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Transferee</w:t>
      </w:r>
      <w:r>
        <w:rPr>
          <w:rFonts w:ascii="Times New Roman" w:cs="Times New Roman" w:eastAsia="Times New Roman" w:hAnsi="Times New Roman"/>
          <w:sz w:val="17"/>
          <w:szCs w:val="17"/>
          <w:color w:val="auto"/>
        </w:rPr>
        <w:t>” shall have the meaning set out in Article 2.3.</w:t>
      </w:r>
    </w:p>
    <w:p>
      <w:pPr>
        <w:spacing w:after="0" w:line="131" w:lineRule="exact"/>
        <w:rPr>
          <w:sz w:val="20"/>
          <w:szCs w:val="20"/>
          <w:color w:val="auto"/>
        </w:rPr>
      </w:pPr>
    </w:p>
    <w:p>
      <w:pPr>
        <w:ind w:left="540" w:right="10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1.53.</w:t>
        <w:tab/>
        <w:t>“</w:t>
      </w:r>
      <w:r>
        <w:rPr>
          <w:rFonts w:ascii="Times New Roman" w:cs="Times New Roman" w:eastAsia="Times New Roman" w:hAnsi="Times New Roman"/>
          <w:sz w:val="18"/>
          <w:szCs w:val="18"/>
          <w:b w:val="1"/>
          <w:bCs w:val="1"/>
          <w:u w:val="single" w:color="auto"/>
          <w:color w:val="auto"/>
        </w:rPr>
        <w:t>Valid Claim</w:t>
      </w:r>
      <w:r>
        <w:rPr>
          <w:rFonts w:ascii="Times New Roman" w:cs="Times New Roman" w:eastAsia="Times New Roman" w:hAnsi="Times New Roman"/>
          <w:sz w:val="18"/>
          <w:szCs w:val="18"/>
          <w:color w:val="auto"/>
        </w:rPr>
        <w:t>” shall mean any issued or granted claim of the SELEXIS Patent Rights that has not been revoked or held unenforceable or invalid by a decision of a court or other governmental agency of competent jurisdiction, that is unappealable or remains unappealed at the end of the time allowed for appeal, or that has not been disclaimed, denied or admitted to be invalid or unenforceable through reissue, re-examination, disclaimer or otherwise.</w:t>
      </w:r>
    </w:p>
    <w:p>
      <w:pPr>
        <w:spacing w:after="0" w:line="82" w:lineRule="exact"/>
        <w:rPr>
          <w:sz w:val="20"/>
          <w:szCs w:val="20"/>
          <w:color w:val="auto"/>
        </w:rPr>
      </w:pPr>
    </w:p>
    <w:p>
      <w:pPr>
        <w:ind w:left="540" w:right="8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1.54.</w:t>
        <w:tab/>
        <w:t>“</w:t>
      </w:r>
      <w:r>
        <w:rPr>
          <w:rFonts w:ascii="Times New Roman" w:cs="Times New Roman" w:eastAsia="Times New Roman" w:hAnsi="Times New Roman"/>
          <w:sz w:val="18"/>
          <w:szCs w:val="18"/>
          <w:b w:val="1"/>
          <w:bCs w:val="1"/>
          <w:u w:val="single" w:color="auto"/>
          <w:color w:val="auto"/>
        </w:rPr>
        <w:t>VAT</w:t>
      </w:r>
      <w:r>
        <w:rPr>
          <w:rFonts w:ascii="Times New Roman" w:cs="Times New Roman" w:eastAsia="Times New Roman" w:hAnsi="Times New Roman"/>
          <w:sz w:val="18"/>
          <w:szCs w:val="18"/>
          <w:color w:val="auto"/>
        </w:rPr>
        <w:t>” shall mean value added tax and any other similar turnover, sales or purchase, tax or duty levied by any other jurisdiction whether central, regional or local.</w:t>
      </w:r>
    </w:p>
    <w:p>
      <w:pPr>
        <w:sectPr>
          <w:pgSz w:w="11900" w:h="16838" w:orient="portrait"/>
          <w:cols w:equalWidth="0" w:num="1">
            <w:col w:w="11020"/>
          </w:cols>
          <w:pgMar w:left="440" w:top="266" w:right="43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8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43" w:name="page344"/>
    <w:bookmarkEnd w:id="343"/>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544" w:hanging="544"/>
        <w:spacing w:after="0"/>
        <w:tabs>
          <w:tab w:leader="none" w:pos="544"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Commercial Licenses</w:t>
      </w:r>
    </w:p>
    <w:p>
      <w:pPr>
        <w:spacing w:after="0" w:line="135"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Commercial Licenses</w:t>
      </w:r>
      <w:r>
        <w:rPr>
          <w:rFonts w:ascii="Times New Roman" w:cs="Times New Roman" w:eastAsia="Times New Roman" w:hAnsi="Times New Roman"/>
          <w:sz w:val="18"/>
          <w:szCs w:val="18"/>
          <w:color w:val="auto"/>
        </w:rPr>
        <w:t>. Subject to COMPANY’s compliance with the other terms and conditions of this Agreement (including, without limitation,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payment by COMPANY of the amounts provided for below in accordance with the payment schedule and terms provided for below), SELEXIS hereby grants to COMPANY a non-exclusive worldwide license under the SELEXIS Patent Rights and SELEXIS Know-How, in the Territory, with the limited right to sublicense in accordance with Article 2.2, to use Cell Lines, Deliverables and SELEXIS Materials for the manufacture of Licensed and/or Final Products, and to make, have made, use, offer for sale, sell, import and otherwise exploit Licensed and/or Final Products in the Licensed Field of Use, including, without limitation, the use of Licensed and/or Final Products in Clinical Trials (the “</w:t>
      </w:r>
      <w:r>
        <w:rPr>
          <w:rFonts w:ascii="Times New Roman" w:cs="Times New Roman" w:eastAsia="Times New Roman" w:hAnsi="Times New Roman"/>
          <w:sz w:val="18"/>
          <w:szCs w:val="18"/>
          <w:b w:val="1"/>
          <w:bCs w:val="1"/>
          <w:color w:val="auto"/>
        </w:rPr>
        <w:t>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Sublicenses</w:t>
      </w:r>
      <w:r>
        <w:rPr>
          <w:rFonts w:ascii="Times New Roman" w:cs="Times New Roman" w:eastAsia="Times New Roman" w:hAnsi="Times New Roman"/>
          <w:sz w:val="17"/>
          <w:szCs w:val="17"/>
          <w:color w:val="auto"/>
        </w:rPr>
        <w:t>. Subject to the provisions of this Article 2.2, COMPANY shall be entitled to grant sublicenses to the rights granted under the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Commercial License to any one or more third parties (the “</w:t>
      </w:r>
      <w:r>
        <w:rPr>
          <w:rFonts w:ascii="Times New Roman" w:cs="Times New Roman" w:eastAsia="Times New Roman" w:hAnsi="Times New Roman"/>
          <w:sz w:val="18"/>
          <w:szCs w:val="18"/>
          <w:b w:val="1"/>
          <w:bCs w:val="1"/>
          <w:color w:val="auto"/>
        </w:rPr>
        <w:t>Sublicensees</w:t>
      </w:r>
      <w:r>
        <w:rPr>
          <w:rFonts w:ascii="Times New Roman" w:cs="Times New Roman" w:eastAsia="Times New Roman" w:hAnsi="Times New Roman"/>
          <w:sz w:val="18"/>
          <w:szCs w:val="18"/>
          <w:color w:val="auto"/>
        </w:rPr>
        <w:t>”) provided always:</w:t>
      </w:r>
    </w:p>
    <w:p>
      <w:pPr>
        <w:spacing w:after="0" w:line="112" w:lineRule="exact"/>
        <w:rPr>
          <w:sz w:val="20"/>
          <w:szCs w:val="20"/>
          <w:color w:val="auto"/>
        </w:rPr>
      </w:pPr>
    </w:p>
    <w:p>
      <w:pPr>
        <w:ind w:left="1184" w:right="20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2.2.1.</w:t>
        <w:tab/>
        <w:t>Any sublicense granted under this Agreement shall be expressly subject and subordinate to the terms of this Agreement and it shall be COMPANY’s responsibility to ensure strict adherence by any Sublicensee to the terms and conditions of this Agreement.</w:t>
      </w:r>
    </w:p>
    <w:p>
      <w:pPr>
        <w:spacing w:after="0" w:line="67" w:lineRule="exact"/>
        <w:rPr>
          <w:sz w:val="20"/>
          <w:szCs w:val="20"/>
          <w:color w:val="auto"/>
        </w:rPr>
      </w:pPr>
    </w:p>
    <w:p>
      <w:pPr>
        <w:ind w:left="1184" w:right="8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2.2.2.</w:t>
        <w:tab/>
        <w:t>Any Sublicensee shall not, by virtue of this Agreement, be granted any right or licence, either express or implied, under any SELEXIS Know-how and/or SELEXIS Patent Rights to use COMPANY Cell Lines, SELEXIS Materials and/or SELEXIS Patent Rights other than for the purposes of the manufacture, use, offer for sale, sale, import and other exploitation of Licensed and/or Final Products in the Field.</w:t>
      </w:r>
    </w:p>
    <w:p>
      <w:pPr>
        <w:spacing w:after="0" w:line="85"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color w:val="auto"/>
        </w:rPr>
        <w:t>COMPANY will notify SELEXIS in writing of any such sublicense within [***] following the grant thereof, and [***].</w:t>
      </w:r>
    </w:p>
    <w:p>
      <w:pPr>
        <w:spacing w:after="0" w:line="131" w:lineRule="exact"/>
        <w:rPr>
          <w:sz w:val="20"/>
          <w:szCs w:val="20"/>
          <w:color w:val="auto"/>
        </w:rPr>
      </w:pPr>
    </w:p>
    <w:p>
      <w:pPr>
        <w:jc w:val="both"/>
        <w:ind w:left="1184" w:right="10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2.2.4.</w:t>
        <w:tab/>
        <w:t>Notwithstanding the above, COMPANY is and remains fully liable and responsible for any breach of this Agreement committed or any Losses caused by any Sublicensee, or any other Third Party or Affiliate to whom the Cell Lines, Deliverables, SELEXIS Materials and the SELEXIS Know-How or parts thereof are made available under any such sublicense</w:t>
      </w:r>
      <w:r>
        <w:rPr>
          <w:rFonts w:ascii="Times New Roman" w:cs="Times New Roman" w:eastAsia="Times New Roman" w:hAnsi="Times New Roman"/>
          <w:sz w:val="18"/>
          <w:szCs w:val="18"/>
          <w:u w:val="single" w:color="auto"/>
          <w:color w:val="auto"/>
        </w:rPr>
        <w:t>.</w:t>
      </w:r>
    </w:p>
    <w:p>
      <w:pPr>
        <w:spacing w:after="0" w:line="203"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Transfer of SELEXIS Materials</w:t>
      </w:r>
      <w:r>
        <w:rPr>
          <w:rFonts w:ascii="Times New Roman" w:cs="Times New Roman" w:eastAsia="Times New Roman" w:hAnsi="Times New Roman"/>
          <w:sz w:val="18"/>
          <w:szCs w:val="18"/>
          <w:color w:val="auto"/>
        </w:rPr>
        <w:t>. COMPANY shall not transfer the Cell Lines, Deliverables, SELEXIS Materials or SELEXIS Know-How to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Third Party, except that during and for the Term only, COMPANY may transfer Cell Lines, Deliverables, SELEXIS Materials and SELEXIS Know-How to Contractors or</w:t>
      </w:r>
    </w:p>
    <w:p>
      <w:pPr>
        <w:sectPr>
          <w:pgSz w:w="11900" w:h="16838" w:orient="portrait"/>
          <w:cols w:equalWidth="0" w:num="1">
            <w:col w:w="11024"/>
          </w:cols>
          <w:pgMar w:left="436" w:top="266" w:right="439" w:bottom="1440" w:gutter="0" w:footer="0" w:header="0"/>
        </w:sectPr>
      </w:pP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9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44" w:name="page345"/>
    <w:bookmarkEnd w:id="344"/>
    <w:p>
      <w:pPr>
        <w:jc w:val="center"/>
        <w:ind w:left="52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180"/>
        <w:spacing w:after="0" w:line="277" w:lineRule="auto"/>
        <w:rPr>
          <w:sz w:val="20"/>
          <w:szCs w:val="20"/>
          <w:color w:val="auto"/>
        </w:rPr>
      </w:pPr>
      <w:r>
        <w:rPr>
          <w:rFonts w:ascii="Times New Roman" w:cs="Times New Roman" w:eastAsia="Times New Roman" w:hAnsi="Times New Roman"/>
          <w:sz w:val="17"/>
          <w:szCs w:val="17"/>
          <w:color w:val="auto"/>
        </w:rPr>
        <w:t>Collaboration Partners (the “Transferees”) solely for their use in connection with the development of a production process for Licensed and/or Final Product, the manufacturing of Licensed and/or Final Product for sale or distribution of Final Product in the Licensed Field of Use, or, the commercialization of Licensed and/or Final Product in the Licensed Field of Use, with, for or on behalf of, COMPANY. If COMPANY makes any such transfer, it shall notify SELEXIS within [***] of any such transfer and report the name and address of any Transferee together with confirmation that the Transferee has agreed in writing to adhere to the confidentiality obligations and use restrictions set out in this Agreement.</w:t>
      </w:r>
    </w:p>
    <w:p>
      <w:pPr>
        <w:spacing w:after="0" w:line="60"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For the avoidance of doubt, upon expiration of the last Royalty Term, the Commercial License granted to COMPANY in Article 2.1 (and the sublicense and transfer rights as set forth in Articles 2.2 and 2.3) shall become perpetual and royalty-free.</w:t>
      </w:r>
    </w:p>
    <w:p>
      <w:pPr>
        <w:spacing w:after="0" w:line="67" w:lineRule="exact"/>
        <w:rPr>
          <w:sz w:val="20"/>
          <w:szCs w:val="20"/>
          <w:color w:val="auto"/>
        </w:rPr>
      </w:pPr>
    </w:p>
    <w:p>
      <w:pPr>
        <w:ind w:left="544" w:right="80"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Sale of Licensed Product</w:t>
      </w:r>
      <w:r>
        <w:rPr>
          <w:rFonts w:ascii="Times New Roman" w:cs="Times New Roman" w:eastAsia="Times New Roman" w:hAnsi="Times New Roman"/>
          <w:sz w:val="18"/>
          <w:szCs w:val="18"/>
          <w:color w:val="auto"/>
        </w:rPr>
        <w:t>. If COMPANY (itself or in cooperation with one or more Third Parties) wishes to sell or otherwise transfer Licensed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Product to any Third Party in a form other than as a Final Product, it may do so subject to the following. (a) Such Licensed Product may only be sold or transferred to one or more Third Party(ies) for use in Clinical Trials, for further research and/or development and/or for formulation for ultimate sale in the Licensed Field of Use as Final Product; (b) Any sale for financial consideration of Licensed Product in a form other than as a Final Product will be deemed a “Net Sale” of Final Product and Royalty Payments will be due on such sale of Licensed Product in accordance with Article 3.1.3 as if the Licensed Product were Final Product; and (c) All sales of Final Product incorporating such Licensed Product will be deemed “Net Sales” of a Sublicensee for purposes of this Agreement and will be subject to payment by COMPANY of the royalties set forth in Article 3.1.3, and will trigger payment of the milestones set forth in Article 3.1.2 if a Final Product produced by such a Third Party is the first Final Product to reach the appropriate milestone trigger point. COMPANY will ensure that sufficient records are kept by COMPANY or available to it to document the Net Sales of Licensed and/or Final Products to determine the amounts due to SELEXIS under Article 3.</w:t>
      </w:r>
    </w:p>
    <w:p>
      <w:pPr>
        <w:spacing w:after="0" w:line="339" w:lineRule="exact"/>
        <w:rPr>
          <w:sz w:val="20"/>
          <w:szCs w:val="20"/>
          <w:color w:val="auto"/>
        </w:rPr>
      </w:pPr>
    </w:p>
    <w:p>
      <w:pPr>
        <w:ind w:left="544" w:hanging="544"/>
        <w:spacing w:after="0"/>
        <w:tabs>
          <w:tab w:leader="none" w:pos="544"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135" w:lineRule="exact"/>
        <w:rPr>
          <w:sz w:val="20"/>
          <w:szCs w:val="20"/>
          <w:color w:val="auto"/>
        </w:rPr>
      </w:pPr>
    </w:p>
    <w:p>
      <w:pPr>
        <w:ind w:left="544" w:right="6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In consideration of the Commercial License granted to COMPANY pursuant to Article 2.1, and in consideration of the right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sublicense the rights granted in Article 2.1 pursuant to Article 2.2, COMPANY shall pay SELEXIS as follows:</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auto"/>
        </w:rPr>
        <w:t>Commercial License Execution Payment</w:t>
      </w:r>
      <w:r>
        <w:rPr>
          <w:rFonts w:ascii="Times New Roman" w:cs="Times New Roman" w:eastAsia="Times New Roman" w:hAnsi="Times New Roman"/>
          <w:sz w:val="17"/>
          <w:szCs w:val="17"/>
          <w:color w:val="auto"/>
        </w:rPr>
        <w:t>. COMPANY shall pay SELEXIS a one-time fee of thirty five thousand Swiss Francs (CHF</w:t>
      </w:r>
    </w:p>
    <w:p>
      <w:pPr>
        <w:spacing w:after="0" w:line="27"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18"/>
          <w:szCs w:val="18"/>
          <w:color w:val="auto"/>
        </w:rPr>
        <w:t>35,000), due upon execution of this Agreement.</w:t>
      </w:r>
    </w:p>
    <w:p>
      <w:pPr>
        <w:sectPr>
          <w:pgSz w:w="11900" w:h="16838" w:orient="portrait"/>
          <w:cols w:equalWidth="0" w:num="1">
            <w:col w:w="11024"/>
          </w:cols>
          <w:pgMar w:left="436" w:top="266" w:right="439" w:bottom="1440" w:gutter="0" w:footer="0" w:header="0"/>
        </w:sectPr>
      </w:pP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10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45" w:name="page346"/>
    <w:bookmarkEnd w:id="345"/>
    <w:p>
      <w:pPr>
        <w:jc w:val="center"/>
        <w:ind w:left="4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1180" w:right="24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auto"/>
        </w:rPr>
        <w:t>Commercial License Milestone Payments</w:t>
      </w:r>
      <w:r>
        <w:rPr>
          <w:rFonts w:ascii="Times New Roman" w:cs="Times New Roman" w:eastAsia="Times New Roman" w:hAnsi="Times New Roman"/>
          <w:sz w:val="18"/>
          <w:szCs w:val="18"/>
          <w:color w:val="auto"/>
        </w:rPr>
        <w:t>. COMPANY shall make the following milestone payments to SELEXIS with respect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first occurrence of each such milestone event for each Licensed Product:</w:t>
      </w:r>
    </w:p>
    <w:p>
      <w:pPr>
        <w:spacing w:after="0" w:line="67" w:lineRule="exact"/>
        <w:rPr>
          <w:sz w:val="20"/>
          <w:szCs w:val="20"/>
          <w:color w:val="auto"/>
        </w:rPr>
      </w:pPr>
    </w:p>
    <w:p>
      <w:pPr>
        <w:ind w:left="1200"/>
        <w:spacing w:after="0"/>
        <w:tabs>
          <w:tab w:leader="none" w:pos="1860" w:val="left"/>
        </w:tabs>
        <w:rPr>
          <w:sz w:val="20"/>
          <w:szCs w:val="20"/>
          <w:color w:val="auto"/>
        </w:rPr>
      </w:pPr>
      <w:r>
        <w:rPr>
          <w:rFonts w:ascii="Times New Roman" w:cs="Times New Roman" w:eastAsia="Times New Roman" w:hAnsi="Times New Roman"/>
          <w:sz w:val="18"/>
          <w:szCs w:val="18"/>
          <w:color w:val="auto"/>
        </w:rPr>
        <w:t>3.1.2.1</w:t>
        <w:tab/>
        <w:t>[***];</w:t>
      </w:r>
    </w:p>
    <w:p>
      <w:pPr>
        <w:spacing w:after="0" w:line="131" w:lineRule="exact"/>
        <w:rPr>
          <w:sz w:val="20"/>
          <w:szCs w:val="20"/>
          <w:color w:val="auto"/>
        </w:rPr>
      </w:pPr>
    </w:p>
    <w:p>
      <w:pPr>
        <w:ind w:left="1200"/>
        <w:spacing w:after="0"/>
        <w:tabs>
          <w:tab w:leader="none" w:pos="1860" w:val="left"/>
        </w:tabs>
        <w:rPr>
          <w:sz w:val="20"/>
          <w:szCs w:val="20"/>
          <w:color w:val="auto"/>
        </w:rPr>
      </w:pPr>
      <w:r>
        <w:rPr>
          <w:rFonts w:ascii="Times New Roman" w:cs="Times New Roman" w:eastAsia="Times New Roman" w:hAnsi="Times New Roman"/>
          <w:sz w:val="18"/>
          <w:szCs w:val="18"/>
          <w:color w:val="auto"/>
        </w:rPr>
        <w:t>3.1.2.2</w:t>
        <w:tab/>
        <w:t>[***];</w:t>
      </w:r>
    </w:p>
    <w:p>
      <w:pPr>
        <w:spacing w:after="0" w:line="131" w:lineRule="exact"/>
        <w:rPr>
          <w:sz w:val="20"/>
          <w:szCs w:val="20"/>
          <w:color w:val="auto"/>
        </w:rPr>
      </w:pPr>
    </w:p>
    <w:p>
      <w:pPr>
        <w:ind w:left="1200"/>
        <w:spacing w:after="0"/>
        <w:tabs>
          <w:tab w:leader="none" w:pos="1860" w:val="left"/>
        </w:tabs>
        <w:rPr>
          <w:sz w:val="20"/>
          <w:szCs w:val="20"/>
          <w:color w:val="auto"/>
        </w:rPr>
      </w:pPr>
      <w:r>
        <w:rPr>
          <w:rFonts w:ascii="Times New Roman" w:cs="Times New Roman" w:eastAsia="Times New Roman" w:hAnsi="Times New Roman"/>
          <w:sz w:val="18"/>
          <w:szCs w:val="18"/>
          <w:color w:val="auto"/>
        </w:rPr>
        <w:t>3.1.2.3</w:t>
        <w:tab/>
        <w:t>[***]; and</w:t>
      </w:r>
    </w:p>
    <w:p>
      <w:pPr>
        <w:spacing w:after="0" w:line="131" w:lineRule="exact"/>
        <w:rPr>
          <w:sz w:val="20"/>
          <w:szCs w:val="20"/>
          <w:color w:val="auto"/>
        </w:rPr>
      </w:pPr>
    </w:p>
    <w:p>
      <w:pPr>
        <w:ind w:left="1200"/>
        <w:spacing w:after="0"/>
        <w:tabs>
          <w:tab w:leader="none" w:pos="1860" w:val="left"/>
        </w:tabs>
        <w:rPr>
          <w:sz w:val="20"/>
          <w:szCs w:val="20"/>
          <w:color w:val="auto"/>
        </w:rPr>
      </w:pPr>
      <w:r>
        <w:rPr>
          <w:rFonts w:ascii="Times New Roman" w:cs="Times New Roman" w:eastAsia="Times New Roman" w:hAnsi="Times New Roman"/>
          <w:sz w:val="18"/>
          <w:szCs w:val="18"/>
          <w:color w:val="auto"/>
        </w:rPr>
        <w:t>3.1.2.4</w:t>
      </w:r>
      <w:r>
        <w:rPr>
          <w:sz w:val="20"/>
          <w:szCs w:val="20"/>
          <w:color w:val="auto"/>
        </w:rPr>
        <w:tab/>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40" w:hanging="647"/>
        <w:spacing w:after="0" w:line="253" w:lineRule="auto"/>
        <w:tabs>
          <w:tab w:leader="none" w:pos="116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auto"/>
        </w:rPr>
        <w:t>Commercial License Royalty Payments</w:t>
      </w:r>
      <w:r>
        <w:rPr>
          <w:rFonts w:ascii="Times New Roman" w:cs="Times New Roman" w:eastAsia="Times New Roman" w:hAnsi="Times New Roman"/>
          <w:sz w:val="18"/>
          <w:szCs w:val="18"/>
          <w:color w:val="auto"/>
        </w:rPr>
        <w:t>: In addition to the milestone payments under Article 3.1.2, during the Royalty Term</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shall pay SELEXIS on a Final Product-by-Final Product (including Products deemed Final Products in accordance with Article 2.4, parts (b) and (c)) and country-by-country basis a royalty of [***] of Net Sales of all Final Products sold worldwide, where said Final Products have been produced from a Cell Line [***]. If Final Products have been produced from a Cell Line [***], then the royalty rate shall be [***]. Where royalties are due for the sale of Final Products directly by COMPANY such royalties shall be paid for each Calendar Quarter within [***] of the end of that Calendar Quarter. Where royalties are due for the sales of Final Product by a Sublicensee, payment shall be made within [***] of the end of that Calendar Quarter. For the avoidance of doubt, no royalty payments shall be due for a Final Product in a specific country after the Royalty Term has expired for such Final Product in such country. Where royalties are no longer due in accordance with the foregoing, the Commercial License granted to COMPANY under this Agreement shall become perpetual, irrevocable, fully paid up and royalty free with respect to such Licensed and Final Product in such country. At any time during the Term, SELEXIS and COMPANY may agree to remove the royalty in its entirety or in part in exchange for payment(s) as negotiated.</w:t>
      </w:r>
    </w:p>
    <w:p>
      <w:pPr>
        <w:spacing w:after="0" w:line="95"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Mechanism of Payment</w:t>
      </w:r>
      <w:r>
        <w:rPr>
          <w:rFonts w:ascii="Times New Roman" w:cs="Times New Roman" w:eastAsia="Times New Roman" w:hAnsi="Times New Roman"/>
          <w:sz w:val="18"/>
          <w:szCs w:val="18"/>
          <w:color w:val="auto"/>
        </w:rPr>
        <w:t>. The payments due to SELEXIS under this Agreement shall be made by wire transfer or electronic fund transfer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credit and account of SELEXIS as follows:</w:t>
      </w:r>
    </w:p>
    <w:p>
      <w:pPr>
        <w:spacing w:after="0" w:line="54" w:lineRule="exact"/>
        <w:rPr>
          <w:sz w:val="20"/>
          <w:szCs w:val="20"/>
          <w:color w:val="auto"/>
        </w:rPr>
      </w:pPr>
    </w:p>
    <w:p>
      <w:pPr>
        <w:ind w:left="1980"/>
        <w:spacing w:after="0"/>
        <w:tabs>
          <w:tab w:leader="none" w:pos="3080" w:val="left"/>
        </w:tabs>
        <w:rPr>
          <w:sz w:val="20"/>
          <w:szCs w:val="20"/>
          <w:color w:val="auto"/>
        </w:rPr>
      </w:pPr>
      <w:r>
        <w:rPr>
          <w:rFonts w:ascii="Times New Roman" w:cs="Times New Roman" w:eastAsia="Times New Roman" w:hAnsi="Times New Roman"/>
          <w:sz w:val="18"/>
          <w:szCs w:val="18"/>
          <w:color w:val="auto"/>
        </w:rPr>
        <w:t>Bank Name :</w:t>
        <w:tab/>
        <w:t>[***]</w:t>
      </w:r>
    </w:p>
    <w:p>
      <w:pPr>
        <w:spacing w:after="0" w:line="117" w:lineRule="exact"/>
        <w:rPr>
          <w:sz w:val="20"/>
          <w:szCs w:val="20"/>
          <w:color w:val="auto"/>
        </w:rPr>
      </w:pPr>
    </w:p>
    <w:p>
      <w:pPr>
        <w:ind w:left="1980"/>
        <w:spacing w:after="0"/>
        <w:tabs>
          <w:tab w:leader="none" w:pos="3120" w:val="left"/>
        </w:tabs>
        <w:rPr>
          <w:sz w:val="20"/>
          <w:szCs w:val="20"/>
          <w:color w:val="auto"/>
        </w:rPr>
      </w:pPr>
      <w:r>
        <w:rPr>
          <w:rFonts w:ascii="Times New Roman" w:cs="Times New Roman" w:eastAsia="Times New Roman" w:hAnsi="Times New Roman"/>
          <w:sz w:val="18"/>
          <w:szCs w:val="18"/>
          <w:color w:val="auto"/>
        </w:rPr>
        <w:t>Account:</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980"/>
        <w:spacing w:after="0"/>
        <w:tabs>
          <w:tab w:leader="none" w:pos="310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Selexis S.A.</w:t>
      </w:r>
    </w:p>
    <w:p>
      <w:pPr>
        <w:spacing w:after="0" w:line="1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540" w:right="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 Except with respect to royalties due pursuant to Article 3.1.3, COMPANY shall make payments due to SELEXIS under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at the latest [***] after receipt of invoice. All fees and payments, including without limitation under Article 3.1.3, do not include any applicable VAT or Taxes.</w:t>
      </w:r>
    </w:p>
    <w:p>
      <w:pPr>
        <w:sectPr>
          <w:pgSz w:w="11900" w:h="16838" w:orient="portrait"/>
          <w:cols w:equalWidth="0" w:num="1">
            <w:col w:w="11020"/>
          </w:cols>
          <w:pgMar w:left="440" w:top="266" w:right="4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11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46" w:name="page347"/>
    <w:bookmarkEnd w:id="346"/>
    <w:p>
      <w:pPr>
        <w:jc w:val="center"/>
        <w:ind w:left="500"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8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COMPANY and its Affiliates and Sublicensees shall keep true accounts of Net Sales of Final Products and COMPANY shall deliver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SELEXIS at the same time as the payments due under Article 3.1.3. a written account, including quantities of Net Sales of each such Final Product, broken down on a country-by-country basis with respect to those payments. SELEXIS is entitled to have such accounts audited by an independent expert of its choice. Such independent expert shall be bound by confidentiality terms at least as restrictive as the terms of Article 8 and shall be authorized to disclose to SELEXIS only the results of its audit. COMPANY shall provide access to all information reasonably requested by such expert. The cost of any audit shall be borne by SELEXIS unless the audit shows that COMPANY underpaid SELEXIS by [***] of the amounts due in which case the cost of the audit shall be borne by COMPANY.</w:t>
      </w:r>
    </w:p>
    <w:p>
      <w:pPr>
        <w:spacing w:after="0" w:line="94" w:lineRule="exact"/>
        <w:rPr>
          <w:sz w:val="20"/>
          <w:szCs w:val="20"/>
          <w:color w:val="auto"/>
        </w:rPr>
      </w:pPr>
    </w:p>
    <w:p>
      <w:pPr>
        <w:ind w:left="544" w:right="6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 xml:space="preserve">Single Royalty and Milestone. </w:t>
      </w:r>
      <w:r>
        <w:rPr>
          <w:rFonts w:ascii="Times New Roman" w:cs="Times New Roman" w:eastAsia="Times New Roman" w:hAnsi="Times New Roman"/>
          <w:sz w:val="18"/>
          <w:szCs w:val="18"/>
          <w:color w:val="auto"/>
        </w:rPr>
        <w:t>For Final Products covered by more than one SELEXIS Patent Rights, COMPANY will make one payment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SELEXIS for royalties on any unit of Final Product sold by COMPANY or Sublicensees, irrespective of how many SELEXIS Patent Rights may cover such Final Product. Each milestone described in Article 3 shall be payable only once in relation to each Licensed Product, irrespective of the number of Final Products which incorporate that Licensed Product and undergo the events triggering the payment. All fees and payments, including without limitation under Article 3.1, do not include any applicable VAT or Taxes.</w:t>
      </w:r>
    </w:p>
    <w:p>
      <w:pPr>
        <w:spacing w:after="0" w:line="328" w:lineRule="exact"/>
        <w:rPr>
          <w:sz w:val="20"/>
          <w:szCs w:val="20"/>
          <w:color w:val="auto"/>
        </w:rPr>
      </w:pPr>
    </w:p>
    <w:p>
      <w:pPr>
        <w:ind w:left="544" w:hanging="544"/>
        <w:spacing w:after="0"/>
        <w:tabs>
          <w:tab w:leader="none" w:pos="544"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135" w:lineRule="exact"/>
        <w:rPr>
          <w:sz w:val="20"/>
          <w:szCs w:val="20"/>
          <w:color w:val="auto"/>
        </w:rPr>
      </w:pPr>
    </w:p>
    <w:p>
      <w:pPr>
        <w:jc w:val="both"/>
        <w:ind w:left="544" w:right="5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Taxes levied on account of any payment made by COMPANY to SELEXIS pursuant to this Agreement (other than Taxes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income, gains or profits levied against SELEXIS by any competent Swiss tax authority) will be the responsibility of, and shall be paid by, COMPANY pursuant to Article 3.</w:t>
      </w:r>
    </w:p>
    <w:p>
      <w:pPr>
        <w:spacing w:after="0" w:line="81"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Character of Payments</w:t>
      </w:r>
      <w:r>
        <w:rPr>
          <w:rFonts w:ascii="Times New Roman" w:cs="Times New Roman" w:eastAsia="Times New Roman" w:hAnsi="Times New Roman"/>
          <w:sz w:val="18"/>
          <w:szCs w:val="18"/>
          <w:color w:val="auto"/>
        </w:rPr>
        <w:t>. The PARTIES agree that, for purposes of determining the applicability of any Taxes, the payments to be made under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constitute payments for tangible property and license of intellectual property. However, in the event that the governing tax authority (the “</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qualifies differently such payment, any additional taxes that may be applied (including without limitation any interest and penalties that may be unpaid) shall be paid by COMPANY.</w:t>
      </w:r>
    </w:p>
    <w:p>
      <w:pPr>
        <w:spacing w:after="0" w:line="32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Withholding by COMPANY</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4" w:right="6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4.3.1.</w:t>
        <w:tab/>
        <w:t>All payments by COMPANY hereunder shall be made in full without any deduction or withholding whatsoever and free and clear of and without any deduction or withholding for or on account of any Taxes, except to the extent that any such deduction or withholding is required by law in effect at the time of payment. If any such deductions or withholdings must be made from any amounts payable or paid by COMPANY, COMPANY shall [***].</w:t>
      </w:r>
    </w:p>
    <w:p>
      <w:pPr>
        <w:sectPr>
          <w:pgSz w:w="11900" w:h="16838" w:orient="portrait"/>
          <w:cols w:equalWidth="0" w:num="1">
            <w:col w:w="11024"/>
          </w:cols>
          <w:pgMar w:left="436" w:top="266" w:right="439" w:bottom="1440" w:gutter="0" w:footer="0" w:header="0"/>
        </w:sectPr>
      </w:pP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12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47" w:name="page348"/>
    <w:bookmarkEnd w:id="347"/>
    <w:p>
      <w:pPr>
        <w:jc w:val="center"/>
        <w:ind w:left="440"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1184" w:right="10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4.3.2.</w:t>
        <w:tab/>
        <w:t>Each PARTY shall execute and deliver such documents, deeds and other papers and take such further actions as may be reasonably required to lawfully enable SELEXIS and COMPANY or their respective Affiliates or Sublicensees to mitigate withholding taxes, such as take advantage of any applicable legal provision or any double taxation treaties, for the purpose of assigning to SELEXIS full tax credit for amounts deducted or withheld by COMPANY pursuant to Article 4.3.1.</w:t>
      </w:r>
    </w:p>
    <w:p>
      <w:pPr>
        <w:spacing w:after="0" w:line="324" w:lineRule="exact"/>
        <w:rPr>
          <w:sz w:val="20"/>
          <w:szCs w:val="20"/>
          <w:color w:val="auto"/>
        </w:rPr>
      </w:pPr>
    </w:p>
    <w:p>
      <w:pPr>
        <w:ind w:left="544" w:hanging="544"/>
        <w:spacing w:after="0"/>
        <w:tabs>
          <w:tab w:leader="none" w:pos="544"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135"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Each PARTY shall retain all right, title and interest in and to its Inventions and Know-How which exist on the Effective Date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which are thereafter developed independently of the performance of this Agreement.</w:t>
      </w:r>
    </w:p>
    <w:p>
      <w:pPr>
        <w:spacing w:after="0" w:line="67" w:lineRule="exact"/>
        <w:rPr>
          <w:sz w:val="20"/>
          <w:szCs w:val="20"/>
          <w:color w:val="auto"/>
        </w:rPr>
      </w:pPr>
    </w:p>
    <w:p>
      <w:pPr>
        <w:ind w:left="544" w:right="1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COMPANY and SELEXIS Inventions</w:t>
      </w:r>
      <w:r>
        <w:rPr>
          <w:rFonts w:ascii="Times New Roman" w:cs="Times New Roman" w:eastAsia="Times New Roman" w:hAnsi="Times New Roman"/>
          <w:sz w:val="18"/>
          <w:szCs w:val="18"/>
          <w:color w:val="auto"/>
        </w:rPr>
        <w:t>. Any Invention developed hereunder by or for either Party, solely or jointly with the other PARTY or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Affiliate or agent thereof, shall belong exclusively (i) to COMPANY, to the extent [***] (“</w:t>
      </w:r>
      <w:r>
        <w:rPr>
          <w:rFonts w:ascii="Times New Roman" w:cs="Times New Roman" w:eastAsia="Times New Roman" w:hAnsi="Times New Roman"/>
          <w:sz w:val="18"/>
          <w:szCs w:val="18"/>
          <w:b w:val="1"/>
          <w:bCs w:val="1"/>
          <w:color w:val="auto"/>
        </w:rPr>
        <w:t>COMPANY Invention</w:t>
      </w:r>
      <w:r>
        <w:rPr>
          <w:rFonts w:ascii="Times New Roman" w:cs="Times New Roman" w:eastAsia="Times New Roman" w:hAnsi="Times New Roman"/>
          <w:sz w:val="18"/>
          <w:szCs w:val="18"/>
          <w:color w:val="auto"/>
        </w:rPr>
        <w:t>”); or (ii) to SELEXIS, to the extent [***] (“</w:t>
      </w:r>
      <w:r>
        <w:rPr>
          <w:rFonts w:ascii="Times New Roman" w:cs="Times New Roman" w:eastAsia="Times New Roman" w:hAnsi="Times New Roman"/>
          <w:sz w:val="18"/>
          <w:szCs w:val="18"/>
          <w:b w:val="1"/>
          <w:bCs w:val="1"/>
          <w:color w:val="auto"/>
        </w:rPr>
        <w:t>SELEXIS Invention</w:t>
      </w:r>
      <w:r>
        <w:rPr>
          <w:rFonts w:ascii="Times New Roman" w:cs="Times New Roman" w:eastAsia="Times New Roman" w:hAnsi="Times New Roman"/>
          <w:sz w:val="18"/>
          <w:szCs w:val="18"/>
          <w:color w:val="auto"/>
        </w:rPr>
        <w:t>”). Any SELEXIS Inventions shall be included within the scope of the SELEXIS Technology licensed to COMPANY under this Agreement as provided for in Article 5.5. Notwithstanding the foregoing, such ownership shall not be construed to transfer to either PARTY ownership of or any license or other rights in or to any of such PARTY’s underlying Technology which may be included or embodied therein, or useful or necessary to use in connection with exploiting such Invention.</w:t>
      </w:r>
    </w:p>
    <w:p>
      <w:pPr>
        <w:spacing w:after="0" w:line="93" w:lineRule="exact"/>
        <w:rPr>
          <w:sz w:val="20"/>
          <w:szCs w:val="20"/>
          <w:color w:val="auto"/>
        </w:rPr>
      </w:pPr>
    </w:p>
    <w:p>
      <w:pPr>
        <w:ind w:left="544"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Other Inventions</w:t>
      </w:r>
      <w:r>
        <w:rPr>
          <w:rFonts w:ascii="Times New Roman" w:cs="Times New Roman" w:eastAsia="Times New Roman" w:hAnsi="Times New Roman"/>
          <w:sz w:val="18"/>
          <w:szCs w:val="18"/>
          <w:color w:val="auto"/>
        </w:rPr>
        <w:t>. Except as set forth in Article 5.2, any other Invention developed hereunder solely by COMPANY shall be COMPANY’s sole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property and any other Invention developed hereunder solely by SELEXIS shall be SELEXIS’ sole property. The PARTIES do not anticipate that there will be any jointly developed Inventions hereunder, but if there are any other such jointly developed Inventions which do not relate to either the SELEXIS Technology or the COMPANY Technology, such Inventions shall be owned jointly by COMPANY and SELEXIS (“</w:t>
      </w:r>
      <w:r>
        <w:rPr>
          <w:rFonts w:ascii="Times New Roman" w:cs="Times New Roman" w:eastAsia="Times New Roman" w:hAnsi="Times New Roman"/>
          <w:sz w:val="18"/>
          <w:szCs w:val="18"/>
          <w:b w:val="1"/>
          <w:b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In the event any such Joint Inventions arise, the PARTIES will use commercially reasonable efforts to cooperate to protect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exploit such Joint Inventions, including, without limitation, by sharing in costs incurred with protection of such Joint Inventions and sharing in revenues generated by the use or sublicense of the Joint Inventions.</w:t>
      </w:r>
    </w:p>
    <w:p>
      <w:pPr>
        <w:spacing w:after="0" w:line="94"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Each PARTY shall promptly notify the other PARTY of any Invention arising in connection with this Agreement provided that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has no obligation to notify SELEXIS with respect to any COMPANY Inventions developed solely by COMPANY.</w:t>
      </w:r>
    </w:p>
    <w:p>
      <w:pPr>
        <w:sectPr>
          <w:pgSz w:w="11900" w:h="16838" w:orient="portrait"/>
          <w:cols w:equalWidth="0" w:num="1">
            <w:col w:w="11024"/>
          </w:cols>
          <w:pgMar w:left="436" w:top="266" w:right="439" w:bottom="1440" w:gutter="0" w:footer="0" w:header="0"/>
        </w:sectPr>
      </w:pPr>
    </w:p>
    <w:p>
      <w:pPr>
        <w:spacing w:after="0" w:line="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13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48" w:name="page349"/>
    <w:bookmarkEnd w:id="348"/>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0" w:right="10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Improvements</w:t>
      </w:r>
      <w:r>
        <w:rPr>
          <w:rFonts w:ascii="Times New Roman" w:cs="Times New Roman" w:eastAsia="Times New Roman" w:hAnsi="Times New Roman"/>
          <w:sz w:val="18"/>
          <w:szCs w:val="18"/>
          <w:color w:val="auto"/>
        </w:rPr>
        <w:t>. In the event SELEXIS possesses, acquires, creates or is licensed (with the right to grant a sublicense consistent with the terms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Commercial License) any improvements to the SELEXIS Technology which are necessary or useful for COMPANY to use in connection with the use of the Cell Lines as licensed hereunder, such improvements shall automatically be included in the SELEXIS Patent Rights and/or the SELEXIS Know-How and thereby disclosed and licensed at no extra cost to COMPANY in accordance with this Agreement; provided, however, that any rights granted by the foregoing will be subject to COMPANY’s compliance with any bona fide obligations owed to Third Parties (with respect to which SELEXIS has notified COMPANY), including, without limitation, and royalty obligations owed to Third Parties.</w:t>
      </w:r>
    </w:p>
    <w:p>
      <w:pPr>
        <w:spacing w:after="0" w:line="93" w:lineRule="exact"/>
        <w:rPr>
          <w:sz w:val="20"/>
          <w:szCs w:val="20"/>
          <w:color w:val="auto"/>
        </w:rPr>
      </w:pPr>
    </w:p>
    <w:p>
      <w:pPr>
        <w:ind w:left="540" w:right="40" w:hanging="539"/>
        <w:spacing w:after="0" w:line="253" w:lineRule="auto"/>
        <w:tabs>
          <w:tab w:leader="none" w:pos="5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Third Party Patent Rights</w:t>
      </w:r>
      <w:r>
        <w:rPr>
          <w:rFonts w:ascii="Times New Roman" w:cs="Times New Roman" w:eastAsia="Times New Roman" w:hAnsi="Times New Roman"/>
          <w:sz w:val="18"/>
          <w:szCs w:val="18"/>
          <w:color w:val="auto"/>
        </w:rPr>
        <w:t>. SELEXIS covenants that if SELEXIS becomes aware that COMPANY’s use of the SELEXIS Technology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accordance with the terms hereunder would or would likely infringe any Third Party proprietary rights, SELEXIS shall use its reasonable commercial efforts to resolve such potential infringement at SELEXIS’ cost to ensure COMPANY’s freedom to continue to exercise the licenses granted under this Agreement, including without limitation by using its reasonable commercial efforts to obtain a license from the Third Party owner of the proprietary rights which entitles SELEXIS to continue to grant the rights to COMPANY as provided for herein. Should such efforts not be successful, SELEXIS shall inform COMPANY in writing and thereafter the Parties will discuss the matter in good faith for a period not to exceed [***]. Thereafter [***], save that SELEXIS shall not have such right if COMPANY agrees to [***]. If COMPANY [***] and if COMPANY [***] relating to COMPANY’s permitted use of the SELEXIS Technology hereunder, then COMPANY may deduct any royalties actually paid to such Third Party to the extent related to the use of the SELEXIS Technology [***]; provided that in no event shall the [***] of the royalty amount that would have otherwise been payable for such Final Product. The obligations set forth in this Article relate solely to Third Party rights related specifically and solely to the SELEXIS Technology licensed hereunder, and do not apply with respect to any other technology or materials used by COMPANY at its discretion in connection with its exercise of the license rights granted hereunder, and specifically exclude any such Third Party rights to the extent relating to the Licensed Product(s) produced by any Cell Lines hereunder.</w:t>
      </w:r>
    </w:p>
    <w:p>
      <w:pPr>
        <w:spacing w:after="0" w:line="93" w:lineRule="exact"/>
        <w:rPr>
          <w:sz w:val="20"/>
          <w:szCs w:val="20"/>
          <w:color w:val="auto"/>
        </w:rPr>
      </w:pPr>
    </w:p>
    <w:p>
      <w:pPr>
        <w:jc w:val="both"/>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Enforcement of SELEXIS Patent Rights</w:t>
      </w:r>
      <w:r>
        <w:rPr>
          <w:rFonts w:ascii="Times New Roman" w:cs="Times New Roman" w:eastAsia="Times New Roman" w:hAnsi="Times New Roman"/>
          <w:sz w:val="18"/>
          <w:szCs w:val="18"/>
          <w:color w:val="auto"/>
        </w:rPr>
        <w:t>. If, during the Term, either PARTY becomes aware of any infringement or potential infringement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SELEXIS Technology it shall promptly notify the other PARTY in writing and the PARTIES shall consult with each other to decide the best way to respond to such infringement or misuse, provided that SELEXIS shall remain free to take any action as it deems fit in its sole discretion.</w:t>
      </w:r>
    </w:p>
    <w:p>
      <w:pPr>
        <w:spacing w:after="0" w:line="81" w:lineRule="exact"/>
        <w:rPr>
          <w:sz w:val="20"/>
          <w:szCs w:val="20"/>
          <w:color w:val="auto"/>
        </w:rPr>
      </w:pPr>
    </w:p>
    <w:p>
      <w:pPr>
        <w:ind w:left="540" w:right="4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u w:val="single" w:color="auto"/>
          <w:color w:val="auto"/>
        </w:rPr>
        <w:t>COMPANY Publications</w:t>
      </w:r>
      <w:r>
        <w:rPr>
          <w:rFonts w:ascii="Times New Roman" w:cs="Times New Roman" w:eastAsia="Times New Roman" w:hAnsi="Times New Roman"/>
          <w:sz w:val="18"/>
          <w:szCs w:val="18"/>
          <w:color w:val="auto"/>
        </w:rPr>
        <w:t>. COMPANY shall have the unrestricted right to publish or otherwise disclose the results and data obtained by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practice of the SELEXIS Technology in accordance with the terms hereof, provided such publication or disclosure does not include any Confidential Information of SELEXIS. The name of SELEXIS shall be given proper recognition in such publication(s) as scientifically appropriate.</w:t>
      </w:r>
    </w:p>
    <w:p>
      <w:pPr>
        <w:sectPr>
          <w:pgSz w:w="11900" w:h="16838" w:orient="portrait"/>
          <w:cols w:equalWidth="0" w:num="1">
            <w:col w:w="11020"/>
          </w:cols>
          <w:pgMar w:left="440" w:top="266" w:right="439" w:bottom="144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14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49" w:name="page350"/>
    <w:bookmarkEnd w:id="349"/>
    <w:p>
      <w:pPr>
        <w:jc w:val="center"/>
        <w:ind w:left="52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u w:val="single" w:color="auto"/>
          <w:color w:val="auto"/>
        </w:rPr>
        <w:t>Further Assurance</w:t>
      </w:r>
      <w:r>
        <w:rPr>
          <w:rFonts w:ascii="Times New Roman" w:cs="Times New Roman" w:eastAsia="Times New Roman" w:hAnsi="Times New Roman"/>
          <w:sz w:val="18"/>
          <w:szCs w:val="18"/>
          <w:color w:val="auto"/>
        </w:rPr>
        <w:t>. Each PARTY agrees to execute and do all things at the cost of the other PARTY (if not specifically agreed otherwise) as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PARTY may reasonably require to give that other PARTY the full benefit of the provisions of this Article 5.</w:t>
      </w:r>
    </w:p>
    <w:p>
      <w:pPr>
        <w:spacing w:after="0" w:line="306" w:lineRule="exact"/>
        <w:rPr>
          <w:sz w:val="20"/>
          <w:szCs w:val="20"/>
          <w:color w:val="auto"/>
        </w:rPr>
      </w:pPr>
    </w:p>
    <w:p>
      <w:pPr>
        <w:ind w:left="544" w:hanging="544"/>
        <w:spacing w:after="0"/>
        <w:tabs>
          <w:tab w:leader="none" w:pos="544"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Covenants</w:t>
      </w:r>
    </w:p>
    <w:p>
      <w:pPr>
        <w:spacing w:after="0" w:line="135" w:lineRule="exact"/>
        <w:rPr>
          <w:sz w:val="20"/>
          <w:szCs w:val="20"/>
          <w:color w:val="auto"/>
        </w:rPr>
      </w:pPr>
    </w:p>
    <w:p>
      <w:pPr>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for the representations, warranties and covenants contained in Article 5.6 or this Article 6, the PARTIES do not make any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representations, nor give any other warranties, express or implied, nor undertake to any other covenants. The PARTIES expressly exclude any and all other representations, warranties and covenants.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Representations and Warranties by the PARTIES</w:t>
      </w:r>
      <w:r>
        <w:rPr>
          <w:rFonts w:ascii="Times New Roman" w:cs="Times New Roman" w:eastAsia="Times New Roman" w:hAnsi="Times New Roman"/>
          <w:sz w:val="17"/>
          <w:szCs w:val="17"/>
          <w:color w:val="auto"/>
        </w:rPr>
        <w:t>. Each PARTY hereby represents and warrants to the other PARTY that:</w:t>
      </w:r>
    </w:p>
    <w:p>
      <w:pPr>
        <w:spacing w:after="0" w:line="131" w:lineRule="exact"/>
        <w:rPr>
          <w:sz w:val="20"/>
          <w:szCs w:val="20"/>
          <w:color w:val="auto"/>
        </w:rPr>
      </w:pPr>
    </w:p>
    <w:p>
      <w:pPr>
        <w:jc w:val="right"/>
        <w:ind w:left="544" w:right="200"/>
        <w:spacing w:after="0" w:line="282"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Corporate Power</w:t>
      </w:r>
      <w:r>
        <w:rPr>
          <w:rFonts w:ascii="Times New Roman" w:cs="Times New Roman" w:eastAsia="Times New Roman" w:hAnsi="Times New Roman"/>
          <w:sz w:val="18"/>
          <w:szCs w:val="18"/>
          <w:color w:val="auto"/>
        </w:rPr>
        <w:t>. It is duly organized and validly existing under the laws of the state (or country or other jurisdiction, as the case may be) of its incorporation and has full corporate power and authority to enter into this Agreement and to carry out the provisions hereof.</w:t>
      </w:r>
    </w:p>
    <w:p>
      <w:pPr>
        <w:spacing w:after="0" w:line="67" w:lineRule="exact"/>
        <w:rPr>
          <w:sz w:val="20"/>
          <w:szCs w:val="20"/>
          <w:color w:val="auto"/>
        </w:rPr>
      </w:pPr>
    </w:p>
    <w:p>
      <w:pPr>
        <w:ind w:left="1184" w:right="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It is duly authorized to execute and deliver this Agreement and to perform its obligations hereunder and the persons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executing this Agreement on its behalf have been duly authorized to do so by all requisite corporate actions.</w:t>
      </w:r>
    </w:p>
    <w:p>
      <w:pPr>
        <w:spacing w:after="0" w:line="67" w:lineRule="exact"/>
        <w:rPr>
          <w:sz w:val="20"/>
          <w:szCs w:val="20"/>
          <w:color w:val="auto"/>
        </w:rPr>
      </w:pPr>
    </w:p>
    <w:p>
      <w:pPr>
        <w:ind w:left="1184" w:right="20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6.2.3.</w:t>
      </w:r>
      <w:r>
        <w:rPr>
          <w:sz w:val="20"/>
          <w:szCs w:val="20"/>
          <w:color w:val="auto"/>
        </w:rPr>
        <w:tab/>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This Agreement is a legal and valid obligation binding upon it and is enforceable in accordance with its terms,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except as enforceability may be limited by bankruptcy, fraudulent conveyance, insolvency, reorganization, moratorium and other laws relating to or affecting creditors’ rights generally and by general equitable principles and public policy.</w:t>
      </w:r>
    </w:p>
    <w:p>
      <w:pPr>
        <w:spacing w:after="0" w:line="81" w:lineRule="exact"/>
        <w:rPr>
          <w:sz w:val="20"/>
          <w:szCs w:val="20"/>
          <w:color w:val="auto"/>
        </w:rPr>
      </w:pPr>
    </w:p>
    <w:p>
      <w:pPr>
        <w:ind w:left="1184" w:right="3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6.2.4.</w:t>
      </w:r>
      <w:r>
        <w:rPr>
          <w:sz w:val="20"/>
          <w:szCs w:val="20"/>
          <w:color w:val="auto"/>
        </w:rPr>
        <w:tab/>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by it does not conflict with any agreement, instrument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understanding, oral or written, to which it is a PARTY or by which it may be bound.</w:t>
      </w:r>
    </w:p>
    <w:p>
      <w:pPr>
        <w:spacing w:after="0" w:line="67" w:lineRule="exact"/>
        <w:rPr>
          <w:sz w:val="20"/>
          <w:szCs w:val="20"/>
          <w:color w:val="auto"/>
        </w:rPr>
      </w:pPr>
    </w:p>
    <w:p>
      <w:pPr>
        <w:ind w:left="1184" w:right="26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6.2.5.</w:t>
      </w:r>
      <w:r>
        <w:rPr>
          <w:sz w:val="20"/>
          <w:szCs w:val="20"/>
          <w:color w:val="auto"/>
        </w:rPr>
        <w:tab/>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Each PARTY represents that it has valid and sufficient arrangements and agreements with its directors,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officers and employees (which term shall include agents, consultants and subcontractors) such that ownership of intellectual property rights in and to any Inventions made by its directors, officers and employees vests in such PARTY.</w:t>
      </w:r>
    </w:p>
    <w:p>
      <w:pPr>
        <w:sectPr>
          <w:pgSz w:w="11900" w:h="16838" w:orient="portrait"/>
          <w:cols w:equalWidth="0" w:num="1">
            <w:col w:w="11024"/>
          </w:cols>
          <w:pgMar w:left="436" w:top="266" w:right="439" w:bottom="1440" w:gutter="0" w:footer="0" w:header="0"/>
        </w:sectPr>
      </w:pP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15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50" w:name="page351"/>
    <w:bookmarkEnd w:id="350"/>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Additional Representations and Warranties by SELEXIS</w:t>
      </w:r>
      <w:r>
        <w:rPr>
          <w:rFonts w:ascii="Times New Roman" w:cs="Times New Roman" w:eastAsia="Times New Roman" w:hAnsi="Times New Roman"/>
          <w:sz w:val="17"/>
          <w:szCs w:val="17"/>
          <w:color w:val="auto"/>
        </w:rPr>
        <w:t>. SELEXIS hereby represents and warrants that, to the best of its knowledge, as of the</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Effective Date:</w:t>
      </w:r>
    </w:p>
    <w:p>
      <w:pPr>
        <w:spacing w:after="0" w:line="112" w:lineRule="exact"/>
        <w:rPr>
          <w:sz w:val="20"/>
          <w:szCs w:val="20"/>
          <w:color w:val="auto"/>
        </w:rPr>
      </w:pPr>
    </w:p>
    <w:p>
      <w:pPr>
        <w:ind w:left="1180" w:right="90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6.3.1.</w:t>
        <w:tab/>
        <w:t>There is no pending litigation asserting that the use of the SELEXIS Technology or the SELEXIS Know-How constitutes an infringement or misappropriation of any intellectual property rights of a Third Party; and</w:t>
      </w:r>
    </w:p>
    <w:p>
      <w:pPr>
        <w:spacing w:after="0" w:line="67" w:lineRule="exact"/>
        <w:rPr>
          <w:sz w:val="20"/>
          <w:szCs w:val="20"/>
          <w:color w:val="auto"/>
        </w:rPr>
      </w:pPr>
    </w:p>
    <w:p>
      <w:pPr>
        <w:ind w:left="1180" w:right="20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6.3.2.</w:t>
        <w:tab/>
        <w:t>SELEXIS has the right in and to the SELEXIS Technology, SELEXIS Know-How and the SELEXIS Patents to grant COMPANY the rights which are granted to COMPANY under this Agreement.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u w:val="single" w:color="auto"/>
          <w:color w:val="auto"/>
        </w:rPr>
        <w:t>Additional Warranties by COMPANY</w:t>
      </w:r>
      <w:r>
        <w:rPr>
          <w:rFonts w:ascii="Times New Roman" w:cs="Times New Roman" w:eastAsia="Times New Roman" w:hAnsi="Times New Roman"/>
          <w:sz w:val="17"/>
          <w:szCs w:val="17"/>
          <w:color w:val="auto"/>
        </w:rPr>
        <w:t>. COMPANY hereby represents and warrants to SELEXIS that:</w:t>
      </w:r>
    </w:p>
    <w:p>
      <w:pPr>
        <w:spacing w:after="0" w:line="131" w:lineRule="exact"/>
        <w:rPr>
          <w:sz w:val="20"/>
          <w:szCs w:val="20"/>
          <w:color w:val="auto"/>
        </w:rPr>
      </w:pPr>
    </w:p>
    <w:p>
      <w:pPr>
        <w:ind w:left="1180" w:right="200" w:hanging="647"/>
        <w:spacing w:after="0" w:line="256" w:lineRule="auto"/>
        <w:tabs>
          <w:tab w:leader="none" w:pos="1160" w:val="left"/>
        </w:tabs>
        <w:rPr>
          <w:sz w:val="20"/>
          <w:szCs w:val="20"/>
          <w:color w:val="auto"/>
        </w:rPr>
      </w:pPr>
      <w:r>
        <w:rPr>
          <w:rFonts w:ascii="Times New Roman" w:cs="Times New Roman" w:eastAsia="Times New Roman" w:hAnsi="Times New Roman"/>
          <w:sz w:val="18"/>
          <w:szCs w:val="18"/>
          <w:color w:val="auto"/>
        </w:rPr>
        <w:t>6.4.1.</w:t>
        <w:tab/>
        <w:t>To the best of its knowledge, there are no Third Party intellectual property rights or any other rights that may be asserted against SELEXIS claiming that SELEXIS was or is directly infringing or is helping or assisting COMPANY in infringing such Third Party’s rights in connection with COMPANY’s exercise of the Commercial License granted by SELEXIS hereunder (except to the extent that any such Third Party rights relate solely and specifically to the SELEXIS Technology and/or SELEXIS Materials), including, without limitation, the development, manufacture and commercialization of Licensed Products and/or Final Products as permitted hereunder; and</w:t>
      </w:r>
    </w:p>
    <w:p>
      <w:pPr>
        <w:spacing w:after="0" w:line="93" w:lineRule="exact"/>
        <w:rPr>
          <w:sz w:val="20"/>
          <w:szCs w:val="20"/>
          <w:color w:val="auto"/>
        </w:rPr>
      </w:pPr>
    </w:p>
    <w:p>
      <w:pPr>
        <w:ind w:left="1180" w:right="240" w:hanging="647"/>
        <w:spacing w:after="0" w:line="258" w:lineRule="auto"/>
        <w:tabs>
          <w:tab w:leader="none" w:pos="1160" w:val="left"/>
        </w:tabs>
        <w:rPr>
          <w:sz w:val="20"/>
          <w:szCs w:val="20"/>
          <w:color w:val="auto"/>
        </w:rPr>
      </w:pPr>
      <w:r>
        <w:rPr>
          <w:rFonts w:ascii="Times New Roman" w:cs="Times New Roman" w:eastAsia="Times New Roman" w:hAnsi="Times New Roman"/>
          <w:sz w:val="18"/>
          <w:szCs w:val="18"/>
          <w:color w:val="auto"/>
        </w:rPr>
        <w:t>6.4.2.</w:t>
        <w:tab/>
        <w:t>As of the Effective Date, to the best of its knowledge, there is no litigation pending against COMPANY in connection with the use or ownership of the Licensed Product, including, without limitation, the infringement or misappropriation of any intellectual property rights of a Third Party relating to the Licensed Product, and COMPANY has not received any written claim that the use thereof infringes on any intellectual property rights of a Third Party or a request or demand from any Third Party for the licensing of any intellectual property rights to such Third Party in connection with the use of the Licensed Product.</w:t>
      </w:r>
    </w:p>
    <w:p>
      <w:pPr>
        <w:spacing w:after="0" w:line="89" w:lineRule="exact"/>
        <w:rPr>
          <w:sz w:val="20"/>
          <w:szCs w:val="20"/>
          <w:color w:val="auto"/>
        </w:rPr>
      </w:pPr>
    </w:p>
    <w:p>
      <w:pPr>
        <w:ind w:left="1180" w:right="4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6.4.3.</w:t>
        <w:tab/>
        <w:t>COMPANY will use commercially reasonable endeavours to not knowingly misappropriate or infringe the intellectual property or other rights of any Third Party in connection with its exercise of its licensed rights hereunder, including, without limitation, use of any SELEXIS Technology, Cell Line, or Deliverables, or development, manufacture or sale of Licensed and/or Final Product hereunder.</w:t>
      </w:r>
    </w:p>
    <w:p>
      <w:pPr>
        <w:spacing w:after="0" w:line="81" w:lineRule="exact"/>
        <w:rPr>
          <w:sz w:val="20"/>
          <w:szCs w:val="20"/>
          <w:color w:val="auto"/>
        </w:rPr>
      </w:pPr>
    </w:p>
    <w:p>
      <w:pPr>
        <w:ind w:left="420" w:right="20" w:hanging="431"/>
        <w:spacing w:after="0" w:line="255" w:lineRule="auto"/>
        <w:tabs>
          <w:tab w:leader="none" w:pos="4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 xml:space="preserve">Third Party Intellectual Property. </w:t>
      </w:r>
      <w:r>
        <w:rPr>
          <w:rFonts w:ascii="Times New Roman" w:cs="Times New Roman" w:eastAsia="Times New Roman" w:hAnsi="Times New Roman"/>
          <w:sz w:val="18"/>
          <w:szCs w:val="18"/>
          <w:color w:val="auto"/>
        </w:rPr>
        <w:t>Without limiting the warranty set forth in Article 6.4.3, COMPANY hereby acknowledges that in order to make,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have made, use, offer for sale, sell, import and otherwise exploit Licensed and/or Final Products in the Field it may require licenses under Third Party patent or other intellectual property rights that may be infringed by the manufacture, use, offer for sale, sale, importation and other exploitation of Licensed and/or Final Product and, other than in the case of Third Party patent rights provided for in Article 5.6, it is agreed that it shall be COMPANY’S responsibility to identify all such intellectual property and satisfy itself as to the need for such licences, and, if necessary, to obtain such licenses. COMPANY agrees that, with the sole exception of Third Party patent rights provided for in Article 5.6 and for which SELEXIS provides indemnification in Article 7.1, SELEXIS will have no liability whatsoever for any infringement of Third Party patent rights.</w:t>
      </w:r>
    </w:p>
    <w:p>
      <w:pPr>
        <w:sectPr>
          <w:pgSz w:w="11900" w:h="16838" w:orient="portrait"/>
          <w:cols w:equalWidth="0" w:num="1">
            <w:col w:w="11020"/>
          </w:cols>
          <w:pgMar w:left="440" w:top="266" w:right="43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16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51" w:name="page352"/>
    <w:bookmarkEnd w:id="351"/>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14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u w:val="single" w:color="auto"/>
          <w:color w:val="auto"/>
        </w:rPr>
        <w:t>Disclaimer of Warranties by SELEXIS</w:t>
      </w:r>
      <w:r>
        <w:rPr>
          <w:rFonts w:ascii="Times New Roman" w:cs="Times New Roman" w:eastAsia="Times New Roman" w:hAnsi="Times New Roman"/>
          <w:sz w:val="18"/>
          <w:szCs w:val="18"/>
          <w:color w:val="auto"/>
        </w:rPr>
        <w:t>. EXCEPT AS EXPRESSLY SET FORTH IN THIS AGREEMENT AND WITHOUT LIMITING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GENERALITY OF ARTICLE 6.1, SELEXIS DOES NOT MAKE NOR GIVE ANY REPRESENTATION OR WARRANTY TO COMPANY OF ANY NATURE, EXPRESS OR IMPLIED, THAT THE SELEXIS TECHNOLOGY WILL BE USEFUL FOR, OR ACHIEVE ANY PARTICULAR RESULTS AS A RESULT OF ANY USE THEREOF BY SELEXIS OR BY COMPANY PURSUANT TO ANY LICENSE GRANTED TO COMPANY UNDER THIS AGREEMENT. EXCEPT AS EXPRESSLY SET FORTH IN THIS AGREEMENT, SELEXIS SPECIFICALLY DISCLAIMS ANY WARRANTY OF NONINFRINGEMENT, MERCHANTABILITY OR FITNESS FOR A PARTICULAR PURPOSE.</w:t>
      </w:r>
    </w:p>
    <w:p>
      <w:pPr>
        <w:spacing w:after="0" w:line="333" w:lineRule="exact"/>
        <w:rPr>
          <w:sz w:val="20"/>
          <w:szCs w:val="20"/>
          <w:color w:val="auto"/>
        </w:rPr>
      </w:pPr>
    </w:p>
    <w:p>
      <w:pPr>
        <w:ind w:left="544" w:hanging="544"/>
        <w:spacing w:after="0"/>
        <w:tabs>
          <w:tab w:leader="none" w:pos="544"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and Indemnification</w:t>
      </w:r>
    </w:p>
    <w:p>
      <w:pPr>
        <w:spacing w:after="0" w:line="135" w:lineRule="exact"/>
        <w:rPr>
          <w:sz w:val="20"/>
          <w:szCs w:val="20"/>
          <w:color w:val="auto"/>
        </w:rPr>
      </w:pPr>
    </w:p>
    <w:p>
      <w:pPr>
        <w:ind w:left="544" w:right="20"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Indemnification by SELEXIS</w:t>
      </w:r>
      <w:r>
        <w:rPr>
          <w:rFonts w:ascii="Times New Roman" w:cs="Times New Roman" w:eastAsia="Times New Roman" w:hAnsi="Times New Roman"/>
          <w:sz w:val="18"/>
          <w:szCs w:val="18"/>
          <w:color w:val="auto"/>
        </w:rPr>
        <w:t>. During the Term of this Agreement and thereafter, SELEXIS hereby agrees to save, defend and hold COMPANY,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its Affiliates, and their respective officers, directors, employees, consultants and agents harmless from and against any and all Losses resulting directly from (i) any Third Party claim alleging that [***]; or (ii) any material breach of SELEXIS’ representations, warranties and covenants set forth in Article 6; except in each case to the extent that such Losses were caused by willful misconduct or gross negligence of COMPANY or any of its Affiliates, Collaborators or Sublicensees. In the event COMPANY seeks indemnification under this Article 7.1, COMPANY shall notify SELEXIS of any claim as soon as reasonably practicable after it receives notice of the claim. COMPANY shall allow SELEXIS to conduct and control the defense against the claim (including without limitation to settle the claim solely for monetary consideration), shall (at SELEXIS’ expense) execute and deliver such documents and other papers and take such further actions as may be reasonably required to defend against the claim (including without limitation to settle the claim solely for monetary consideration) and shall (at SELEXIS’ expense) cooperate as requested by SELEXIS in the defense of the claim, provided always that SELEXIS may not settle any such claim or otherwise consent to an adverse judgment or order in any relevant action or other proceeding which includes any admission as to liability or fault without the prior express written consent of COMPANY, which consent will not be unreasonably withheld.</w:t>
      </w:r>
    </w:p>
    <w:p>
      <w:pPr>
        <w:spacing w:after="0" w:line="95" w:lineRule="exact"/>
        <w:rPr>
          <w:sz w:val="20"/>
          <w:szCs w:val="20"/>
          <w:color w:val="auto"/>
        </w:rPr>
      </w:pPr>
    </w:p>
    <w:p>
      <w:pPr>
        <w:ind w:left="544" w:right="3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Indemnification by COMPANY</w:t>
      </w:r>
      <w:r>
        <w:rPr>
          <w:rFonts w:ascii="Times New Roman" w:cs="Times New Roman" w:eastAsia="Times New Roman" w:hAnsi="Times New Roman"/>
          <w:sz w:val="18"/>
          <w:szCs w:val="18"/>
          <w:color w:val="auto"/>
        </w:rPr>
        <w:t>. During the Term of this Agreement and thereafter, COMPANY hereby agrees to save, defend and hold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SELEXIS and its officers, directors, employees, consultants and agents harmless from and against any and all Losses resulting from (i) Third Party claims in connection with [***]; (ii) Third Party claims relating to [***]; or (iii) any material breach of COMPANY’s representations, warranties</w:t>
      </w:r>
    </w:p>
    <w:p>
      <w:pPr>
        <w:sectPr>
          <w:pgSz w:w="11900" w:h="16838" w:orient="portrait"/>
          <w:cols w:equalWidth="0" w:num="1">
            <w:col w:w="11024"/>
          </w:cols>
          <w:pgMar w:left="436" w:top="266" w:right="439" w:bottom="1440" w:gutter="0" w:footer="0" w:header="0"/>
        </w:sectPr>
      </w:pP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17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52" w:name="page353"/>
    <w:bookmarkEnd w:id="352"/>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60"/>
        <w:spacing w:after="0" w:line="254" w:lineRule="auto"/>
        <w:rPr>
          <w:sz w:val="20"/>
          <w:szCs w:val="20"/>
          <w:color w:val="auto"/>
        </w:rPr>
      </w:pPr>
      <w:r>
        <w:rPr>
          <w:rFonts w:ascii="Times New Roman" w:cs="Times New Roman" w:eastAsia="Times New Roman" w:hAnsi="Times New Roman"/>
          <w:sz w:val="18"/>
          <w:szCs w:val="18"/>
          <w:color w:val="auto"/>
        </w:rPr>
        <w:t>and covenants set forth in Article 6; in each case, except to the extent that such Losses result from the willful misconduct or gross negligence of SELEXIS. In the event SELEXIS seeks indemnification under this Article, SELEXIS shall notify COMPANY of any claim as soon as reasonably practicable after it receives notice of the claim. SELEXIS shall allow COMPANY to assume direction and control of the defense of the claim (including without limitation the right to settle the claim solely for monetary consideration), and shall (at COMPANY’s expense) execute and deliver such documents and other papers and take such further actions as may be reasonably required to defend against the claim (including without limitation to settle the claim solely for monetary consideration). SELEXIS shall (at COMPANY’s expense) cooperate as requested by COMPANY in the defense of the claim, provided always that COMPANY may not settle any such claim or otherwise consent to an adverse judgment or order in any relevant action or other proceeding which includes any admission as to liability or fault without the prior express written consent of SELEXIS, which consent will not be unreasonably withheld.</w:t>
      </w:r>
    </w:p>
    <w:p>
      <w:pPr>
        <w:spacing w:after="0" w:line="94" w:lineRule="exact"/>
        <w:rPr>
          <w:sz w:val="20"/>
          <w:szCs w:val="20"/>
          <w:color w:val="auto"/>
        </w:rPr>
      </w:pPr>
    </w:p>
    <w:p>
      <w:pPr>
        <w:jc w:val="both"/>
        <w:ind w:left="544" w:right="1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No Incidental or Consequential Damages</w:t>
      </w:r>
      <w:r>
        <w:rPr>
          <w:rFonts w:ascii="Times New Roman" w:cs="Times New Roman" w:eastAsia="Times New Roman" w:hAnsi="Times New Roman"/>
          <w:sz w:val="18"/>
          <w:szCs w:val="18"/>
          <w:color w:val="auto"/>
        </w:rPr>
        <w:t>. In no event shall either PARTY be responsible for any incidental or consequential damages, including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without limitation, lost profits or opportunities; provided that the foregoing shall in no event limit a PARTY’s indemnification obligation under Article 7.1 or Article 7.2.</w:t>
      </w:r>
    </w:p>
    <w:p>
      <w:pPr>
        <w:spacing w:after="0" w:line="81"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SELEXIS’ cumulative liability under this Agreement, whether in contract, in tort, or otherwise, shall in no event exceed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aggregate consideration paid by COMPANY to SELEXIS under this Agreement.</w:t>
      </w:r>
    </w:p>
    <w:p>
      <w:pPr>
        <w:spacing w:after="0" w:line="306" w:lineRule="exact"/>
        <w:rPr>
          <w:sz w:val="20"/>
          <w:szCs w:val="20"/>
          <w:color w:val="auto"/>
        </w:rPr>
      </w:pPr>
    </w:p>
    <w:p>
      <w:pPr>
        <w:ind w:left="544" w:hanging="544"/>
        <w:spacing w:after="0"/>
        <w:tabs>
          <w:tab w:leader="none" w:pos="544"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5" w:lineRule="exact"/>
        <w:rPr>
          <w:sz w:val="20"/>
          <w:szCs w:val="20"/>
          <w:color w:val="auto"/>
        </w:rPr>
      </w:pPr>
    </w:p>
    <w:p>
      <w:pPr>
        <w:ind w:left="544" w:right="20" w:hanging="539"/>
        <w:spacing w:after="0" w:line="274"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Non-disclosure</w:t>
      </w:r>
      <w:r>
        <w:rPr>
          <w:rFonts w:ascii="Times New Roman" w:cs="Times New Roman" w:eastAsia="Times New Roman" w:hAnsi="Times New Roman"/>
          <w:sz w:val="17"/>
          <w:szCs w:val="17"/>
          <w:color w:val="auto"/>
        </w:rPr>
        <w:t>. During the Term of this Agreement and for [***] thereafter, each PARTY shall keep Confidential Information of the other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PARTY confidential and shall not (i) use the other PARTY’s Confidential Information for any purpose not expressly permitted under this Agreement, nor (ii) disclose the other PARTY’s Confidential Information to any Person other than those of its agents, employees, and consultants (collectively, “Representatives”) who need to know such Confidential Information for a use or purpose expressly permitted under this Agreement. Any such Representative who receives Confidential Information pursuant to this Article 8.1 shall be bound by written obligations of confidentiality and non-use with respect to the Confidential Information that are no less stringent than the obligations set forth in this Agreement.</w:t>
      </w:r>
    </w:p>
    <w:p>
      <w:pPr>
        <w:spacing w:after="0" w:line="78" w:lineRule="exact"/>
        <w:rPr>
          <w:sz w:val="20"/>
          <w:szCs w:val="20"/>
          <w:color w:val="auto"/>
        </w:rPr>
      </w:pPr>
    </w:p>
    <w:p>
      <w:pPr>
        <w:ind w:left="544" w:right="4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The confidentiality obligations set forth in Article 8.1 shall not apply to Confidential Information that (i) is, or becomes, public</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information other than as the result of the violation of this Agreement or other</w:t>
      </w:r>
    </w:p>
    <w:p>
      <w:pPr>
        <w:sectPr>
          <w:pgSz w:w="11900" w:h="16838" w:orient="portrait"/>
          <w:cols w:equalWidth="0" w:num="1">
            <w:col w:w="11024"/>
          </w:cols>
          <w:pgMar w:left="436" w:top="266" w:right="439" w:bottom="1440" w:gutter="0" w:footer="0" w:header="0"/>
        </w:sectPr>
      </w:pPr>
    </w:p>
    <w:p>
      <w:pPr>
        <w:spacing w:after="0" w:line="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18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53" w:name="page354"/>
    <w:bookmarkEnd w:id="353"/>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200"/>
        <w:spacing w:after="0" w:line="261" w:lineRule="auto"/>
        <w:rPr>
          <w:sz w:val="20"/>
          <w:szCs w:val="20"/>
          <w:color w:val="auto"/>
        </w:rPr>
      </w:pPr>
      <w:r>
        <w:rPr>
          <w:rFonts w:ascii="Times New Roman" w:cs="Times New Roman" w:eastAsia="Times New Roman" w:hAnsi="Times New Roman"/>
          <w:sz w:val="18"/>
          <w:szCs w:val="18"/>
          <w:color w:val="auto"/>
        </w:rPr>
        <w:t>act or omission by the receiving PARTY or its Representatives; (ii) was lawfully known to the receiving PARTY or its Representatives without restriction on use or disclosure at the time of disclosure hereunder; (iii) is hereafter lawfully received by the receiving PARTY or its Representatives from a Third Party authorized to make such disclosure and without restriction on use or disclosure; or (iv) is approved for release by prior written consent from the disclosing Party.</w:t>
      </w:r>
    </w:p>
    <w:p>
      <w:pPr>
        <w:spacing w:after="0" w:line="85" w:lineRule="exact"/>
        <w:rPr>
          <w:sz w:val="20"/>
          <w:szCs w:val="20"/>
          <w:color w:val="auto"/>
        </w:rPr>
      </w:pPr>
    </w:p>
    <w:p>
      <w:pPr>
        <w:ind w:left="544" w:right="18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Authorized Disclosures</w:t>
      </w:r>
      <w:r>
        <w:rPr>
          <w:rFonts w:ascii="Times New Roman" w:cs="Times New Roman" w:eastAsia="Times New Roman" w:hAnsi="Times New Roman"/>
          <w:sz w:val="18"/>
          <w:szCs w:val="18"/>
          <w:color w:val="auto"/>
        </w:rPr>
        <w:t>. Notwithstanding any provision of this Agreement to the contrary, each PARTY may disclose Confidential Information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the other PARTY to the extent such disclosure is required by law, provided however that the receiving PARTY gives the disclosing PARTY reasonable prior written notice to enable the disclosing PARTY to take appropriate measures to protect its Confidential Information and fully cooperates, subject to commercially reasonable efforts, with the disclosing PARTY to prevent or limit to the greatest extent possible the disclosure of Confidential Information.</w:t>
      </w:r>
    </w:p>
    <w:p>
      <w:pPr>
        <w:spacing w:after="0" w:line="89" w:lineRule="exact"/>
        <w:rPr>
          <w:sz w:val="20"/>
          <w:szCs w:val="20"/>
          <w:color w:val="auto"/>
        </w:rPr>
      </w:pPr>
    </w:p>
    <w:p>
      <w:pPr>
        <w:ind w:left="544" w:right="1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u w:val="single" w:color="auto"/>
          <w:color w:val="auto"/>
        </w:rPr>
        <w:t>Use of Name</w:t>
      </w:r>
      <w:r>
        <w:rPr>
          <w:rFonts w:ascii="Times New Roman" w:cs="Times New Roman" w:eastAsia="Times New Roman" w:hAnsi="Times New Roman"/>
          <w:sz w:val="18"/>
          <w:szCs w:val="18"/>
          <w:color w:val="auto"/>
        </w:rPr>
        <w:t>. No right, express or implied, is granted to either PARTY by this Agreement to use in any manner any trademark or trade name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other PARTY including the names “CIRCADIAN, VEGENICS or OPTHEA” and “SELEXIS” without the prior written consent of the PARTY entitled to such trademark or trade name.</w:t>
      </w:r>
    </w:p>
    <w:p>
      <w:pPr>
        <w:spacing w:after="0" w:line="320" w:lineRule="exact"/>
        <w:rPr>
          <w:sz w:val="20"/>
          <w:szCs w:val="20"/>
          <w:color w:val="auto"/>
        </w:rPr>
      </w:pPr>
    </w:p>
    <w:p>
      <w:pPr>
        <w:ind w:left="544" w:hanging="544"/>
        <w:spacing w:after="0"/>
        <w:tabs>
          <w:tab w:leader="none" w:pos="544"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35"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is effective as of the Effective Date. Unless earlier terminated pursuant to Articles 9.2, 9.3 or 9.4 of this Agreement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remain in full force and effect until [***]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544" w:right="40"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Termination for Default</w:t>
      </w:r>
      <w:r>
        <w:rPr>
          <w:rFonts w:ascii="Times New Roman" w:cs="Times New Roman" w:eastAsia="Times New Roman" w:hAnsi="Times New Roman"/>
          <w:sz w:val="18"/>
          <w:szCs w:val="18"/>
          <w:color w:val="auto"/>
        </w:rPr>
        <w:t>. In addition to any other remedies which may be available at law or equity, in the event of any material breach of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by a PARTY (the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the PARTY not in default (the “</w:t>
      </w:r>
      <w:r>
        <w:rPr>
          <w:rFonts w:ascii="Times New Roman" w:cs="Times New Roman" w:eastAsia="Times New Roman" w:hAnsi="Times New Roman"/>
          <w:sz w:val="18"/>
          <w:szCs w:val="18"/>
          <w:b w:val="1"/>
          <w:bCs w:val="1"/>
          <w:color w:val="auto"/>
        </w:rPr>
        <w:t>Non-Defaulting Party</w:t>
      </w:r>
      <w:r>
        <w:rPr>
          <w:rFonts w:ascii="Times New Roman" w:cs="Times New Roman" w:eastAsia="Times New Roman" w:hAnsi="Times New Roman"/>
          <w:sz w:val="18"/>
          <w:szCs w:val="18"/>
          <w:color w:val="auto"/>
        </w:rPr>
        <w:t>”) shall have the right to give the Defaulting Party a written notice thereof (the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which must state the nature of the Default in reasonable details and request that the Defaulting Party cure such Default within [***]. During such [***] period, the Parties will cooperate in good faith in order to resolve any issue(s) that may have given rise to the Notice of Default and/or cure such Default. If such Default is not cured or the issue(s) that may have given rise to the Notice of Default not resolved within [***] after receipt of a Notice of Default by the Defaulting Party or if such Default cannot be cured, the Non-Defaulting Party may, at its sole discretion, terminate this Agreement by written notice effective upon receipt. For avoidance of doubt, if the Default is cured or the issue(s) that may have given rise to the Notice of Default resolved within [***] after receipt of a Notice of Default by the Defaulting Party, the Non-Defaulting Party may not terminate this Agreement.</w:t>
      </w:r>
    </w:p>
    <w:p>
      <w:pPr>
        <w:sectPr>
          <w:pgSz w:w="11900" w:h="16838" w:orient="portrait"/>
          <w:cols w:equalWidth="0" w:num="1">
            <w:col w:w="11024"/>
          </w:cols>
          <w:pgMar w:left="436" w:top="266" w:right="439" w:bottom="1440" w:gutter="0" w:footer="0" w:header="0"/>
        </w:sectPr>
      </w:pP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19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54" w:name="page355"/>
    <w:bookmarkEnd w:id="354"/>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0" w:right="2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Termination for Bankruptcy</w:t>
      </w:r>
      <w:r>
        <w:rPr>
          <w:rFonts w:ascii="Times New Roman" w:cs="Times New Roman" w:eastAsia="Times New Roman" w:hAnsi="Times New Roman"/>
          <w:sz w:val="18"/>
          <w:szCs w:val="18"/>
          <w:color w:val="auto"/>
        </w:rPr>
        <w:t>. In the event that a PARTY shall become insolvent or make any arrangement with its creditors or has a receiver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administrator appointed to the whole or any part of its assets or if an order shall be made or a resolution passed for its winding up unless such order or resolution is part of a scheme for its amalgamation or reconstruction (the “</w:t>
      </w:r>
      <w:r>
        <w:rPr>
          <w:rFonts w:ascii="Times New Roman" w:cs="Times New Roman" w:eastAsia="Times New Roman" w:hAnsi="Times New Roman"/>
          <w:sz w:val="18"/>
          <w:szCs w:val="18"/>
          <w:b w:val="1"/>
          <w:bCs w:val="1"/>
          <w:color w:val="auto"/>
        </w:rPr>
        <w:t>Insolvent Party</w:t>
      </w:r>
      <w:r>
        <w:rPr>
          <w:rFonts w:ascii="Times New Roman" w:cs="Times New Roman" w:eastAsia="Times New Roman" w:hAnsi="Times New Roman"/>
          <w:sz w:val="18"/>
          <w:szCs w:val="18"/>
          <w:color w:val="auto"/>
        </w:rPr>
        <w:t>”), the other PARTY shall have the right, at its sole discretion, to serve immediate notice of termination (with the sole exception of the circumstances expounded in 9.5.2.2) of this Agreement, effective upon receipt.</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Termination by COMPANY</w:t>
      </w:r>
      <w:r>
        <w:rPr>
          <w:rFonts w:ascii="Times New Roman" w:cs="Times New Roman" w:eastAsia="Times New Roman" w:hAnsi="Times New Roman"/>
          <w:sz w:val="17"/>
          <w:szCs w:val="17"/>
          <w:color w:val="auto"/>
        </w:rPr>
        <w:t>. COMPANY may terminate this Agreement at any time by giving [***] written notice to SELEXIS.</w:t>
      </w:r>
    </w:p>
    <w:p>
      <w:pPr>
        <w:spacing w:after="0" w:line="37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u w:val="single" w:color="auto"/>
          <w:color w:val="auto"/>
        </w:rPr>
        <w:t>Consequences of Expiration or Termination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6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9.5.1.</w:t>
      </w:r>
      <w:r>
        <w:rPr>
          <w:sz w:val="20"/>
          <w:szCs w:val="20"/>
          <w:color w:val="auto"/>
        </w:rPr>
        <w:tab/>
      </w:r>
      <w:r>
        <w:rPr>
          <w:rFonts w:ascii="Times New Roman" w:cs="Times New Roman" w:eastAsia="Times New Roman" w:hAnsi="Times New Roman"/>
          <w:sz w:val="18"/>
          <w:szCs w:val="18"/>
          <w:u w:val="single" w:color="auto"/>
          <w:color w:val="auto"/>
        </w:rPr>
        <w:t>Termination of Licenses</w:t>
      </w:r>
      <w:r>
        <w:rPr>
          <w:rFonts w:ascii="Times New Roman" w:cs="Times New Roman" w:eastAsia="Times New Roman" w:hAnsi="Times New Roman"/>
          <w:sz w:val="18"/>
          <w:szCs w:val="18"/>
          <w:color w:val="auto"/>
        </w:rPr>
        <w:t>. In the event of a termination of this Agreement by COMPANY pursuant to Article 9.2 or 9.4, all and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rights and licenses granted under this Agreement shall terminate upon termination of this Agreement except for the licenses which have become perpetual pursuant to Article 3.1.3.</w:t>
      </w:r>
    </w:p>
    <w:p>
      <w:pPr>
        <w:spacing w:after="0" w:line="68" w:lineRule="exact"/>
        <w:rPr>
          <w:sz w:val="20"/>
          <w:szCs w:val="20"/>
          <w:color w:val="auto"/>
        </w:rPr>
      </w:pPr>
    </w:p>
    <w:p>
      <w:pPr>
        <w:ind w:left="1200" w:right="20"/>
        <w:spacing w:after="0" w:line="266" w:lineRule="auto"/>
        <w:rPr>
          <w:sz w:val="20"/>
          <w:szCs w:val="20"/>
          <w:color w:val="auto"/>
        </w:rPr>
      </w:pPr>
      <w:r>
        <w:rPr>
          <w:rFonts w:ascii="Times New Roman" w:cs="Times New Roman" w:eastAsia="Times New Roman" w:hAnsi="Times New Roman"/>
          <w:sz w:val="18"/>
          <w:szCs w:val="18"/>
          <w:color w:val="auto"/>
        </w:rPr>
        <w:t>In the event of a termination of this Agreement by SELEXIS pursuant to Article 9.2 or 9.3, all and any rights and licenses granted under this Agreement shall terminate upon termination of this Agreement except for the licenses which have become perpetual pursuant to Article 3.1.3.</w:t>
      </w:r>
    </w:p>
    <w:p>
      <w:pPr>
        <w:spacing w:after="0" w:line="8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9.5.2.</w:t>
      </w:r>
      <w:r>
        <w:rPr>
          <w:sz w:val="20"/>
          <w:szCs w:val="20"/>
          <w:color w:val="auto"/>
        </w:rPr>
        <w:tab/>
      </w:r>
      <w:r>
        <w:rPr>
          <w:rFonts w:ascii="Times New Roman" w:cs="Times New Roman" w:eastAsia="Times New Roman" w:hAnsi="Times New Roman"/>
          <w:sz w:val="17"/>
          <w:szCs w:val="17"/>
          <w:u w:val="single" w:color="auto"/>
          <w:color w:val="auto"/>
        </w:rPr>
        <w:t>SELEXIS Technology and Confidential Information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740" w:right="220" w:hanging="539"/>
        <w:spacing w:after="0" w:line="256" w:lineRule="auto"/>
        <w:rPr>
          <w:sz w:val="20"/>
          <w:szCs w:val="20"/>
          <w:color w:val="auto"/>
        </w:rPr>
      </w:pPr>
      <w:r>
        <w:rPr>
          <w:rFonts w:ascii="Times New Roman" w:cs="Times New Roman" w:eastAsia="Times New Roman" w:hAnsi="Times New Roman"/>
          <w:sz w:val="18"/>
          <w:szCs w:val="18"/>
          <w:color w:val="auto"/>
        </w:rPr>
        <w:t>9.5.2.1 Subject to the provisions of Article 9.5.2.2, upon termination of this Agreement under Article 9.2 or Article 9.3 where COMPANY is the Insolvent Party, or Article 9.4, COMPANY shall dispose of all tangible embodiments of the SELEXIS Technology and SELEXIS Confidential Information, including without limitation the SELEXIS Materials and Cell Lines, and render inaccessible or useless all electronic embodiments, of SELEXIS Confidential Information provided to COMPANY by SELEXIS hereunder, except that COMPANY may retain one copy of the SELEXIS Confidential Information delivered hereunder in its secured legal files only for ensuring compliance with the terms of this Agreement.</w:t>
      </w:r>
    </w:p>
    <w:p>
      <w:pPr>
        <w:spacing w:after="0" w:line="93" w:lineRule="exact"/>
        <w:rPr>
          <w:sz w:val="20"/>
          <w:szCs w:val="20"/>
          <w:color w:val="auto"/>
        </w:rPr>
      </w:pPr>
    </w:p>
    <w:p>
      <w:pPr>
        <w:ind w:left="1740" w:right="160" w:hanging="539"/>
        <w:spacing w:after="0" w:line="256" w:lineRule="auto"/>
        <w:rPr>
          <w:sz w:val="20"/>
          <w:szCs w:val="20"/>
          <w:color w:val="auto"/>
        </w:rPr>
      </w:pPr>
      <w:r>
        <w:rPr>
          <w:rFonts w:ascii="Times New Roman" w:cs="Times New Roman" w:eastAsia="Times New Roman" w:hAnsi="Times New Roman"/>
          <w:sz w:val="18"/>
          <w:szCs w:val="18"/>
          <w:color w:val="auto"/>
        </w:rPr>
        <w:t>9.5.2.2 Where the COMPANY is the Insolvent Party, SELEXIS acknowledges that this Agreement and the Commercial License may constitute a material asset of the COMPANY and as such the continuation of this Agreement (and the exercise of the Commercial License) may be of benefit to both Parties, in particular where the Commercial License has been sublicensed. As such, SELEXIS agrees to provide COMPANY or the COMPANY’S receiver or administrator the opportunity to make submissions for maintenance or restructure of the Agreement. Any submissions must be received by SELEXIS within [***] of the COMPANY</w:t>
      </w:r>
    </w:p>
    <w:p>
      <w:pPr>
        <w:sectPr>
          <w:pgSz w:w="11900" w:h="16838" w:orient="portrait"/>
          <w:cols w:equalWidth="0" w:num="1">
            <w:col w:w="11020"/>
          </w:cols>
          <w:pgMar w:left="440" w:top="266" w:right="439" w:bottom="1440" w:gutter="0" w:footer="0" w:header="0"/>
        </w:sectPr>
      </w:pP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20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55" w:name="page356"/>
    <w:bookmarkEnd w:id="355"/>
    <w:p>
      <w:pPr>
        <w:jc w:val="center"/>
        <w:ind w:left="540"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1764" w:right="100"/>
        <w:spacing w:after="0" w:line="258" w:lineRule="auto"/>
        <w:rPr>
          <w:sz w:val="20"/>
          <w:szCs w:val="20"/>
          <w:color w:val="auto"/>
        </w:rPr>
      </w:pPr>
      <w:r>
        <w:rPr>
          <w:rFonts w:ascii="Times New Roman" w:cs="Times New Roman" w:eastAsia="Times New Roman" w:hAnsi="Times New Roman"/>
          <w:sz w:val="18"/>
          <w:szCs w:val="18"/>
          <w:color w:val="auto"/>
        </w:rPr>
        <w:t>entering into insolvency, receivership or administration. SELEXIS agrees to take into consideration any such submissions received within the [***] period before making any decision to terminate the Agreement under Article 9.3. If no submissions are received within the [***] period or alternatively after due consideration of any submissions, SELEXIS shall have the right, at its sole discretion, to serve immediate notice of termination of this Agreement under 9.3 and the COMPANY shall dispose of all tangible embodiments in accordance with 9.5.2.1.</w:t>
      </w:r>
    </w:p>
    <w:p>
      <w:pPr>
        <w:spacing w:after="0" w:line="89" w:lineRule="exact"/>
        <w:rPr>
          <w:sz w:val="20"/>
          <w:szCs w:val="20"/>
          <w:color w:val="auto"/>
        </w:rPr>
      </w:pPr>
    </w:p>
    <w:p>
      <w:pPr>
        <w:ind w:left="1184" w:right="10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9.5.3.</w:t>
      </w:r>
      <w:r>
        <w:rPr>
          <w:sz w:val="20"/>
          <w:szCs w:val="20"/>
          <w:color w:val="auto"/>
        </w:rPr>
        <w:tab/>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Upon any expiration or termination of this Agreement, SELEXIS shall dispose of all tangible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embodiments, and render inaccessible or useless all electronic embodiments, of COMPANY Confidential Information provided to SELEXIS by COMPANY hereunder, except that SELEXIS may retain one copy of the COMPANY Confidential Information delivered hereunder in its secured legal files only for ensuring compliance with the terms of this Agreement.</w:t>
      </w:r>
    </w:p>
    <w:p>
      <w:pPr>
        <w:spacing w:after="0" w:line="85" w:lineRule="exact"/>
        <w:rPr>
          <w:sz w:val="20"/>
          <w:szCs w:val="20"/>
          <w:color w:val="auto"/>
        </w:rPr>
      </w:pPr>
    </w:p>
    <w:p>
      <w:pPr>
        <w:ind w:left="1184" w:right="14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9.5.4.</w:t>
      </w:r>
      <w:r>
        <w:rPr>
          <w:sz w:val="20"/>
          <w:szCs w:val="20"/>
          <w:color w:val="auto"/>
        </w:rPr>
        <w:tab/>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Expiration or termination of this Agreement shall not relieve the PARTIES of any obligation or liability accruing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prior to such expiration or termination.</w:t>
      </w:r>
    </w:p>
    <w:p>
      <w:pPr>
        <w:spacing w:after="0" w:line="306" w:lineRule="exact"/>
        <w:rPr>
          <w:sz w:val="20"/>
          <w:szCs w:val="20"/>
          <w:color w:val="auto"/>
        </w:rPr>
      </w:pPr>
    </w:p>
    <w:p>
      <w:pPr>
        <w:ind w:left="544" w:hanging="544"/>
        <w:spacing w:after="0"/>
        <w:tabs>
          <w:tab w:leader="none" w:pos="544"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544" w:right="100"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interest hereunder shall be assignable by either PARTY without the prior written consent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PARTY; provided, that either PARTY may assign this Agreement and all of its rights and obligations hereunder, without such prior written consent, to an entity which acquires all or substantially all of the business or assets of such PARTY (or the business or assets to which this Agreement pertains) whether by merger, consolidation, reorganization, acquisition, sale or otherwise; and COMPANY may assign this Agreement and all of its rights and obligations hereunder, without such consent, to an Affiliate if COMPANY remains liable and responsible for the performance and observance of all of the Affiliate’s duties and obligations hereunder, and provided that [***].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Article 10.1 shall be null and void.</w:t>
      </w:r>
    </w:p>
    <w:p>
      <w:pPr>
        <w:spacing w:after="0" w:line="94" w:lineRule="exact"/>
        <w:rPr>
          <w:sz w:val="20"/>
          <w:szCs w:val="20"/>
          <w:color w:val="auto"/>
        </w:rPr>
      </w:pPr>
    </w:p>
    <w:p>
      <w:pPr>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auto"/>
        </w:rPr>
        <w:t>Compliance with Governmental Obligations</w:t>
      </w:r>
      <w:r>
        <w:rPr>
          <w:rFonts w:ascii="Times New Roman" w:cs="Times New Roman" w:eastAsia="Times New Roman" w:hAnsi="Times New Roman"/>
          <w:sz w:val="18"/>
          <w:szCs w:val="18"/>
          <w:color w:val="auto"/>
        </w:rPr>
        <w:t>. Each PARTY shall comply, upon reasonable notice from the other PARTY, with all governmental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requests directed to either PARTY relating to this Agreement and provide all information and assistance necessary to comply with the governmental requests.</w:t>
      </w:r>
    </w:p>
    <w:p>
      <w:pPr>
        <w:sectPr>
          <w:pgSz w:w="11900" w:h="16838" w:orient="portrait"/>
          <w:cols w:equalWidth="0" w:num="1">
            <w:col w:w="11024"/>
          </w:cols>
          <w:pgMar w:left="436" w:top="266" w:right="439" w:bottom="1440" w:gutter="0" w:footer="0" w:header="0"/>
        </w:sectPr>
      </w:pP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21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56" w:name="page357"/>
    <w:bookmarkEnd w:id="356"/>
    <w:p>
      <w:pPr>
        <w:jc w:val="center"/>
        <w:ind w:left="500"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0" w:right="60" w:hanging="539"/>
        <w:spacing w:after="0" w:line="312" w:lineRule="auto"/>
        <w:tabs>
          <w:tab w:leader="none" w:pos="5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each of which need not contain the signature of more than one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PARTY but all such counterparts taken together shall constitute one and the same agreement, and may be executed through the use of facsimiles.</w:t>
      </w:r>
    </w:p>
    <w:p>
      <w:pPr>
        <w:spacing w:after="0" w:line="45" w:lineRule="exact"/>
        <w:rPr>
          <w:sz w:val="20"/>
          <w:szCs w:val="20"/>
          <w:color w:val="auto"/>
        </w:rPr>
      </w:pPr>
    </w:p>
    <w:p>
      <w:pPr>
        <w:ind w:left="540" w:right="2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agree that in the event of a dispute between them arising from, concerning or in any way relating to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the PARTIES shall undertake good faith efforts to resolve any such dispute, with the matter being referred at the request of either PARTY to the General Counsel (or chief legal officer) of each PARTY and, if remaining unresolved after [***], then to the Chief Executive Officers of each PARTY (or their designees). If after [***] of the matter first being referred to the General Counsel the PARTIES are unable to resolve such dispute, either PARTY may seek any remedy available pursuant to Article 10.16.</w:t>
      </w:r>
    </w:p>
    <w:p>
      <w:pPr>
        <w:spacing w:after="0" w:line="89" w:lineRule="exact"/>
        <w:rPr>
          <w:sz w:val="20"/>
          <w:szCs w:val="20"/>
          <w:color w:val="auto"/>
        </w:rPr>
      </w:pPr>
    </w:p>
    <w:p>
      <w:pPr>
        <w:ind w:left="540" w:right="22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all of the covenants, promises, agreements, representations, warranties, conditions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understandings between the PARTIES with respect to the subject matter hereof, and constitutes and contains the complete, final, and exclusive understanding and agreement of the PARTIES with respect to the subject matter hereof, and cancels, supersedes and terminates all prior agreements and understanding between the PARTIES with respect to the subject matter hereof. There are no covenants, promises, agreements, representations, warranties, conditions or understandings, whether oral or written, between the PARTIES other than as set forth herein. No subsequent alteration, amendment, change or addition to this Agreement shall be binding upon the PARTIES hereto unless reduced to writing and signed by the respective authorized officers of the PARTIES. For the avoidance of doubt, to the extent of any inconsistency between this Agreement and the Services Agreement, the terms of this Agreement shall govern and prevail.</w:t>
      </w:r>
    </w:p>
    <w:p>
      <w:pPr>
        <w:spacing w:after="0" w:line="97" w:lineRule="exact"/>
        <w:rPr>
          <w:sz w:val="20"/>
          <w:szCs w:val="20"/>
          <w:color w:val="auto"/>
        </w:rPr>
      </w:pPr>
    </w:p>
    <w:p>
      <w:pPr>
        <w:ind w:left="540" w:right="6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liable to the other for loss, damages, default or delay due to Force Majeure, provided that the PARTY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affected by a case of Force Majeure gives prompt notice of such case to the other PARTY. The PARTY giving such notice shall thereupon be excused from its obligations hereunder as it is thereby disabled from performing for so long as it is so disabled, provided, however, that such affected PARTY commences and continues to take reasonable and diligent actions to cure such cause; and provided further that if any Force Majeure delays or prevents the performance of the obligations of either PARTY for a continuous period in excess of [***], the PARTY not affected shall then be entitled to terminate this Agreement, which termination shall be effective upon [***] written notice to the affected PARTY. Such a termination shall be irrevocable, except otherwise provided by the PARTIES and upon termination the provisions of Article 9.5 shall apply.</w:t>
      </w:r>
    </w:p>
    <w:p>
      <w:pPr>
        <w:spacing w:after="0" w:line="97" w:lineRule="exact"/>
        <w:rPr>
          <w:sz w:val="20"/>
          <w:szCs w:val="20"/>
          <w:color w:val="auto"/>
        </w:rPr>
      </w:pPr>
    </w:p>
    <w:p>
      <w:pPr>
        <w:ind w:left="540" w:right="4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Each PARTY agrees to execute, acknowledge and deliver such further instruments, and to do all such other acts, as may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necessary or appropriate in order to carry out the purposes and intent of the Agreement.</w:t>
      </w:r>
    </w:p>
    <w:p>
      <w:pPr>
        <w:sectPr>
          <w:pgSz w:w="11900" w:h="16838" w:orient="portrait"/>
          <w:cols w:equalWidth="0" w:num="1">
            <w:col w:w="11020"/>
          </w:cols>
          <w:pgMar w:left="440" w:top="266" w:right="439" w:bottom="1440" w:gutter="0" w:footer="0" w:header="0"/>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22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57" w:name="page358"/>
    <w:bookmarkEnd w:id="357"/>
    <w:p>
      <w:pPr>
        <w:jc w:val="center"/>
        <w:ind w:left="4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0" w:right="1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The relationship between SELEXIS and COMPANY created by this Agreement is one of independent contractors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neither PARTY shall have the power or authority to bind or obligate the other PARTY except as expressly set forth in this Agreement.</w:t>
      </w:r>
    </w:p>
    <w:p>
      <w:pPr>
        <w:spacing w:after="0" w:line="67"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u w:val="single" w:color="auto"/>
          <w:color w:val="auto"/>
        </w:rPr>
        <w:t>Interpretation of Agreement</w:t>
      </w:r>
      <w:r>
        <w:rPr>
          <w:rFonts w:ascii="Times New Roman" w:cs="Times New Roman" w:eastAsia="Times New Roman" w:hAnsi="Times New Roman"/>
          <w:sz w:val="18"/>
          <w:szCs w:val="18"/>
          <w:color w:val="auto"/>
        </w:rPr>
        <w:t>. Articles and other descriptive headings used in this Agreement are for reference purposes only and shall not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constitute a part hereof or affect the meaning or interpretation of this Agreement. Whenever the context so requires, the use of the singular shall be deemed to include the plural and vice versa.</w:t>
      </w:r>
    </w:p>
    <w:p>
      <w:pPr>
        <w:spacing w:after="0" w:line="81" w:lineRule="exact"/>
        <w:rPr>
          <w:sz w:val="20"/>
          <w:szCs w:val="20"/>
          <w:color w:val="auto"/>
        </w:rPr>
      </w:pPr>
    </w:p>
    <w:p>
      <w:pPr>
        <w:ind w:left="540" w:right="380" w:hanging="539"/>
        <w:spacing w:after="0" w:line="282"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License Obligations</w:t>
      </w:r>
      <w:r>
        <w:rPr>
          <w:rFonts w:ascii="Times New Roman" w:cs="Times New Roman" w:eastAsia="Times New Roman" w:hAnsi="Times New Roman"/>
          <w:sz w:val="18"/>
          <w:szCs w:val="18"/>
          <w:color w:val="auto"/>
        </w:rPr>
        <w:t>. Nothing in this Agreement imposes any obligation upon a PARTY to enter into any other license or agreement with the other PARTY.</w:t>
      </w:r>
    </w:p>
    <w:p>
      <w:pPr>
        <w:spacing w:after="0" w:line="67" w:lineRule="exact"/>
        <w:rPr>
          <w:sz w:val="20"/>
          <w:szCs w:val="20"/>
          <w:color w:val="auto"/>
        </w:rPr>
      </w:pPr>
    </w:p>
    <w:p>
      <w:pPr>
        <w:ind w:left="540" w:right="40" w:hanging="539"/>
        <w:spacing w:after="0" w:line="261"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required by this Agreement shall be in writing in the English language and shall be deemed given if delivered personally or by facsimile transmission (receipt verified), mailed by registered or certified mail (return receipt requested), postage prepaid, or sent by express courier service, to the PARTIES at the following addresses (or at such other addresses that a PARTY specifies by like notice, provided, however, that notices of a change of address shall be effective only upon written receipt thereof):</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If to COMPANY, addressed to:</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OPTHEA PTY LTD</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Level 4, 650 Chapel Street</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South Yarra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VIC 3141</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ind w:left="2100"/>
        <w:spacing w:after="0"/>
        <w:tabs>
          <w:tab w:leader="none" w:pos="32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CEO</w:t>
      </w:r>
    </w:p>
    <w:p>
      <w:pPr>
        <w:spacing w:after="0" w:line="9" w:lineRule="exact"/>
        <w:rPr>
          <w:sz w:val="20"/>
          <w:szCs w:val="20"/>
          <w:color w:val="auto"/>
        </w:rPr>
      </w:pPr>
    </w:p>
    <w:p>
      <w:pPr>
        <w:ind w:left="2100"/>
        <w:spacing w:after="0"/>
        <w:tabs>
          <w:tab w:leader="none" w:pos="328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If to SELEXIS, addressed to:</w:t>
      </w:r>
    </w:p>
    <w:p>
      <w:pPr>
        <w:spacing w:after="0" w:line="11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Selexis S.A.</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2100"/>
        <w:spacing w:after="0"/>
        <w:tabs>
          <w:tab w:leader="none" w:pos="39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100"/>
        <w:spacing w:after="0"/>
        <w:tabs>
          <w:tab w:leader="none" w:pos="3940" w:val="left"/>
        </w:tabs>
        <w:rPr>
          <w:sz w:val="20"/>
          <w:szCs w:val="20"/>
          <w:color w:val="auto"/>
        </w:rPr>
      </w:pPr>
      <w:r>
        <w:rPr>
          <w:rFonts w:ascii="Times New Roman" w:cs="Times New Roman" w:eastAsia="Times New Roman" w:hAnsi="Times New Roman"/>
          <w:sz w:val="18"/>
          <w:szCs w:val="18"/>
          <w:color w:val="auto"/>
        </w:rPr>
        <w:t>With a copy to:</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100"/>
        <w:spacing w:after="0"/>
        <w:tabs>
          <w:tab w:leader="none" w:pos="394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23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58" w:name="page359"/>
    <w:bookmarkEnd w:id="358"/>
    <w:p>
      <w:pPr>
        <w:jc w:val="center"/>
        <w:ind w:left="52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0" w:right="580" w:hanging="539"/>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solely to the benefit of COMPANY and SELEXIS (and their permitted successors and assigns) and nothing in this Agreement (express or implied) is intended to or shall confer upon any Third Party any rights, benefits or remedies of any nature whatsoever under or by reason of this Agreement.</w:t>
      </w:r>
    </w:p>
    <w:p>
      <w:pPr>
        <w:spacing w:after="0" w:line="81" w:lineRule="exact"/>
        <w:rPr>
          <w:sz w:val="20"/>
          <w:szCs w:val="20"/>
          <w:color w:val="auto"/>
        </w:rPr>
      </w:pPr>
    </w:p>
    <w:p>
      <w:pPr>
        <w:ind w:left="540" w:right="80" w:hanging="539"/>
        <w:spacing w:after="0" w:line="261"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covenant or condition of this Agreement or the application thereof to any PARTY or circumstance shall, to any extent, be held to be invalid or unenforceable, then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applicable law.</w:t>
      </w:r>
    </w:p>
    <w:p>
      <w:pPr>
        <w:spacing w:after="0" w:line="85" w:lineRule="exact"/>
        <w:rPr>
          <w:sz w:val="20"/>
          <w:szCs w:val="20"/>
          <w:color w:val="auto"/>
        </w:rPr>
      </w:pPr>
    </w:p>
    <w:p>
      <w:pPr>
        <w:ind w:left="540" w:right="200" w:hanging="539"/>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failure on the part of a PARTY to exercise or enforce any rights conferred upon it hereunder shall not be deemed to be a waiver of any such rights nor operate to bar the exercise or enforcement thereof at any time or times hereafter.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Articles 1, 3.4, 4, 5, 6, 7, 8, 9.5 and 10 shall survive any termination or expiration of this Agreement in accordance with their terms.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Agreement shall be governed by and construed in accordance with the substantive laws of [***], without</w:t>
      </w:r>
    </w:p>
    <w:p>
      <w:pPr>
        <w:spacing w:after="0" w:line="27" w:lineRule="exact"/>
        <w:rPr>
          <w:sz w:val="20"/>
          <w:szCs w:val="20"/>
          <w:color w:val="auto"/>
        </w:rPr>
      </w:pPr>
    </w:p>
    <w:p>
      <w:pPr>
        <w:ind w:left="540" w:right="700"/>
        <w:spacing w:after="0" w:line="260" w:lineRule="auto"/>
        <w:rPr>
          <w:sz w:val="20"/>
          <w:szCs w:val="20"/>
          <w:color w:val="auto"/>
        </w:rPr>
      </w:pPr>
      <w:r>
        <w:rPr>
          <w:rFonts w:ascii="Times New Roman" w:cs="Times New Roman" w:eastAsia="Times New Roman" w:hAnsi="Times New Roman"/>
          <w:sz w:val="18"/>
          <w:szCs w:val="18"/>
          <w:color w:val="auto"/>
        </w:rPr>
        <w:t>regard to principles of conflict of laws. Any dispute arising out of or in connection with this Agreement shall be subject to the exclusive jurisdiction of the courts of [***].</w:t>
      </w:r>
    </w:p>
    <w:p>
      <w:pPr>
        <w:sectPr>
          <w:pgSz w:w="11900" w:h="16838" w:orient="portrait"/>
          <w:cols w:equalWidth="0" w:num="1">
            <w:col w:w="11020"/>
          </w:cols>
          <w:pgMar w:left="440" w:top="266" w:right="439" w:bottom="144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24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59" w:name="page360"/>
    <w:bookmarkEnd w:id="359"/>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18"/>
          <w:szCs w:val="18"/>
          <w:color w:val="auto"/>
        </w:rPr>
        <w:t>, the PARTIES, having read the terms of this Agreement and intending to be legally bound hereby, do hereby execute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SELEXIS SA</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OPTHEA PTY LTD</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   /s/ Girod PA</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Signature:   /s/ Megan Baldwin</w:t>
            </w:r>
          </w:p>
        </w:tc>
      </w:tr>
      <w:tr>
        <w:trPr>
          <w:trHeight w:val="20"/>
        </w:trPr>
        <w:tc>
          <w:tcPr>
            <w:tcW w:w="880" w:type="dxa"/>
            <w:vAlign w:val="bottom"/>
          </w:tcPr>
          <w:p>
            <w:pPr>
              <w:spacing w:after="0" w:line="20" w:lineRule="exact"/>
              <w:rPr>
                <w:sz w:val="1"/>
                <w:szCs w:val="1"/>
                <w:color w:val="auto"/>
              </w:rPr>
            </w:pPr>
          </w:p>
        </w:tc>
        <w:tc>
          <w:tcPr>
            <w:tcW w:w="428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r>
      <w:tr>
        <w:trPr>
          <w:trHeight w:val="41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Place, Date: Plan-les-Ouates, Nov 15, 2013</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Place, Date: Melbourne, 7 Nov 2013</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39"/>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Girod PA</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Name: Megan Baldwin</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Scientific Officier</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Title: CEO, Opthea P/L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   /s/ Regine Brokamp</w:t>
            </w:r>
          </w:p>
        </w:tc>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Signature:</w:t>
            </w: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Robert Klupacs</w:t>
            </w:r>
          </w:p>
        </w:tc>
      </w:tr>
      <w:tr>
        <w:trPr>
          <w:trHeight w:val="20"/>
        </w:trPr>
        <w:tc>
          <w:tcPr>
            <w:tcW w:w="880" w:type="dxa"/>
            <w:vAlign w:val="bottom"/>
          </w:tcPr>
          <w:p>
            <w:pPr>
              <w:spacing w:after="0" w:line="20" w:lineRule="exact"/>
              <w:rPr>
                <w:sz w:val="1"/>
                <w:szCs w:val="1"/>
                <w:color w:val="auto"/>
              </w:rPr>
            </w:pPr>
          </w:p>
        </w:tc>
        <w:tc>
          <w:tcPr>
            <w:tcW w:w="428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r>
      <w:tr>
        <w:trPr>
          <w:trHeight w:val="41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Place, Date: PLO, Nov 15th 2013</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Place, Date: Melbourne, 7 Nov 2013</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439"/>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Regine Brokamp</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Name: Robert Klupacs</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COO</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Title: Director, Opthea Pty Limited</w:t>
            </w:r>
          </w:p>
        </w:tc>
      </w:tr>
      <w:tr>
        <w:trPr>
          <w:trHeight w:val="346"/>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25 of 27</w:t>
            </w:r>
          </w:p>
        </w:tc>
        <w:tc>
          <w:tcPr>
            <w:tcW w:w="4300" w:type="dxa"/>
            <w:vAlign w:val="bottom"/>
          </w:tcPr>
          <w:p>
            <w:pPr>
              <w:ind w:left="3780"/>
              <w:spacing w:after="0"/>
              <w:rPr>
                <w:sz w:val="20"/>
                <w:szCs w:val="20"/>
                <w:color w:val="auto"/>
              </w:rPr>
            </w:pPr>
            <w:r>
              <w:rPr>
                <w:rFonts w:ascii="Times New Roman" w:cs="Times New Roman" w:eastAsia="Times New Roman" w:hAnsi="Times New Roman"/>
                <w:sz w:val="18"/>
                <w:szCs w:val="18"/>
                <w:color w:val="auto"/>
                <w:w w:val="96"/>
              </w:rPr>
              <w:t>Opthea</w:t>
            </w: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3366FF"/>
              </w:rPr>
              <w:t>Selexis SA</w:t>
            </w:r>
          </w:p>
        </w:tc>
        <w:tc>
          <w:tcPr>
            <w:tcW w:w="430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360" w:name="page361"/>
    <w:bookmarkEnd w:id="360"/>
    <w:p>
      <w:pPr>
        <w:jc w:val="center"/>
        <w:ind w:left="5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1</w:t>
      </w:r>
    </w:p>
    <w:p>
      <w:pPr>
        <w:sectPr>
          <w:pgSz w:w="11900" w:h="16838" w:orient="portrait"/>
          <w:cols w:equalWidth="0" w:num="1">
            <w:col w:w="11020"/>
          </w:cols>
          <w:pgMar w:left="440" w:top="266" w:right="4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SELEXIS PATENT RIGHTS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1.</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2100" w:space="220"/>
            <w:col w:w="8700"/>
          </w:cols>
          <w:pgMar w:left="440" w:top="266" w:right="4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Filing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Application Number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660" w:space="660"/>
            <w:col w:w="8700"/>
          </w:cols>
          <w:pgMar w:left="440" w:top="266" w:right="4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Grant Patent Number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720" w:space="600"/>
            <w:col w:w="8700"/>
          </w:cols>
          <w:pgMar w:left="440" w:top="266" w:right="4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Geographies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Status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Patent 2.</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Filing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Application Number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660" w:space="660"/>
            <w:col w:w="8700"/>
          </w:cols>
          <w:pgMar w:left="440" w:top="266" w:right="4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Publication Number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1640" w:space="680"/>
            <w:col w:w="8700"/>
          </w:cols>
          <w:pgMar w:left="440" w:top="266" w:right="4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Geographies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69"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8"/>
          <w:szCs w:val="18"/>
          <w:color w:val="auto"/>
        </w:rPr>
        <w:t>26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61" w:name="page362"/>
    <w:bookmarkEnd w:id="361"/>
    <w:p>
      <w:pPr>
        <w:jc w:val="center"/>
        <w:ind w:left="5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Vascular Endothelial Growth Factor Receptor 3 soluble proteins</w:t>
      </w:r>
    </w:p>
    <w:p>
      <w:pPr>
        <w:sectPr>
          <w:pgSz w:w="11900" w:h="16838" w:orient="portrait"/>
          <w:cols w:equalWidth="0" w:num="1">
            <w:col w:w="11020"/>
          </w:cols>
          <w:pgMar w:left="440" w:top="266" w:right="4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27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62" w:name="page363"/>
    <w:bookmarkEnd w:id="362"/>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2503170" cy="6000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8">
                      <a:extLst>
                        <a:ext uri="{28A0092B-C50C-407E-A947-70E740481C1C}"/>
                      </a:extLst>
                    </a:blip>
                    <a:srcRect/>
                    <a:stretch>
                      <a:fillRect/>
                    </a:stretch>
                  </pic:blipFill>
                  <pic:spPr bwMode="auto">
                    <a:xfrm>
                      <a:off x="0" y="0"/>
                      <a:ext cx="25031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 Name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Private and confidential</w:t>
      </w:r>
    </w:p>
    <w:p>
      <w:pPr>
        <w:spacing w:after="0" w:line="225" w:lineRule="exact"/>
        <w:rPr>
          <w:sz w:val="20"/>
          <w:szCs w:val="20"/>
          <w:color w:val="auto"/>
        </w:rPr>
      </w:pPr>
    </w:p>
    <w:p>
      <w:pPr>
        <w:ind w:left="4"/>
        <w:spacing w:after="0"/>
        <w:tabs>
          <w:tab w:leader="none" w:pos="1104" w:val="left"/>
        </w:tabs>
        <w:rPr>
          <w:sz w:val="20"/>
          <w:szCs w:val="20"/>
          <w:color w:val="auto"/>
        </w:rPr>
      </w:pPr>
      <w:r>
        <w:rPr>
          <w:rFonts w:ascii="Times New Roman" w:cs="Times New Roman" w:eastAsia="Times New Roman" w:hAnsi="Times New Roman"/>
          <w:sz w:val="18"/>
          <w:szCs w:val="18"/>
          <w:color w:val="auto"/>
        </w:rPr>
        <w:t>Dear</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Non-Executive Director Agreement</w:t>
      </w:r>
    </w:p>
    <w:p>
      <w:pPr>
        <w:spacing w:after="0" w:line="117"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We are pleased to confirm your appointment to the board as a non-executive director of Opthea Limited (ACN 006 340 567)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well as, to the extent requested by the Company, its subsidiaries from time to time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544" w:hanging="544"/>
        <w:spacing w:after="0"/>
        <w:tabs>
          <w:tab w:leader="none" w:pos="544" w:val="left"/>
        </w:tabs>
        <w:numPr>
          <w:ilvl w:val="0"/>
          <w:numId w:val="3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Appointment</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1.1</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Your appointment as a non-executive director and Board chair of the Company will commence on</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and will</w:t>
            </w:r>
          </w:p>
        </w:tc>
      </w:tr>
      <w:tr>
        <w:trPr>
          <w:trHeight w:val="234"/>
        </w:trPr>
        <w:tc>
          <w:tcPr>
            <w:tcW w:w="38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continue until your appointment is terminated in accordance with clause 12 of this letter.</w:t>
            </w:r>
          </w:p>
        </w:tc>
        <w:tc>
          <w:tcPr>
            <w:tcW w:w="3000" w:type="dxa"/>
            <w:vAlign w:val="bottom"/>
          </w:tcPr>
          <w:p>
            <w:pPr>
              <w:spacing w:after="0"/>
              <w:rPr>
                <w:sz w:val="20"/>
                <w:szCs w:val="20"/>
                <w:color w:val="auto"/>
              </w:rPr>
            </w:pPr>
          </w:p>
        </w:tc>
      </w:tr>
      <w:tr>
        <w:trPr>
          <w:trHeight w:val="319"/>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1.2</w:t>
            </w:r>
          </w:p>
        </w:tc>
        <w:tc>
          <w:tcPr>
            <w:tcW w:w="10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Your appointment as a non-executive director of any Subsidiary will commence following the Company providing you with a written request</w:t>
            </w:r>
          </w:p>
        </w:tc>
      </w:tr>
      <w:tr>
        <w:trPr>
          <w:trHeight w:val="234"/>
        </w:trPr>
        <w:tc>
          <w:tcPr>
            <w:tcW w:w="38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that you assume such a role, subject to you returning a signed copy of your consent to do so.</w:t>
            </w:r>
          </w:p>
        </w:tc>
        <w:tc>
          <w:tcPr>
            <w:tcW w:w="3000" w:type="dxa"/>
            <w:vAlign w:val="bottom"/>
          </w:tcPr>
          <w:p>
            <w:pPr>
              <w:spacing w:after="0"/>
              <w:rPr>
                <w:sz w:val="20"/>
                <w:szCs w:val="20"/>
                <w:color w:val="auto"/>
              </w:rPr>
            </w:pPr>
          </w:p>
        </w:tc>
      </w:tr>
      <w:tr>
        <w:trPr>
          <w:trHeight w:val="319"/>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1.3</w:t>
            </w:r>
          </w:p>
        </w:tc>
        <w:tc>
          <w:tcPr>
            <w:tcW w:w="10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Your appointment is subject to re-election and retirement by rotation under the terms of the Company’s constitution (</w:t>
            </w:r>
            <w:r>
              <w:rPr>
                <w:rFonts w:ascii="Times New Roman" w:cs="Times New Roman" w:eastAsia="Times New Roman" w:hAnsi="Times New Roman"/>
                <w:sz w:val="18"/>
                <w:szCs w:val="18"/>
                <w:b w:val="1"/>
                <w:bCs w:val="1"/>
                <w:color w:val="auto"/>
                <w:w w:val="99"/>
              </w:rPr>
              <w:t>Constitution</w:t>
            </w:r>
            <w:r>
              <w:rPr>
                <w:rFonts w:ascii="Times New Roman" w:cs="Times New Roman" w:eastAsia="Times New Roman" w:hAnsi="Times New Roman"/>
                <w:sz w:val="18"/>
                <w:szCs w:val="18"/>
                <w:color w:val="auto"/>
                <w:w w:val="99"/>
              </w:rPr>
              <w:t>) and the ASX</w:t>
            </w:r>
          </w:p>
        </w:tc>
      </w:tr>
      <w:tr>
        <w:trPr>
          <w:trHeight w:val="234"/>
        </w:trPr>
        <w:tc>
          <w:tcPr>
            <w:tcW w:w="38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Listing Rules.</w:t>
            </w:r>
          </w:p>
        </w:tc>
        <w:tc>
          <w:tcPr>
            <w:tcW w:w="3000" w:type="dxa"/>
            <w:vAlign w:val="bottom"/>
          </w:tcPr>
          <w:p>
            <w:pPr>
              <w:spacing w:after="0"/>
              <w:rPr>
                <w:sz w:val="20"/>
                <w:szCs w:val="20"/>
                <w:color w:val="auto"/>
              </w:rPr>
            </w:pPr>
          </w:p>
        </w:tc>
      </w:tr>
    </w:tbl>
    <w:p>
      <w:pPr>
        <w:spacing w:after="0" w:line="99" w:lineRule="exact"/>
        <w:rPr>
          <w:sz w:val="20"/>
          <w:szCs w:val="20"/>
          <w:color w:val="auto"/>
        </w:rPr>
      </w:pPr>
    </w:p>
    <w:p>
      <w:pPr>
        <w:ind w:left="544" w:hanging="544"/>
        <w:spacing w:after="0"/>
        <w:tabs>
          <w:tab w:leader="none" w:pos="544"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Commitment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Company requires you to commit sufficient time to fulfil your duties to the Company. This will include (but is not limited to):</w:t>
      </w:r>
    </w:p>
    <w:p>
      <w:pPr>
        <w:spacing w:after="0" w:line="131" w:lineRule="exact"/>
        <w:rPr>
          <w:sz w:val="20"/>
          <w:szCs w:val="20"/>
          <w:color w:val="auto"/>
        </w:rPr>
      </w:pPr>
    </w:p>
    <w:p>
      <w:pPr>
        <w:ind w:left="1184" w:right="140" w:hanging="644"/>
        <w:spacing w:after="0" w:line="282" w:lineRule="auto"/>
        <w:tabs>
          <w:tab w:leader="none" w:pos="118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chairing and attending meetings of the Board and Board Committees, which are to be held regularly on such number of occasions each year as the Board deems appropriate;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the annual general meeting and any other general meetings of the Company;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operational and strategic reviews.</w:t>
      </w:r>
    </w:p>
    <w:p>
      <w:pPr>
        <w:spacing w:after="0" w:line="131"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In addition to your role as a member of the Board, you may be appointed to specific existing committees of the Board and those that may be established from time to time.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By accepting this appointment, you acknowledge that you are able to allocate sufficient time to meet the expectations of your role.</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Suite 0403 Level 4 650 Chapel Street South Yarra Victoria 3141 Australia</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T +61 (3) 9826 0399  F +61 (3) 9824 0083  www.opthea.com</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ABN 32 006 340 567</w:t>
      </w:r>
    </w:p>
    <w:p>
      <w:pPr>
        <w:sectPr>
          <w:pgSz w:w="11900" w:h="16838" w:orient="portrait"/>
          <w:cols w:equalWidth="0" w:num="1">
            <w:col w:w="11024"/>
          </w:cols>
          <w:pgMar w:left="436" w:top="117" w:right="439" w:bottom="1440" w:gutter="0" w:footer="0" w:header="0"/>
        </w:sectPr>
      </w:pPr>
    </w:p>
    <w:bookmarkStart w:id="363" w:name="page364"/>
    <w:bookmarkEnd w:id="363"/>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8"/>
          <w:szCs w:val="18"/>
          <w:color w:val="auto"/>
        </w:rPr>
        <w:t>You should seek the agreement of the Board before you accept any additional commitments that will affect the time required to be allocated to your role as a non-executive director of the Company. Such agreement by the Board will not be unreasonably withheld.</w:t>
      </w:r>
    </w:p>
    <w:p>
      <w:pPr>
        <w:spacing w:after="0" w:line="63" w:lineRule="exact"/>
        <w:rPr>
          <w:sz w:val="20"/>
          <w:szCs w:val="20"/>
          <w:color w:val="auto"/>
        </w:rPr>
      </w:pPr>
    </w:p>
    <w:p>
      <w:pPr>
        <w:ind w:left="544" w:hanging="544"/>
        <w:spacing w:after="0"/>
        <w:tabs>
          <w:tab w:leader="none" w:pos="544" w:val="left"/>
        </w:tabs>
        <w:numPr>
          <w:ilvl w:val="0"/>
          <w:numId w:val="3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 as non-executive director</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As a non-executive director, your role will include (but is not limited to):</w:t>
      </w:r>
    </w:p>
    <w:p>
      <w:pPr>
        <w:spacing w:after="0" w:line="131" w:lineRule="exact"/>
        <w:rPr>
          <w:sz w:val="20"/>
          <w:szCs w:val="20"/>
          <w:color w:val="auto"/>
        </w:rPr>
      </w:pPr>
    </w:p>
    <w:p>
      <w:pPr>
        <w:ind w:left="1184" w:hanging="644"/>
        <w:spacing w:after="0"/>
        <w:tabs>
          <w:tab w:leader="none" w:pos="118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support, mentoring and guidance to the Company’s chief executive officer, and where appropriate, its management team;</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contributing to the direction of the Board on matters pertaining to corporate governance, strategic development and board performance;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the necessary financial and human resources are in place for the Company to meet its objectives;</w:t>
      </w:r>
    </w:p>
    <w:p>
      <w:pPr>
        <w:spacing w:after="0" w:line="130" w:lineRule="exact"/>
        <w:rPr>
          <w:rFonts w:ascii="Times New Roman" w:cs="Times New Roman" w:eastAsia="Times New Roman" w:hAnsi="Times New Roman"/>
          <w:sz w:val="18"/>
          <w:szCs w:val="18"/>
          <w:color w:val="auto"/>
        </w:rPr>
      </w:pPr>
    </w:p>
    <w:p>
      <w:pPr>
        <w:ind w:left="1184" w:right="520" w:hanging="644"/>
        <w:spacing w:after="0" w:line="282" w:lineRule="auto"/>
        <w:tabs>
          <w:tab w:leader="none" w:pos="118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involved in preparing and settling agendas for all Board and shareholder meetings, as well as meetings of the boards of the Group;</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leadership interface with shareholders, banks and key stakeholders; and</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to the best of your abilities, and knowledge the duties reasonably assigned to you by the Board from time to time, whether during or outside business hours, and at such places as the Board reasonably requires.</w:t>
      </w:r>
    </w:p>
    <w:p>
      <w:pPr>
        <w:spacing w:after="0" w:line="67"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As a director, you must comply with the Constitution, all applicable laws and rules in connection with your position, including without limitation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w:t>
      </w:r>
      <w:r>
        <w:rPr>
          <w:rFonts w:ascii="Times New Roman" w:cs="Times New Roman" w:eastAsia="Times New Roman" w:hAnsi="Times New Roman"/>
          <w:sz w:val="18"/>
          <w:szCs w:val="18"/>
          <w:b w:val="1"/>
          <w:bCs w:val="1"/>
          <w:color w:val="auto"/>
        </w:rPr>
        <w:t>Corporations Act</w:t>
      </w:r>
      <w:r>
        <w:rPr>
          <w:rFonts w:ascii="Times New Roman" w:cs="Times New Roman" w:eastAsia="Times New Roman" w:hAnsi="Times New Roman"/>
          <w:sz w:val="18"/>
          <w:szCs w:val="18"/>
          <w:color w:val="auto"/>
        </w:rPr>
        <w:t>), the ASX Listing Rules and any relevant policies adopted by the Company from time to time.</w:t>
      </w:r>
    </w:p>
    <w:p>
      <w:pPr>
        <w:spacing w:after="0" w:line="77" w:lineRule="exact"/>
        <w:rPr>
          <w:sz w:val="20"/>
          <w:szCs w:val="20"/>
          <w:color w:val="auto"/>
        </w:rPr>
      </w:pPr>
    </w:p>
    <w:p>
      <w:pPr>
        <w:ind w:left="544" w:hanging="544"/>
        <w:spacing w:after="0"/>
        <w:tabs>
          <w:tab w:leader="none" w:pos="544"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 as Chair</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chair of the Board, your role will include (but is not limited to):</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effective leadership to the Board in relation to all Board matters;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views of the Board to the public;</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effective contribution of all directors;</w:t>
      </w:r>
    </w:p>
    <w:p>
      <w:pPr>
        <w:spacing w:after="0" w:line="130"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regular Board meetings throughout the year and ensuring that minutes of meetings accurately record decisions taken and, where appropriate, the views of individual directors;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guiding the agenda and conduct of all meetings of the Board;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non-executive director and senior management succession;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constructive and respectful relations between the Board and management.]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2 of 5</w:t>
      </w:r>
    </w:p>
    <w:p>
      <w:pPr>
        <w:sectPr>
          <w:pgSz w:w="11900" w:h="16838" w:orient="portrait"/>
          <w:cols w:equalWidth="0" w:num="1">
            <w:col w:w="10984"/>
          </w:cols>
          <w:pgMar w:left="436" w:top="270" w:right="479" w:bottom="1440" w:gutter="0" w:footer="0" w:header="0"/>
        </w:sectPr>
      </w:pPr>
    </w:p>
    <w:bookmarkStart w:id="364" w:name="page365"/>
    <w:bookmarkEnd w:id="364"/>
    <w:p>
      <w:pPr>
        <w:ind w:left="544" w:hanging="544"/>
        <w:spacing w:after="0"/>
        <w:tabs>
          <w:tab w:leader="none" w:pos="544"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Performance review</w:t>
      </w:r>
    </w:p>
    <w:p>
      <w:pPr>
        <w:spacing w:after="0" w:line="135"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During your time as a director, your performance as a director (together with the performance of the Board as a whole and the performance of the Board’s committees) will be reviewed in accordance with processes agreed by the Board from time to time.</w:t>
      </w:r>
    </w:p>
    <w:p>
      <w:pPr>
        <w:spacing w:after="0" w:line="67"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Board may make recommendations in the relevant notice of meeting to shareholders regarding your re-election having regard to the outcome of those reviews.</w:t>
      </w:r>
    </w:p>
    <w:p>
      <w:pPr>
        <w:spacing w:after="0" w:line="63" w:lineRule="exact"/>
        <w:rPr>
          <w:sz w:val="20"/>
          <w:szCs w:val="20"/>
          <w:color w:val="auto"/>
        </w:rPr>
      </w:pPr>
    </w:p>
    <w:p>
      <w:pPr>
        <w:ind w:left="544" w:hanging="544"/>
        <w:spacing w:after="0"/>
        <w:tabs>
          <w:tab w:leader="none" w:pos="544"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and expenses</w:t>
      </w:r>
    </w:p>
    <w:p>
      <w:pPr>
        <w:spacing w:after="0" w:line="135" w:lineRule="exact"/>
        <w:rPr>
          <w:sz w:val="20"/>
          <w:szCs w:val="20"/>
          <w:color w:val="auto"/>
        </w:rPr>
      </w:pPr>
    </w:p>
    <w:p>
      <w:pPr>
        <w:ind w:left="544" w:right="4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In your role as non-executive director [and chair of the Board], the Company will pay to you (or as you direct) on a monthly basis, in equal instalments in advance[, and inclusive of superannuation contributions that are payable by the Company to you]:</w:t>
      </w:r>
    </w:p>
    <w:p>
      <w:pPr>
        <w:sectPr>
          <w:pgSz w:w="11900" w:h="16838" w:orient="portrait"/>
          <w:cols w:equalWidth="0" w:num="1">
            <w:col w:w="11024"/>
          </w:cols>
          <w:pgMar w:left="436" w:top="266" w:right="439" w:bottom="1440" w:gutter="0" w:footer="0" w:header="0"/>
        </w:sectPr>
      </w:pP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color w:val="auto"/>
        </w:rPr>
        <w:t>an annual director’s fee of</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and</w:t>
      </w:r>
    </w:p>
    <w:p>
      <w:pPr>
        <w:spacing w:after="0" w:line="131" w:lineRule="exact"/>
        <w:rPr>
          <w:sz w:val="20"/>
          <w:szCs w:val="20"/>
          <w:color w:val="auto"/>
        </w:rPr>
      </w:pPr>
    </w:p>
    <w:p>
      <w:pPr>
        <w:sectPr>
          <w:pgSz w:w="11900" w:h="16838" w:orient="portrait"/>
          <w:cols w:equalWidth="0" w:num="2">
            <w:col w:w="3064" w:space="720"/>
            <w:col w:w="7240"/>
          </w:cols>
          <w:pgMar w:left="436" w:top="266" w:right="439" w:bottom="1440" w:gutter="0" w:footer="0" w:header="0"/>
          <w:type w:val="continuous"/>
        </w:sect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[an annual fee in respect of your membership of Board committees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per committee.]</w:t>
      </w:r>
    </w:p>
    <w:p>
      <w:pPr>
        <w:spacing w:after="0" w:line="142" w:lineRule="exact"/>
        <w:rPr>
          <w:sz w:val="20"/>
          <w:szCs w:val="20"/>
          <w:color w:val="auto"/>
        </w:rPr>
      </w:pPr>
    </w:p>
    <w:p>
      <w:pPr>
        <w:sectPr>
          <w:pgSz w:w="11900" w:h="16838" w:orient="portrait"/>
          <w:cols w:equalWidth="0" w:num="2">
            <w:col w:w="6204" w:space="720"/>
            <w:col w:w="4100"/>
          </w:cols>
          <w:pgMar w:left="436" w:top="266" w:right="439" w:bottom="1440" w:gutter="0" w:footer="0" w:header="0"/>
          <w:type w:val="continuous"/>
        </w:sect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Company will grant to you on the Commencement Date, under the terms of the Non-Executive Directors’ Share and Option Plan (Plan)</w:t>
      </w:r>
    </w:p>
    <w:p>
      <w:pPr>
        <w:spacing w:after="0" w:line="27" w:lineRule="exact"/>
        <w:rPr>
          <w:sz w:val="20"/>
          <w:szCs w:val="20"/>
          <w:color w:val="auto"/>
        </w:rPr>
      </w:pPr>
    </w:p>
    <w:p>
      <w:pPr>
        <w:ind w:left="544" w:right="160"/>
        <w:spacing w:after="0" w:line="260" w:lineRule="auto"/>
        <w:rPr>
          <w:sz w:val="20"/>
          <w:szCs w:val="20"/>
          <w:color w:val="auto"/>
        </w:rPr>
      </w:pPr>
      <w:r>
        <w:rPr>
          <w:rFonts w:ascii="Times New Roman" w:cs="Times New Roman" w:eastAsia="Times New Roman" w:hAnsi="Times New Roman"/>
          <w:sz w:val="18"/>
          <w:szCs w:val="18"/>
          <w:color w:val="auto"/>
        </w:rPr>
        <w:t>attached to this agreement [and subject to shareholder’s approval at a general meeting], options (Options) to purchase ordinary shares (Shares) in the Company. The Options will:</w:t>
      </w:r>
    </w:p>
    <w:p>
      <w:pPr>
        <w:spacing w:after="0" w:line="87" w:lineRule="exact"/>
        <w:rPr>
          <w:sz w:val="20"/>
          <w:szCs w:val="20"/>
          <w:color w:val="auto"/>
        </w:rPr>
      </w:pPr>
    </w:p>
    <w:p>
      <w:pPr>
        <w:ind w:left="1184" w:hanging="644"/>
        <w:spacing w:after="0"/>
        <w:tabs>
          <w:tab w:leader="none" w:pos="118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as follows, subject to you remaining in office:</w:t>
      </w:r>
    </w:p>
    <w:p>
      <w:pPr>
        <w:spacing w:after="0" w:line="128"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Vesting terms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have an exercise price per Option of</w:t>
            </w:r>
          </w:p>
        </w:tc>
        <w:tc>
          <w:tcPr>
            <w:tcW w:w="6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and</w:t>
            </w:r>
          </w:p>
        </w:tc>
      </w:tr>
      <w:tr>
        <w:trPr>
          <w:trHeight w:val="338"/>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have an exercise period ending</w:t>
            </w:r>
          </w:p>
        </w:tc>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years after the Options grant date.]</w:t>
            </w:r>
          </w:p>
        </w:tc>
      </w:tr>
      <w:tr>
        <w:trPr>
          <w:trHeight w:val="319"/>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6.3</w:t>
            </w:r>
          </w:p>
        </w:tc>
        <w:tc>
          <w:tcPr>
            <w:tcW w:w="10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w w:val="99"/>
              </w:rPr>
              <w:t>[It is intended that any amounts payable and any equity based award granted pursuant to this Agreement shall comply with or be exempt from</w:t>
            </w:r>
          </w:p>
        </w:tc>
      </w:tr>
      <w:tr>
        <w:trPr>
          <w:trHeight w:val="212"/>
        </w:trPr>
        <w:tc>
          <w:tcPr>
            <w:tcW w:w="380" w:type="dxa"/>
            <w:vAlign w:val="bottom"/>
          </w:tcPr>
          <w:p>
            <w:pPr>
              <w:spacing w:after="0"/>
              <w:rPr>
                <w:sz w:val="18"/>
                <w:szCs w:val="18"/>
                <w:color w:val="auto"/>
              </w:rPr>
            </w:pPr>
          </w:p>
        </w:tc>
        <w:tc>
          <w:tcPr>
            <w:tcW w:w="10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the provisions of the Section 409A of the Code and the Treasury regulations, notices and other guidance relating thereto (collectively,</w:t>
            </w:r>
          </w:p>
        </w:tc>
      </w:tr>
      <w:tr>
        <w:trPr>
          <w:trHeight w:val="238"/>
        </w:trPr>
        <w:tc>
          <w:tcPr>
            <w:tcW w:w="380" w:type="dxa"/>
            <w:vAlign w:val="bottom"/>
          </w:tcPr>
          <w:p>
            <w:pPr>
              <w:spacing w:after="0"/>
              <w:rPr>
                <w:sz w:val="20"/>
                <w:szCs w:val="20"/>
                <w:color w:val="auto"/>
              </w:rPr>
            </w:pPr>
          </w:p>
        </w:tc>
        <w:tc>
          <w:tcPr>
            <w:tcW w:w="10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so as not to subject you to the payment of interest, additional tax or penalty which may be imposed under Section 409A.]</w:t>
            </w:r>
          </w:p>
        </w:tc>
      </w:tr>
      <w:tr>
        <w:trPr>
          <w:trHeight w:val="319"/>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6.4</w:t>
            </w:r>
          </w:p>
        </w:tc>
        <w:tc>
          <w:tcPr>
            <w:tcW w:w="10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Your remuneration for acting as a non-executive director will be reviewed by the Board on an annual basis and may be adjusted from time to</w:t>
            </w:r>
          </w:p>
        </w:tc>
      </w:tr>
      <w:tr>
        <w:trPr>
          <w:trHeight w:val="234"/>
        </w:trPr>
        <w:tc>
          <w:tcPr>
            <w:tcW w:w="380" w:type="dxa"/>
            <w:vAlign w:val="bottom"/>
          </w:tcPr>
          <w:p>
            <w:pPr>
              <w:spacing w:after="0"/>
              <w:rPr>
                <w:sz w:val="20"/>
                <w:szCs w:val="20"/>
                <w:color w:val="auto"/>
              </w:rPr>
            </w:pPr>
          </w:p>
        </w:tc>
        <w:tc>
          <w:tcPr>
            <w:tcW w:w="10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time according to prevailing market rates taking into account other companies and giving consideration to their size and activities.</w:t>
            </w:r>
          </w:p>
        </w:tc>
      </w:tr>
      <w:tr>
        <w:trPr>
          <w:trHeight w:val="319"/>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6.5</w:t>
            </w:r>
          </w:p>
        </w:tc>
        <w:tc>
          <w:tcPr>
            <w:tcW w:w="10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Any increase to your remuneration will be subject to shareholder approval as part of approving the maximum aggregate amount payable to</w:t>
            </w:r>
          </w:p>
        </w:tc>
      </w:tr>
      <w:tr>
        <w:trPr>
          <w:trHeight w:val="234"/>
        </w:trPr>
        <w:tc>
          <w:tcPr>
            <w:tcW w:w="38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non-executive directors under the ASX Listing Rules.</w:t>
            </w:r>
          </w:p>
        </w:tc>
        <w:tc>
          <w:tcPr>
            <w:tcW w:w="5440" w:type="dxa"/>
            <w:vAlign w:val="bottom"/>
          </w:tcPr>
          <w:p>
            <w:pPr>
              <w:spacing w:after="0"/>
              <w:rPr>
                <w:sz w:val="20"/>
                <w:szCs w:val="20"/>
                <w:color w:val="auto"/>
              </w:rPr>
            </w:pPr>
          </w:p>
        </w:tc>
      </w:tr>
      <w:tr>
        <w:trPr>
          <w:trHeight w:val="319"/>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6.6</w:t>
            </w:r>
          </w:p>
        </w:tc>
        <w:tc>
          <w:tcPr>
            <w:tcW w:w="10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You are entitled to be paid or reimbursed for reasonable out-of-pocket expenses that you properly incur in attending Board or committee</w:t>
            </w:r>
          </w:p>
        </w:tc>
      </w:tr>
      <w:tr>
        <w:trPr>
          <w:trHeight w:val="234"/>
        </w:trPr>
        <w:tc>
          <w:tcPr>
            <w:tcW w:w="380" w:type="dxa"/>
            <w:vAlign w:val="bottom"/>
          </w:tcPr>
          <w:p>
            <w:pPr>
              <w:spacing w:after="0"/>
              <w:rPr>
                <w:sz w:val="20"/>
                <w:szCs w:val="20"/>
                <w:color w:val="auto"/>
              </w:rPr>
            </w:pPr>
          </w:p>
        </w:tc>
        <w:tc>
          <w:tcPr>
            <w:tcW w:w="10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meetings, dealing with the Group’s business or in carrying out your duties as a non-executive director of the Company.</w:t>
            </w:r>
          </w:p>
        </w:tc>
      </w:tr>
      <w:tr>
        <w:trPr>
          <w:trHeight w:val="319"/>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6.7</w:t>
            </w:r>
          </w:p>
        </w:tc>
        <w:tc>
          <w:tcPr>
            <w:tcW w:w="4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Any expenditure incurred pursuant to clause 6.5 that is above</w:t>
            </w: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will need prior approval of the chair of the Audit Committee, or if you</w:t>
            </w:r>
          </w:p>
        </w:tc>
      </w:tr>
      <w:tr>
        <w:trPr>
          <w:trHeight w:val="234"/>
        </w:trPr>
        <w:tc>
          <w:tcPr>
            <w:tcW w:w="38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hold this role, another member of the Audit Committee.</w:t>
            </w:r>
          </w:p>
        </w:tc>
        <w:tc>
          <w:tcPr>
            <w:tcW w:w="5440" w:type="dxa"/>
            <w:vAlign w:val="bottom"/>
          </w:tcPr>
          <w:p>
            <w:pPr>
              <w:spacing w:after="0"/>
              <w:rPr>
                <w:sz w:val="20"/>
                <w:szCs w:val="20"/>
                <w:color w:val="auto"/>
              </w:rPr>
            </w:pPr>
          </w:p>
        </w:tc>
      </w:tr>
    </w:tbl>
    <w:p>
      <w:pPr>
        <w:spacing w:after="0" w:line="99" w:lineRule="exact"/>
        <w:rPr>
          <w:sz w:val="20"/>
          <w:szCs w:val="20"/>
          <w:color w:val="auto"/>
        </w:rPr>
      </w:pPr>
    </w:p>
    <w:p>
      <w:pPr>
        <w:ind w:left="544" w:hanging="544"/>
        <w:spacing w:after="0"/>
        <w:tabs>
          <w:tab w:leader="none" w:pos="544"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Independence and conflicts of interest</w:t>
      </w:r>
    </w:p>
    <w:p>
      <w:pPr>
        <w:spacing w:after="0" w:line="135" w:lineRule="exact"/>
        <w:rPr>
          <w:sz w:val="20"/>
          <w:szCs w:val="20"/>
          <w:color w:val="auto"/>
        </w:rPr>
      </w:pPr>
    </w:p>
    <w:p>
      <w:pPr>
        <w:ind w:left="544" w:right="6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If you have not already done so, please provide the Company with details of your directorships of other companies and business or other interests, so that you have given a standing notice of your other interests to the Company.</w:t>
      </w:r>
    </w:p>
    <w:p>
      <w:pPr>
        <w:spacing w:after="0" w:line="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Page 3 of 5</w:t>
      </w:r>
    </w:p>
    <w:p>
      <w:pPr>
        <w:sectPr>
          <w:pgSz w:w="11900" w:h="16838" w:orient="portrait"/>
          <w:cols w:equalWidth="0" w:num="1">
            <w:col w:w="11024"/>
          </w:cols>
          <w:pgMar w:left="436" w:top="266" w:right="439" w:bottom="1440" w:gutter="0" w:footer="0" w:header="0"/>
          <w:type w:val="continuous"/>
        </w:sectPr>
      </w:pPr>
    </w:p>
    <w:bookmarkStart w:id="365" w:name="page366"/>
    <w:bookmarkEnd w:id="365"/>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7.2</w:t>
      </w:r>
      <w:r>
        <w:rPr>
          <w:sz w:val="20"/>
          <w:szCs w:val="20"/>
          <w:color w:val="auto"/>
        </w:rPr>
        <w:tab/>
      </w:r>
      <w:r>
        <w:rPr>
          <w:rFonts w:ascii="Times New Roman" w:cs="Times New Roman" w:eastAsia="Times New Roman" w:hAnsi="Times New Roman"/>
          <w:sz w:val="18"/>
          <w:szCs w:val="18"/>
          <w:color w:val="auto"/>
        </w:rPr>
        <w:t>You must use all reasonable endeavours to avoid any situation where your interest may be in conflict with, or be inconsistent with, the interests of the Company (including as a result of other directorships which you hold).</w:t>
      </w:r>
    </w:p>
    <w:p>
      <w:pPr>
        <w:spacing w:after="0" w:line="67" w:lineRule="exact"/>
        <w:rPr>
          <w:sz w:val="20"/>
          <w:szCs w:val="20"/>
          <w:color w:val="auto"/>
        </w:rPr>
      </w:pPr>
    </w:p>
    <w:p>
      <w:pPr>
        <w:ind w:left="544" w:right="3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You will not to seek or accept any appointments or offers of employment that conflict with your position as a director of the Company or that could reasonably be perceived to interfere materially with the exercise of your judgment in relation to the Company.</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If your circumstances change in any way that may affect your status as an independent director, you must immediately disclose this to the Board.</w:t>
      </w:r>
    </w:p>
    <w:p>
      <w:pPr>
        <w:spacing w:after="0" w:line="127" w:lineRule="exact"/>
        <w:rPr>
          <w:sz w:val="20"/>
          <w:szCs w:val="20"/>
          <w:color w:val="auto"/>
        </w:rPr>
      </w:pPr>
    </w:p>
    <w:p>
      <w:pPr>
        <w:ind w:left="544" w:hanging="544"/>
        <w:spacing w:after="0"/>
        <w:tabs>
          <w:tab w:leader="none" w:pos="544"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Personal Interests</w:t>
      </w:r>
    </w:p>
    <w:p>
      <w:pPr>
        <w:spacing w:after="0" w:line="135"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As an ASX-listed entity, the Company is required, under the ASX Listing Rules, to disclose to ASX details of directors’ interests in its securities and in contracts relevant to its securities. This can include margin lending arrangements.</w:t>
      </w:r>
    </w:p>
    <w:p>
      <w:pPr>
        <w:spacing w:after="0" w:line="67"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Company is also required to enter into an agreement with directors under which directors are obliged to provide the necessary information to the Company. By signing this agreement you will be taken to have agreed to provide such information to the Company.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 xml:space="preserve">The Company has implemented a </w:t>
      </w:r>
      <w:r>
        <w:rPr>
          <w:rFonts w:ascii="Times New Roman" w:cs="Times New Roman" w:eastAsia="Times New Roman" w:hAnsi="Times New Roman"/>
          <w:sz w:val="17"/>
          <w:szCs w:val="17"/>
          <w:b w:val="1"/>
          <w:bCs w:val="1"/>
          <w:color w:val="auto"/>
        </w:rPr>
        <w:t>Securities Trading Policy</w:t>
      </w:r>
      <w:r>
        <w:rPr>
          <w:rFonts w:ascii="Times New Roman" w:cs="Times New Roman" w:eastAsia="Times New Roman" w:hAnsi="Times New Roman"/>
          <w:sz w:val="17"/>
          <w:szCs w:val="17"/>
          <w:color w:val="auto"/>
        </w:rPr>
        <w:t xml:space="preserve"> with which you will be required to comply at all times.</w:t>
      </w:r>
    </w:p>
    <w:p>
      <w:pPr>
        <w:spacing w:after="0" w:line="135" w:lineRule="exact"/>
        <w:rPr>
          <w:sz w:val="20"/>
          <w:szCs w:val="20"/>
          <w:color w:val="auto"/>
        </w:rPr>
      </w:pPr>
    </w:p>
    <w:p>
      <w:pPr>
        <w:ind w:left="544" w:right="2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Securities Trading Policy sets out the circumstances in which you will be allowed to deal in securities of the Company and the circumstances in which prior consent of the Approving Officer (as defined in the Securities Trading Policy) will be required in order to deal in the Company’s securities, but always subject to the insider trading provisions of the Corporations Act. A copy of the Securities Trading Policy will be provided to you under separate cover.</w:t>
      </w:r>
    </w:p>
    <w:p>
      <w:pPr>
        <w:spacing w:after="0" w:line="81" w:lineRule="exact"/>
        <w:rPr>
          <w:sz w:val="20"/>
          <w:szCs w:val="20"/>
          <w:color w:val="auto"/>
        </w:rPr>
      </w:pPr>
    </w:p>
    <w:p>
      <w:pPr>
        <w:ind w:left="544" w:hanging="544"/>
        <w:spacing w:after="0"/>
        <w:tabs>
          <w:tab w:leader="none" w:pos="544"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Independent advice</w:t>
      </w:r>
    </w:p>
    <w:p>
      <w:pPr>
        <w:spacing w:after="0" w:line="121" w:lineRule="exact"/>
        <w:rPr>
          <w:rFonts w:ascii="Times New Roman" w:cs="Times New Roman" w:eastAsia="Times New Roman" w:hAnsi="Times New Roman"/>
          <w:sz w:val="18"/>
          <w:szCs w:val="18"/>
          <w:b w:val="1"/>
          <w:bCs w:val="1"/>
          <w:color w:val="auto"/>
        </w:rPr>
      </w:pPr>
    </w:p>
    <w:p>
      <w:pPr>
        <w:jc w:val="both"/>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Occasions may arise where you consider that you need professional advice in the furtherance of your duties as a director and it is understood that it may be appropriate for you to seek advice from independent advisers at the Company’s expense. You will comply with relevant Board policies when doing so.</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Constitution and policies</w:t>
      </w:r>
    </w:p>
    <w:p>
      <w:pPr>
        <w:spacing w:after="0" w:line="135"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10.1</w:t>
        <w:tab/>
        <w:t>The Company has developed a Constitution and a range of policies which govern the conduct of Directors and employees. You will be expected to familiarise yourself and comply with them.</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Confidentiality</w:t>
      </w:r>
    </w:p>
    <w:p>
      <w:pPr>
        <w:spacing w:after="0" w:line="135" w:lineRule="exact"/>
        <w:rPr>
          <w:sz w:val="20"/>
          <w:szCs w:val="20"/>
          <w:color w:val="auto"/>
        </w:rPr>
      </w:pPr>
    </w:p>
    <w:p>
      <w:pPr>
        <w:ind w:left="544" w:right="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11.1</w:t>
        <w:tab/>
        <w:t>You must keep confidential Board discussions, deliberations and decisions that have not been publicly disclosed by the Company. Confidential information received by you in the course of directorial duties remains the property of the Company and it is improper to disclose it (or allow it to be disclosed) either during your appointment or following cessation of your appointment, unless that disclosure has been properly authorised, or is required by law. In addition, some information made available to the Board may be subject to confidentiality undertakings in favour of third persons and use of that information in breach of the undertaking could expose both the Company (generally) and yourself (personally) to liability.</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Termination of appointment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Your appointment will be terminated immediately where:</w:t>
      </w:r>
    </w:p>
    <w:p>
      <w:pPr>
        <w:spacing w:after="0" w:line="131" w:lineRule="exact"/>
        <w:rPr>
          <w:sz w:val="20"/>
          <w:szCs w:val="20"/>
          <w:color w:val="auto"/>
        </w:rPr>
      </w:pPr>
    </w:p>
    <w:p>
      <w:pPr>
        <w:ind w:left="5104" w:right="3840" w:hanging="4564"/>
        <w:spacing w:after="0" w:line="454" w:lineRule="auto"/>
        <w:tabs>
          <w:tab w:leader="none" w:pos="119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become disqualified from managing a corporation under the Corporations Act; Page 4 of 5</w:t>
      </w:r>
    </w:p>
    <w:p>
      <w:pPr>
        <w:sectPr>
          <w:pgSz w:w="11900" w:h="16838" w:orient="portrait"/>
          <w:cols w:equalWidth="0" w:num="1">
            <w:col w:w="11004"/>
          </w:cols>
          <w:pgMar w:left="436" w:top="270" w:right="459" w:bottom="1440" w:gutter="0" w:footer="0" w:header="0"/>
        </w:sectPr>
      </w:pPr>
    </w:p>
    <w:bookmarkStart w:id="366" w:name="page367"/>
    <w:bookmarkEnd w:id="366"/>
    <w:p>
      <w:pPr>
        <w:ind w:left="1180" w:hanging="644"/>
        <w:spacing w:after="0"/>
        <w:tabs>
          <w:tab w:leader="none" w:pos="11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are removed as a director in accordance with the Corporations Act;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re-elected to the Board by shareholders at a general meeting.</w:t>
      </w:r>
    </w:p>
    <w:p>
      <w:pPr>
        <w:spacing w:after="0" w:line="131" w:lineRule="exact"/>
        <w:rPr>
          <w:sz w:val="20"/>
          <w:szCs w:val="20"/>
          <w:color w:val="auto"/>
        </w:rPr>
      </w:pPr>
    </w:p>
    <w:p>
      <w:pPr>
        <w:jc w:val="both"/>
        <w:ind w:left="540" w:right="1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12.2</w:t>
        <w:tab/>
        <w:t>You may resign from the office of non-executive director by notice in writing to the Company. If you intend to either resign on a specified date or not seek re-election to office, please give the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one month’s prior written notice of your intentions so that the Board can revise its plan for the succession of skills and experience on the Board.</w:t>
      </w:r>
    </w:p>
    <w:p>
      <w:pPr>
        <w:spacing w:after="0" w:line="81" w:lineRule="exact"/>
        <w:rPr>
          <w:sz w:val="20"/>
          <w:szCs w:val="20"/>
          <w:color w:val="auto"/>
        </w:rPr>
      </w:pPr>
    </w:p>
    <w:p>
      <w:pPr>
        <w:jc w:val="both"/>
        <w:ind w:left="540" w:right="1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12.3</w:t>
        <w:tab/>
        <w:t>No such removal or cessation in accordance with this clause 12 will give you any rights to compensation or damages and no fee will be payable to you for any period after such removal or cessation.</w:t>
      </w:r>
    </w:p>
    <w:p>
      <w:pPr>
        <w:spacing w:after="0" w:line="67"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12.4</w:t>
        <w:tab/>
        <w:t>The Company may set off any amounts that you owe the Group against any amounts that the Group owes to you as a non-executive director at the date of termination, except for amounts that the Group is not entitled by law to set off.</w:t>
      </w:r>
    </w:p>
    <w:p>
      <w:pPr>
        <w:spacing w:after="0" w:line="67"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12.5</w:t>
        <w:tab/>
        <w:t>Upon termination of your appointment, you must return all of the Group’s property (including property leased by the Group) to the Company on termination, including all written or machine readable material, software, computers, credit cards, keys and vehicles.</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You must not record or retain any confidential information in any form after termination.</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12.7</w:t>
        <w:tab/>
        <w:t>If, on termination of your appointment under this letter, you hold any other office in the Group, you must immediately resign from that office and you must execute a resignation letter in a form required by the Board.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This letter may be altered only in writing signed by each party.</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Any provision by its nature intended to survive termination of this letter survives termination of this letter.</w:t>
      </w:r>
    </w:p>
    <w:p>
      <w:pPr>
        <w:spacing w:after="0" w:line="131" w:lineRule="exact"/>
        <w:rPr>
          <w:sz w:val="20"/>
          <w:szCs w:val="20"/>
          <w:color w:val="auto"/>
        </w:rPr>
      </w:pPr>
    </w:p>
    <w:p>
      <w:pPr>
        <w:ind w:left="540" w:right="3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13.3</w:t>
        <w:tab/>
        <w:t>This letter is governed by the law applicable in the Australian State of Victoria. You irrevocably and unconditionally submit to the exclusive jurisdiction of the courts of Victoria.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Opthea Limited</w:t>
      </w:r>
    </w:p>
    <w:p>
      <w:pPr>
        <w:sectPr>
          <w:pgSz w:w="11900" w:h="16838" w:orient="portrait"/>
          <w:cols w:equalWidth="0" w:num="1">
            <w:col w:w="11000"/>
          </w:cols>
          <w:pgMar w:left="440" w:top="270" w:right="4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letter.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accept and confirm my appointment as a non-executive director of Opthea Limited on the terms and conditions of appointment as set out in</w:t>
      </w:r>
    </w:p>
    <w:p>
      <w:pPr>
        <w:spacing w:after="0" w:line="434" w:lineRule="exact"/>
        <w:rPr>
          <w:sz w:val="20"/>
          <w:szCs w:val="20"/>
          <w:color w:val="auto"/>
        </w:rPr>
      </w:pPr>
    </w:p>
    <w:p>
      <w:pPr>
        <w:sectPr>
          <w:pgSz w:w="11900" w:h="16838" w:orient="portrait"/>
          <w:cols w:equalWidth="0" w:num="2">
            <w:col w:w="700" w:space="160"/>
            <w:col w:w="10140"/>
          </w:cols>
          <w:pgMar w:left="440" w:top="270" w:right="45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have read and understood and agree to abide by those terms and conditions of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279463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5</w:t>
      </w:r>
    </w:p>
    <w:p>
      <w:pPr>
        <w:sectPr>
          <w:pgSz w:w="11900" w:h="16838" w:orient="portrait"/>
          <w:cols w:equalWidth="0" w:num="1">
            <w:col w:w="11000"/>
          </w:cols>
          <w:pgMar w:left="440" w:top="270" w:right="459" w:bottom="1440" w:gutter="0" w:footer="0" w:header="0"/>
          <w:type w:val="continuous"/>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We consent to the use in this Amendment No. 1 to the Registration Statement on Form F-1 (File No. 333-249020) of our report dated September 1, 2020 relating to the financial statements of Opthea Limited. We also consent to the reference to us under the heading “Experts” in such Registration Statement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Perth, Australia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2020</w:t>
      </w:r>
    </w:p>
    <w:p>
      <w:pPr>
        <w:sectPr>
          <w:pgSz w:w="11900" w:h="16838" w:orient="portrait"/>
          <w:cols w:equalWidth="0" w:num="1">
            <w:col w:w="11020"/>
          </w:cols>
          <w:pgMar w:left="440" w:top="117" w:right="43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Director Nominee</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Opthea Limited is filing a Registration Statement on Form F-1 (File No. 333-249020) with the Securities and Exchange Commission under the Securities Act of 1933, as amended (the “Securities Act”), in connection with the initial public offering of American Depositary Shares representing its ordinary shares. In connection therewith, I hereby consent, pursuant to Rule 438 under the Securities Act, to being named as a nominee to the board of directors of Opthea Limited in the Registration Statement, as may be amended from time to time. I also consent to the filing of this consent as an exhibit to such Registration Statement and any amendments thereto.</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Jeremy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Jeremy Levin, D.Phil, MB BChir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October 9,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413BEC"/>
    <w:multiLevelType w:val="hybridMultilevel"/>
    <w:lvl w:ilvl="0">
      <w:lvlJc w:val="left"/>
      <w:lvlText w:val="(%1)"/>
      <w:numFmt w:val="decimal"/>
      <w:start w:val="1"/>
    </w:lvl>
  </w:abstractNum>
  <w:abstractNum w:abstractNumId="1">
    <w:nsid w:val="17180B0B"/>
    <w:multiLevelType w:val="hybridMultilevel"/>
    <w:lvl w:ilvl="0">
      <w:lvlJc w:val="left"/>
      <w:lvlText w:val="†"/>
      <w:numFmt w:val="bullet"/>
      <w:start w:val="1"/>
    </w:lvl>
  </w:abstractNum>
  <w:abstractNum w:abstractNumId="2">
    <w:nsid w:val="579328B9"/>
    <w:multiLevelType w:val="hybridMultilevel"/>
    <w:lvl w:ilvl="0">
      <w:lvlJc w:val="left"/>
      <w:lvlText w:val="$"/>
      <w:numFmt w:val="bullet"/>
      <w:start w:val="1"/>
    </w:lvl>
  </w:abstractNum>
  <w:abstractNum w:abstractNumId="3">
    <w:nsid w:val="5D205E20"/>
    <w:multiLevelType w:val="hybridMultilevel"/>
    <w:lvl w:ilvl="0">
      <w:lvlJc w:val="left"/>
      <w:lvlText w:val="(%1)"/>
      <w:numFmt w:val="decimal"/>
      <w:start w:val="1"/>
    </w:lvl>
  </w:abstractNum>
  <w:abstractNum w:abstractNumId="4">
    <w:nsid w:val="11CCA8BA"/>
    <w:multiLevelType w:val="hybridMultilevel"/>
    <w:lvl w:ilvl="0">
      <w:lvlJc w:val="left"/>
      <w:lvlText w:val="•"/>
      <w:numFmt w:val="bullet"/>
      <w:start w:val="1"/>
    </w:lvl>
  </w:abstractNum>
  <w:abstractNum w:abstractNumId="5">
    <w:nsid w:val="4D32AB86"/>
    <w:multiLevelType w:val="hybridMultilevel"/>
    <w:lvl w:ilvl="0">
      <w:lvlJc w:val="left"/>
      <w:lvlText w:val="•"/>
      <w:numFmt w:val="bullet"/>
      <w:start w:val="1"/>
    </w:lvl>
  </w:abstractNum>
  <w:abstractNum w:abstractNumId="6">
    <w:nsid w:val="3F07ACC3"/>
    <w:multiLevelType w:val="hybridMultilevel"/>
    <w:lvl w:ilvl="0">
      <w:lvlJc w:val="left"/>
      <w:lvlText w:val="•"/>
      <w:numFmt w:val="bullet"/>
      <w:start w:val="1"/>
    </w:lvl>
  </w:abstractNum>
  <w:abstractNum w:abstractNumId="7">
    <w:nsid w:val="6B47F63E"/>
    <w:multiLevelType w:val="hybridMultilevel"/>
    <w:lvl w:ilvl="0">
      <w:lvlJc w:val="left"/>
      <w:lvlText w:val="•"/>
      <w:numFmt w:val="bullet"/>
      <w:start w:val="1"/>
    </w:lvl>
  </w:abstractNum>
  <w:abstractNum w:abstractNumId="8">
    <w:nsid w:val="5CB44A05"/>
    <w:multiLevelType w:val="hybridMultilevel"/>
    <w:lvl w:ilvl="0">
      <w:lvlJc w:val="left"/>
      <w:lvlText w:val="(%1)"/>
      <w:numFmt w:val="lowerRoman"/>
      <w:start w:val="2"/>
    </w:lvl>
  </w:abstractNum>
  <w:abstractNum w:abstractNumId="9">
    <w:nsid w:val="16CF80F1"/>
    <w:multiLevelType w:val="hybridMultilevel"/>
    <w:lvl w:ilvl="0">
      <w:lvlJc w:val="left"/>
      <w:lvlText w:val="(%1)"/>
      <w:numFmt w:val="lowerRoman"/>
      <w:start w:val="1"/>
    </w:lvl>
  </w:abstractNum>
  <w:abstractNum w:abstractNumId="10">
    <w:nsid w:val="1C695DEC"/>
    <w:multiLevelType w:val="hybridMultilevel"/>
    <w:lvl w:ilvl="0">
      <w:lvlJc w:val="left"/>
      <w:lvlText w:val="•"/>
      <w:numFmt w:val="bullet"/>
      <w:start w:val="1"/>
    </w:lvl>
  </w:abstractNum>
  <w:abstractNum w:abstractNumId="11">
    <w:nsid w:val="3FCFAED9"/>
    <w:multiLevelType w:val="hybridMultilevel"/>
    <w:lvl w:ilvl="0">
      <w:lvlJc w:val="left"/>
      <w:lvlText w:val="(%1)"/>
      <w:numFmt w:val="decimal"/>
      <w:start w:val="1"/>
    </w:lvl>
  </w:abstractNum>
  <w:abstractNum w:abstractNumId="12">
    <w:nsid w:val="F856867"/>
    <w:multiLevelType w:val="hybridMultilevel"/>
    <w:lvl w:ilvl="0">
      <w:lvlJc w:val="left"/>
      <w:lvlText w:val="(%1)"/>
      <w:numFmt w:val="decimal"/>
      <w:start w:val="1"/>
    </w:lvl>
  </w:abstractNum>
  <w:abstractNum w:abstractNumId="13">
    <w:nsid w:val="11B1CC33"/>
    <w:multiLevelType w:val="hybridMultilevel"/>
    <w:lvl w:ilvl="0">
      <w:lvlJc w:val="left"/>
      <w:lvlText w:val="•"/>
      <w:numFmt w:val="bullet"/>
      <w:start w:val="1"/>
    </w:lvl>
  </w:abstractNum>
  <w:abstractNum w:abstractNumId="14">
    <w:nsid w:val="2E22FBB7"/>
    <w:multiLevelType w:val="hybridMultilevel"/>
    <w:lvl w:ilvl="0">
      <w:lvlJc w:val="left"/>
      <w:lvlText w:val="•"/>
      <w:numFmt w:val="bullet"/>
      <w:start w:val="1"/>
    </w:lvl>
  </w:abstractNum>
  <w:abstractNum w:abstractNumId="15">
    <w:nsid w:val="29934699"/>
    <w:multiLevelType w:val="hybridMultilevel"/>
    <w:lvl w:ilvl="0">
      <w:lvlJc w:val="left"/>
      <w:lvlText w:val="•"/>
      <w:numFmt w:val="bullet"/>
      <w:start w:val="1"/>
    </w:lvl>
  </w:abstractNum>
  <w:abstractNum w:abstractNumId="16">
    <w:nsid w:val="77485850"/>
    <w:multiLevelType w:val="hybridMultilevel"/>
    <w:lvl w:ilvl="0">
      <w:lvlJc w:val="left"/>
      <w:lvlText w:val="•"/>
      <w:numFmt w:val="bullet"/>
      <w:start w:val="1"/>
    </w:lvl>
  </w:abstractNum>
  <w:abstractNum w:abstractNumId="17">
    <w:nsid w:val="744939A3"/>
    <w:multiLevelType w:val="hybridMultilevel"/>
    <w:lvl w:ilvl="0">
      <w:lvlJc w:val="left"/>
      <w:lvlText w:val="•"/>
      <w:numFmt w:val="bullet"/>
      <w:start w:val="1"/>
    </w:lvl>
  </w:abstractNum>
  <w:abstractNum w:abstractNumId="18">
    <w:nsid w:val="4FA0D2E3"/>
    <w:multiLevelType w:val="hybridMultilevel"/>
    <w:lvl w:ilvl="0">
      <w:lvlJc w:val="left"/>
      <w:lvlText w:val="•"/>
      <w:numFmt w:val="bullet"/>
      <w:start w:val="1"/>
    </w:lvl>
  </w:abstractNum>
  <w:abstractNum w:abstractNumId="19">
    <w:nsid w:val="6B1D2C14"/>
    <w:multiLevelType w:val="hybridMultilevel"/>
    <w:lvl w:ilvl="0">
      <w:lvlJc w:val="left"/>
      <w:lvlText w:val="•"/>
      <w:numFmt w:val="bullet"/>
      <w:start w:val="1"/>
    </w:lvl>
  </w:abstractNum>
  <w:abstractNum w:abstractNumId="20">
    <w:nsid w:val="68B867D3"/>
    <w:multiLevelType w:val="hybridMultilevel"/>
    <w:lvl w:ilvl="0">
      <w:lvlJc w:val="left"/>
      <w:lvlText w:val="•"/>
      <w:numFmt w:val="bullet"/>
      <w:start w:val="1"/>
    </w:lvl>
  </w:abstractNum>
  <w:abstractNum w:abstractNumId="21">
    <w:nsid w:val="3F7F5DD9"/>
    <w:multiLevelType w:val="hybridMultilevel"/>
    <w:lvl w:ilvl="0">
      <w:lvlJc w:val="left"/>
      <w:lvlText w:val="•"/>
      <w:numFmt w:val="bullet"/>
      <w:start w:val="1"/>
    </w:lvl>
  </w:abstractNum>
  <w:abstractNum w:abstractNumId="22">
    <w:nsid w:val="2AE05A34"/>
    <w:multiLevelType w:val="hybridMultilevel"/>
    <w:lvl w:ilvl="0">
      <w:lvlJc w:val="left"/>
      <w:lvlText w:val="•"/>
      <w:numFmt w:val="bullet"/>
      <w:start w:val="1"/>
    </w:lvl>
  </w:abstractNum>
  <w:abstractNum w:abstractNumId="23">
    <w:nsid w:val="32794FF7"/>
    <w:multiLevelType w:val="hybridMultilevel"/>
    <w:lvl w:ilvl="0">
      <w:lvlJc w:val="left"/>
      <w:lvlText w:val="•"/>
      <w:numFmt w:val="bullet"/>
      <w:start w:val="1"/>
    </w:lvl>
  </w:abstractNum>
  <w:abstractNum w:abstractNumId="24">
    <w:nsid w:val="5454945E"/>
    <w:multiLevelType w:val="hybridMultilevel"/>
    <w:lvl w:ilvl="0">
      <w:lvlJc w:val="left"/>
      <w:lvlText w:val="•"/>
      <w:numFmt w:val="bullet"/>
      <w:start w:val="1"/>
    </w:lvl>
  </w:abstractNum>
  <w:abstractNum w:abstractNumId="25">
    <w:nsid w:val="4DEFDFA0"/>
    <w:multiLevelType w:val="hybridMultilevel"/>
    <w:lvl w:ilvl="0">
      <w:lvlJc w:val="left"/>
      <w:lvlText w:val="(%1)"/>
      <w:numFmt w:val="decimal"/>
      <w:start w:val="9"/>
    </w:lvl>
  </w:abstractNum>
  <w:abstractNum w:abstractNumId="26">
    <w:nsid w:val="2123D5F2"/>
    <w:multiLevelType w:val="hybridMultilevel"/>
    <w:lvl w:ilvl="0">
      <w:lvlJc w:val="left"/>
      <w:lvlText w:val="•"/>
      <w:numFmt w:val="bullet"/>
      <w:start w:val="1"/>
    </w:lvl>
  </w:abstractNum>
  <w:abstractNum w:abstractNumId="27">
    <w:nsid w:val="135B8110"/>
    <w:multiLevelType w:val="hybridMultilevel"/>
    <w:lvl w:ilvl="0">
      <w:lvlJc w:val="left"/>
      <w:lvlText w:val="•"/>
      <w:numFmt w:val="bullet"/>
      <w:start w:val="1"/>
    </w:lvl>
  </w:abstractNum>
  <w:abstractNum w:abstractNumId="28">
    <w:nsid w:val="94927A8"/>
    <w:multiLevelType w:val="hybridMultilevel"/>
    <w:lvl w:ilvl="0">
      <w:lvlJc w:val="left"/>
      <w:lvlText w:val="•"/>
      <w:numFmt w:val="bullet"/>
      <w:start w:val="1"/>
    </w:lvl>
  </w:abstractNum>
  <w:abstractNum w:abstractNumId="29">
    <w:nsid w:val="DCDF8F6"/>
    <w:multiLevelType w:val="hybridMultilevel"/>
    <w:lvl w:ilvl="0">
      <w:lvlJc w:val="left"/>
      <w:lvlText w:val="•"/>
      <w:numFmt w:val="bullet"/>
      <w:start w:val="1"/>
    </w:lvl>
  </w:abstractNum>
  <w:abstractNum w:abstractNumId="30">
    <w:nsid w:val="52D7B105"/>
    <w:multiLevelType w:val="hybridMultilevel"/>
    <w:lvl w:ilvl="0">
      <w:lvlJc w:val="left"/>
      <w:lvlText w:val="•"/>
      <w:numFmt w:val="bullet"/>
      <w:start w:val="1"/>
    </w:lvl>
  </w:abstractNum>
  <w:abstractNum w:abstractNumId="31">
    <w:nsid w:val="2E8A6394"/>
    <w:multiLevelType w:val="hybridMultilevel"/>
    <w:lvl w:ilvl="0">
      <w:lvlJc w:val="left"/>
      <w:lvlText w:val="•"/>
      <w:numFmt w:val="bullet"/>
      <w:start w:val="1"/>
    </w:lvl>
  </w:abstractNum>
  <w:abstractNum w:abstractNumId="32">
    <w:nsid w:val="24E60401"/>
    <w:multiLevelType w:val="hybridMultilevel"/>
    <w:lvl w:ilvl="0">
      <w:lvlJc w:val="left"/>
      <w:lvlText w:val="•"/>
      <w:numFmt w:val="bullet"/>
      <w:start w:val="1"/>
    </w:lvl>
  </w:abstractNum>
  <w:abstractNum w:abstractNumId="33">
    <w:nsid w:val="2A6AD9BE"/>
    <w:multiLevelType w:val="hybridMultilevel"/>
    <w:lvl w:ilvl="0">
      <w:lvlJc w:val="left"/>
      <w:lvlText w:val="•"/>
      <w:numFmt w:val="bullet"/>
      <w:start w:val="1"/>
    </w:lvl>
  </w:abstractNum>
  <w:abstractNum w:abstractNumId="34">
    <w:nsid w:val="BAAC1B4"/>
    <w:multiLevelType w:val="hybridMultilevel"/>
    <w:lvl w:ilvl="0">
      <w:lvlJc w:val="left"/>
      <w:lvlText w:val="•"/>
      <w:numFmt w:val="bullet"/>
      <w:start w:val="1"/>
    </w:lvl>
  </w:abstractNum>
  <w:abstractNum w:abstractNumId="35">
    <w:nsid w:val="36B2ACBC"/>
    <w:multiLevelType w:val="hybridMultilevel"/>
    <w:lvl w:ilvl="0">
      <w:lvlJc w:val="left"/>
      <w:lvlText w:val="•"/>
      <w:numFmt w:val="bullet"/>
      <w:start w:val="1"/>
    </w:lvl>
  </w:abstractNum>
  <w:abstractNum w:abstractNumId="36">
    <w:nsid w:val="779D8544"/>
    <w:multiLevelType w:val="hybridMultilevel"/>
    <w:lvl w:ilvl="0">
      <w:lvlJc w:val="left"/>
      <w:lvlText w:val="•"/>
      <w:numFmt w:val="bullet"/>
      <w:start w:val="1"/>
    </w:lvl>
  </w:abstractNum>
  <w:abstractNum w:abstractNumId="37">
    <w:nsid w:val="4AB26E78"/>
    <w:multiLevelType w:val="hybridMultilevel"/>
    <w:lvl w:ilvl="0">
      <w:lvlJc w:val="left"/>
      <w:lvlText w:val="•"/>
      <w:numFmt w:val="bullet"/>
      <w:start w:val="1"/>
    </w:lvl>
  </w:abstractNum>
  <w:abstractNum w:abstractNumId="38">
    <w:nsid w:val="21FAA2FA"/>
    <w:multiLevelType w:val="hybridMultilevel"/>
    <w:lvl w:ilvl="0">
      <w:lvlJc w:val="left"/>
      <w:lvlText w:val="•"/>
      <w:numFmt w:val="bullet"/>
      <w:start w:val="1"/>
    </w:lvl>
  </w:abstractNum>
  <w:abstractNum w:abstractNumId="39">
    <w:nsid w:val="5451CF49"/>
    <w:multiLevelType w:val="hybridMultilevel"/>
    <w:lvl w:ilvl="0">
      <w:lvlJc w:val="left"/>
      <w:lvlText w:val="•"/>
      <w:numFmt w:val="bullet"/>
      <w:start w:val="1"/>
    </w:lvl>
  </w:abstractNum>
  <w:abstractNum w:abstractNumId="40">
    <w:nsid w:val="6181EF69"/>
    <w:multiLevelType w:val="hybridMultilevel"/>
    <w:lvl w:ilvl="0">
      <w:lvlJc w:val="left"/>
      <w:lvlText w:val="•"/>
      <w:numFmt w:val="bullet"/>
      <w:start w:val="1"/>
    </w:lvl>
  </w:abstractNum>
  <w:abstractNum w:abstractNumId="41">
    <w:nsid w:val="3E6400E6"/>
    <w:multiLevelType w:val="hybridMultilevel"/>
    <w:lvl w:ilvl="0">
      <w:lvlJc w:val="left"/>
      <w:lvlText w:val="•"/>
      <w:numFmt w:val="bullet"/>
      <w:start w:val="1"/>
    </w:lvl>
  </w:abstractNum>
  <w:abstractNum w:abstractNumId="42">
    <w:nsid w:val="14217E23"/>
    <w:multiLevelType w:val="hybridMultilevel"/>
    <w:lvl w:ilvl="0">
      <w:lvlJc w:val="left"/>
      <w:lvlText w:val="•"/>
      <w:numFmt w:val="bullet"/>
      <w:start w:val="1"/>
    </w:lvl>
  </w:abstractNum>
  <w:abstractNum w:abstractNumId="43">
    <w:nsid w:val="710757D0"/>
    <w:multiLevelType w:val="hybridMultilevel"/>
    <w:lvl w:ilvl="0">
      <w:lvlJc w:val="left"/>
      <w:lvlText w:val="(%1)"/>
      <w:numFmt w:val="decimal"/>
      <w:start w:val="1"/>
    </w:lvl>
  </w:abstractNum>
  <w:abstractNum w:abstractNumId="44">
    <w:nsid w:val="5015CD1A"/>
    <w:multiLevelType w:val="hybridMultilevel"/>
    <w:lvl w:ilvl="0">
      <w:lvlJc w:val="left"/>
      <w:lvlText w:val="•"/>
      <w:numFmt w:val="bullet"/>
      <w:start w:val="1"/>
    </w:lvl>
  </w:abstractNum>
  <w:abstractNum w:abstractNumId="45">
    <w:nsid w:val="424479DA"/>
    <w:multiLevelType w:val="hybridMultilevel"/>
    <w:lvl w:ilvl="0">
      <w:lvlJc w:val="left"/>
      <w:lvlText w:val="•"/>
      <w:numFmt w:val="bullet"/>
      <w:start w:val="1"/>
    </w:lvl>
  </w:abstractNum>
  <w:abstractNum w:abstractNumId="46">
    <w:nsid w:val="1A9A9E69"/>
    <w:multiLevelType w:val="hybridMultilevel"/>
    <w:lvl w:ilvl="0">
      <w:lvlJc w:val="left"/>
      <w:lvlText w:val="•"/>
      <w:numFmt w:val="bullet"/>
      <w:start w:val="1"/>
    </w:lvl>
  </w:abstractNum>
  <w:abstractNum w:abstractNumId="47">
    <w:nsid w:val="475E256A"/>
    <w:multiLevelType w:val="hybridMultilevel"/>
    <w:lvl w:ilvl="0">
      <w:lvlJc w:val="left"/>
      <w:lvlText w:val="(%1)"/>
      <w:numFmt w:val="decimal"/>
      <w:start w:val="1"/>
    </w:lvl>
  </w:abstractNum>
  <w:abstractNum w:abstractNumId="48">
    <w:nsid w:val="368DB37E"/>
    <w:multiLevelType w:val="hybridMultilevel"/>
    <w:lvl w:ilvl="0">
      <w:lvlJc w:val="left"/>
      <w:lvlText w:val="(%1)"/>
      <w:numFmt w:val="decimal"/>
      <w:start w:val="1"/>
    </w:lvl>
  </w:abstractNum>
  <w:abstractNum w:abstractNumId="49">
    <w:nsid w:val="6A3B714C"/>
    <w:multiLevelType w:val="hybridMultilevel"/>
    <w:lvl w:ilvl="0">
      <w:lvlJc w:val="left"/>
      <w:lvlText w:val="•"/>
      <w:numFmt w:val="bullet"/>
      <w:start w:val="1"/>
    </w:lvl>
  </w:abstractNum>
  <w:abstractNum w:abstractNumId="50">
    <w:nsid w:val="327B517E"/>
    <w:multiLevelType w:val="hybridMultilevel"/>
    <w:lvl w:ilvl="0">
      <w:lvlJc w:val="left"/>
      <w:lvlText w:val="•"/>
      <w:numFmt w:val="bullet"/>
      <w:start w:val="1"/>
    </w:lvl>
  </w:abstractNum>
  <w:abstractNum w:abstractNumId="51">
    <w:nsid w:val="1F461B51"/>
    <w:multiLevelType w:val="hybridMultilevel"/>
    <w:lvl w:ilvl="0">
      <w:lvlJc w:val="left"/>
      <w:lvlText w:val="(%1)"/>
      <w:numFmt w:val="decimal"/>
      <w:start w:val="1"/>
    </w:lvl>
  </w:abstractNum>
  <w:abstractNum w:abstractNumId="52">
    <w:nsid w:val="29BACF25"/>
    <w:multiLevelType w:val="hybridMultilevel"/>
    <w:lvl w:ilvl="0">
      <w:lvlJc w:val="left"/>
      <w:lvlText w:val="(%1)"/>
      <w:numFmt w:val="decimal"/>
      <w:start w:val="2"/>
    </w:lvl>
  </w:abstractNum>
  <w:abstractNum w:abstractNumId="53">
    <w:nsid w:val="5D5BABB3"/>
    <w:multiLevelType w:val="hybridMultilevel"/>
    <w:lvl w:ilvl="0">
      <w:lvlJc w:val="left"/>
      <w:lvlText w:val="•"/>
      <w:numFmt w:val="bullet"/>
      <w:start w:val="1"/>
    </w:lvl>
  </w:abstractNum>
  <w:abstractNum w:abstractNumId="54">
    <w:nsid w:val="51BF6B48"/>
    <w:multiLevelType w:val="hybridMultilevel"/>
    <w:lvl w:ilvl="0">
      <w:lvlJc w:val="left"/>
      <w:lvlText w:val="(%1)"/>
      <w:numFmt w:val="decimal"/>
      <w:start w:val="1"/>
    </w:lvl>
  </w:abstractNum>
  <w:abstractNum w:abstractNumId="55">
    <w:nsid w:val="7E0F6384"/>
    <w:multiLevelType w:val="hybridMultilevel"/>
    <w:lvl w:ilvl="0">
      <w:lvlJc w:val="left"/>
      <w:lvlText w:val="•"/>
      <w:numFmt w:val="bullet"/>
      <w:start w:val="1"/>
    </w:lvl>
  </w:abstractNum>
  <w:abstractNum w:abstractNumId="56">
    <w:nsid w:val="2B4B8B53"/>
    <w:multiLevelType w:val="hybridMultilevel"/>
    <w:lvl w:ilvl="0">
      <w:lvlJc w:val="left"/>
      <w:lvlText w:val="•"/>
      <w:numFmt w:val="bullet"/>
      <w:start w:val="1"/>
    </w:lvl>
  </w:abstractNum>
  <w:abstractNum w:abstractNumId="57">
    <w:nsid w:val="72E3413A"/>
    <w:multiLevelType w:val="hybridMultilevel"/>
    <w:lvl w:ilvl="0">
      <w:lvlJc w:val="left"/>
      <w:lvlText w:val="•"/>
      <w:numFmt w:val="bullet"/>
      <w:start w:val="1"/>
    </w:lvl>
  </w:abstractNum>
  <w:abstractNum w:abstractNumId="58">
    <w:nsid w:val="116AE494"/>
    <w:multiLevelType w:val="hybridMultilevel"/>
    <w:lvl w:ilvl="0">
      <w:lvlJc w:val="left"/>
      <w:lvlText w:val="•"/>
      <w:numFmt w:val="bullet"/>
      <w:start w:val="1"/>
    </w:lvl>
  </w:abstractNum>
  <w:abstractNum w:abstractNumId="59">
    <w:nsid w:val="3494B2FB"/>
    <w:multiLevelType w:val="hybridMultilevel"/>
    <w:lvl w:ilvl="0">
      <w:lvlJc w:val="left"/>
      <w:lvlText w:val="•"/>
      <w:numFmt w:val="bullet"/>
      <w:start w:val="1"/>
    </w:lvl>
  </w:abstractNum>
  <w:abstractNum w:abstractNumId="60">
    <w:nsid w:val="B13A31"/>
    <w:multiLevelType w:val="hybridMultilevel"/>
    <w:lvl w:ilvl="0">
      <w:lvlJc w:val="left"/>
      <w:lvlText w:val="•"/>
      <w:numFmt w:val="bullet"/>
      <w:start w:val="1"/>
    </w:lvl>
  </w:abstractNum>
  <w:abstractNum w:abstractNumId="61">
    <w:nsid w:val="64429599"/>
    <w:multiLevelType w:val="hybridMultilevel"/>
    <w:lvl w:ilvl="0">
      <w:lvlJc w:val="left"/>
      <w:lvlText w:val="•"/>
      <w:numFmt w:val="bullet"/>
      <w:start w:val="1"/>
    </w:lvl>
  </w:abstractNum>
  <w:abstractNum w:abstractNumId="62">
    <w:nsid w:val="631F1690"/>
    <w:multiLevelType w:val="hybridMultilevel"/>
    <w:lvl w:ilvl="0">
      <w:lvlJc w:val="left"/>
      <w:lvlText w:val="•"/>
      <w:numFmt w:val="bullet"/>
      <w:start w:val="1"/>
    </w:lvl>
  </w:abstractNum>
  <w:abstractNum w:abstractNumId="63">
    <w:nsid w:val="25973E32"/>
    <w:multiLevelType w:val="hybridMultilevel"/>
    <w:lvl w:ilvl="0">
      <w:lvlJc w:val="left"/>
      <w:lvlText w:val="•"/>
      <w:numFmt w:val="bullet"/>
      <w:start w:val="1"/>
    </w:lvl>
  </w:abstractNum>
  <w:abstractNum w:abstractNumId="64">
    <w:nsid w:val="EAD6F57"/>
    <w:multiLevelType w:val="hybridMultilevel"/>
    <w:lvl w:ilvl="0">
      <w:lvlJc w:val="left"/>
      <w:lvlText w:val="*"/>
      <w:numFmt w:val="bullet"/>
      <w:start w:val="1"/>
    </w:lvl>
  </w:abstractNum>
  <w:abstractNum w:abstractNumId="65">
    <w:nsid w:val="6EC9D844"/>
    <w:multiLevelType w:val="hybridMultilevel"/>
    <w:lvl w:ilvl="0">
      <w:lvlJc w:val="left"/>
      <w:lvlText w:val="%1."/>
      <w:numFmt w:val="decimal"/>
      <w:start w:val="75"/>
    </w:lvl>
  </w:abstractNum>
  <w:abstractNum w:abstractNumId="66">
    <w:nsid w:val="5C49EAEE"/>
    <w:multiLevelType w:val="hybridMultilevel"/>
    <w:lvl w:ilvl="0">
      <w:lvlJc w:val="left"/>
      <w:lvlText w:val="*"/>
      <w:numFmt w:val="bullet"/>
      <w:start w:val="1"/>
    </w:lvl>
  </w:abstractNum>
  <w:abstractNum w:abstractNumId="67">
    <w:nsid w:val="64AF49B"/>
    <w:multiLevelType w:val="hybridMultilevel"/>
    <w:lvl w:ilvl="0">
      <w:lvlJc w:val="left"/>
      <w:lvlText w:val="•"/>
      <w:numFmt w:val="bullet"/>
      <w:start w:val="1"/>
    </w:lvl>
  </w:abstractNum>
  <w:abstractNum w:abstractNumId="68">
    <w:nsid w:val="397C46BC"/>
    <w:multiLevelType w:val="hybridMultilevel"/>
    <w:lvl w:ilvl="0">
      <w:lvlJc w:val="left"/>
      <w:lvlText w:val="•"/>
      <w:numFmt w:val="bullet"/>
      <w:start w:val="1"/>
    </w:lvl>
  </w:abstractNum>
  <w:abstractNum w:abstractNumId="69">
    <w:nsid w:val="7E448DE9"/>
    <w:multiLevelType w:val="hybridMultilevel"/>
    <w:lvl w:ilvl="0">
      <w:lvlJc w:val="left"/>
      <w:lvlText w:val="•"/>
      <w:numFmt w:val="bullet"/>
      <w:start w:val="1"/>
    </w:lvl>
  </w:abstractNum>
  <w:abstractNum w:abstractNumId="70">
    <w:nsid w:val="5A9CC3E5"/>
    <w:multiLevelType w:val="hybridMultilevel"/>
    <w:lvl w:ilvl="0">
      <w:lvlJc w:val="left"/>
      <w:lvlText w:val="•"/>
      <w:numFmt w:val="bullet"/>
      <w:start w:val="1"/>
    </w:lvl>
  </w:abstractNum>
  <w:abstractNum w:abstractNumId="71">
    <w:nsid w:val="1AFE3625"/>
    <w:multiLevelType w:val="hybridMultilevel"/>
    <w:lvl w:ilvl="0">
      <w:lvlJc w:val="left"/>
      <w:lvlText w:val="•"/>
      <w:numFmt w:val="bullet"/>
      <w:start w:val="1"/>
    </w:lvl>
  </w:abstractNum>
  <w:abstractNum w:abstractNumId="72">
    <w:nsid w:val="3CA88ECF"/>
    <w:multiLevelType w:val="hybridMultilevel"/>
    <w:lvl w:ilvl="0">
      <w:lvlJc w:val="left"/>
      <w:lvlText w:val="•"/>
      <w:numFmt w:val="bullet"/>
      <w:start w:val="1"/>
    </w:lvl>
  </w:abstractNum>
  <w:abstractNum w:abstractNumId="73">
    <w:nsid w:val="6EBE4208"/>
    <w:multiLevelType w:val="hybridMultilevel"/>
    <w:lvl w:ilvl="0">
      <w:lvlJc w:val="left"/>
      <w:lvlText w:val="•"/>
      <w:numFmt w:val="bullet"/>
      <w:start w:val="1"/>
    </w:lvl>
  </w:abstractNum>
  <w:abstractNum w:abstractNumId="74">
    <w:nsid w:val="C058DF5"/>
    <w:multiLevelType w:val="hybridMultilevel"/>
    <w:lvl w:ilvl="0">
      <w:lvlJc w:val="left"/>
      <w:lvlText w:val="•"/>
      <w:numFmt w:val="bullet"/>
      <w:start w:val="1"/>
    </w:lvl>
  </w:abstractNum>
  <w:abstractNum w:abstractNumId="75">
    <w:nsid w:val="CBE5BE9"/>
    <w:multiLevelType w:val="hybridMultilevel"/>
    <w:lvl w:ilvl="0">
      <w:lvlJc w:val="left"/>
      <w:lvlText w:val="•"/>
      <w:numFmt w:val="bullet"/>
      <w:start w:val="1"/>
    </w:lvl>
  </w:abstractNum>
  <w:abstractNum w:abstractNumId="76">
    <w:nsid w:val="3102BBE2"/>
    <w:multiLevelType w:val="hybridMultilevel"/>
    <w:lvl w:ilvl="0">
      <w:lvlJc w:val="left"/>
      <w:lvlText w:val="•"/>
      <w:numFmt w:val="bullet"/>
      <w:start w:val="1"/>
    </w:lvl>
  </w:abstractNum>
  <w:abstractNum w:abstractNumId="77">
    <w:nsid w:val="26A02C5E"/>
    <w:multiLevelType w:val="hybridMultilevel"/>
    <w:lvl w:ilvl="0">
      <w:lvlJc w:val="left"/>
      <w:lvlText w:val="(%1)"/>
      <w:numFmt w:val="decimal"/>
      <w:start w:val="1"/>
    </w:lvl>
  </w:abstractNum>
  <w:abstractNum w:abstractNumId="78">
    <w:nsid w:val="541C8153"/>
    <w:multiLevelType w:val="hybridMultilevel"/>
    <w:lvl w:ilvl="0">
      <w:lvlJc w:val="left"/>
      <w:lvlText w:val="•"/>
      <w:numFmt w:val="bullet"/>
      <w:start w:val="1"/>
    </w:lvl>
  </w:abstractNum>
  <w:abstractNum w:abstractNumId="79">
    <w:nsid w:val="67906F60"/>
    <w:multiLevelType w:val="hybridMultilevel"/>
    <w:lvl w:ilvl="0">
      <w:lvlJc w:val="left"/>
      <w:lvlText w:val="•"/>
      <w:numFmt w:val="bullet"/>
      <w:start w:val="1"/>
    </w:lvl>
  </w:abstractNum>
  <w:abstractNum w:abstractNumId="80">
    <w:nsid w:val="10DB9DAA"/>
    <w:multiLevelType w:val="hybridMultilevel"/>
    <w:lvl w:ilvl="0">
      <w:lvlJc w:val="left"/>
      <w:lvlText w:val="•"/>
      <w:numFmt w:val="bullet"/>
      <w:start w:val="1"/>
    </w:lvl>
  </w:abstractNum>
  <w:abstractNum w:abstractNumId="81">
    <w:nsid w:val="697D2D2"/>
    <w:multiLevelType w:val="hybridMultilevel"/>
    <w:lvl w:ilvl="0">
      <w:lvlJc w:val="left"/>
      <w:lvlText w:val="•"/>
      <w:numFmt w:val="bullet"/>
      <w:start w:val="1"/>
    </w:lvl>
  </w:abstractNum>
  <w:abstractNum w:abstractNumId="82">
    <w:nsid w:val="6D68AB2"/>
    <w:multiLevelType w:val="hybridMultilevel"/>
    <w:lvl w:ilvl="0">
      <w:lvlJc w:val="left"/>
      <w:lvlText w:val="•"/>
      <w:numFmt w:val="bullet"/>
      <w:start w:val="1"/>
    </w:lvl>
  </w:abstractNum>
  <w:abstractNum w:abstractNumId="83">
    <w:nsid w:val="3A966CD0"/>
    <w:multiLevelType w:val="hybridMultilevel"/>
    <w:lvl w:ilvl="0">
      <w:lvlJc w:val="left"/>
      <w:lvlText w:val="•"/>
      <w:numFmt w:val="bullet"/>
      <w:start w:val="1"/>
    </w:lvl>
  </w:abstractNum>
  <w:abstractNum w:abstractNumId="84">
    <w:nsid w:val="63F37E85"/>
    <w:multiLevelType w:val="hybridMultilevel"/>
    <w:lvl w:ilvl="0">
      <w:lvlJc w:val="left"/>
      <w:lvlText w:val="•"/>
      <w:numFmt w:val="bullet"/>
      <w:start w:val="1"/>
    </w:lvl>
  </w:abstractNum>
  <w:abstractNum w:abstractNumId="85">
    <w:nsid w:val="5895F5FA"/>
    <w:multiLevelType w:val="hybridMultilevel"/>
    <w:lvl w:ilvl="0">
      <w:lvlJc w:val="left"/>
      <w:lvlText w:val="(%1)"/>
      <w:numFmt w:val="decimal"/>
      <w:start w:val="1"/>
    </w:lvl>
  </w:abstractNum>
  <w:abstractNum w:abstractNumId="86">
    <w:nsid w:val="38A5D054"/>
    <w:multiLevelType w:val="hybridMultilevel"/>
    <w:lvl w:ilvl="0">
      <w:lvlJc w:val="left"/>
      <w:lvlText w:val="(%1)"/>
      <w:numFmt w:val="decimal"/>
      <w:start w:val="1"/>
    </w:lvl>
  </w:abstractNum>
  <w:abstractNum w:abstractNumId="87">
    <w:nsid w:val="F3F09D8"/>
    <w:multiLevelType w:val="hybridMultilevel"/>
    <w:lvl w:ilvl="0">
      <w:lvlJc w:val="left"/>
      <w:lvlText w:val="•"/>
      <w:numFmt w:val="bullet"/>
      <w:start w:val="1"/>
    </w:lvl>
  </w:abstractNum>
  <w:abstractNum w:abstractNumId="88">
    <w:nsid w:val="4B793735"/>
    <w:multiLevelType w:val="hybridMultilevel"/>
    <w:lvl w:ilvl="0">
      <w:lvlJc w:val="left"/>
      <w:lvlText w:val="*"/>
      <w:numFmt w:val="bullet"/>
      <w:start w:val="1"/>
    </w:lvl>
  </w:abstractNum>
  <w:abstractNum w:abstractNumId="89">
    <w:nsid w:val="4A10B4E8"/>
    <w:multiLevelType w:val="hybridMultilevel"/>
    <w:lvl w:ilvl="0">
      <w:lvlJc w:val="left"/>
      <w:lvlText w:val="(%1)"/>
      <w:numFmt w:val="decimal"/>
      <w:start w:val="1"/>
    </w:lvl>
  </w:abstractNum>
  <w:abstractNum w:abstractNumId="90">
    <w:nsid w:val="43D3BCD4"/>
    <w:multiLevelType w:val="hybridMultilevel"/>
    <w:lvl w:ilvl="0">
      <w:lvlJc w:val="left"/>
      <w:lvlText w:val="(%1)"/>
      <w:numFmt w:val="decimal"/>
      <w:start w:val="5"/>
    </w:lvl>
  </w:abstractNum>
  <w:abstractNum w:abstractNumId="91">
    <w:nsid w:val="4C2A7166"/>
    <w:multiLevelType w:val="hybridMultilevel"/>
    <w:lvl w:ilvl="0">
      <w:lvlJc w:val="left"/>
      <w:lvlText w:val="•"/>
      <w:numFmt w:val="bullet"/>
      <w:start w:val="1"/>
    </w:lvl>
    <w:lvl w:ilvl="1">
      <w:lvlJc w:val="left"/>
      <w:lvlText w:val="•"/>
      <w:numFmt w:val="bullet"/>
      <w:start w:val="1"/>
    </w:lvl>
  </w:abstractNum>
  <w:abstractNum w:abstractNumId="92">
    <w:nsid w:val="2E534A82"/>
    <w:multiLevelType w:val="hybridMultilevel"/>
    <w:lvl w:ilvl="0">
      <w:lvlJc w:val="left"/>
      <w:lvlText w:val="•"/>
      <w:numFmt w:val="bullet"/>
      <w:start w:val="1"/>
    </w:lvl>
  </w:abstractNum>
  <w:abstractNum w:abstractNumId="93">
    <w:nsid w:val="26F2D364"/>
    <w:multiLevelType w:val="hybridMultilevel"/>
    <w:lvl w:ilvl="0">
      <w:lvlJc w:val="left"/>
      <w:lvlText w:val="•"/>
      <w:numFmt w:val="bullet"/>
      <w:start w:val="1"/>
    </w:lvl>
  </w:abstractNum>
  <w:abstractNum w:abstractNumId="94">
    <w:nsid w:val="71C1AF98"/>
    <w:multiLevelType w:val="hybridMultilevel"/>
    <w:lvl w:ilvl="0">
      <w:lvlJc w:val="left"/>
      <w:lvlText w:val="•"/>
      <w:numFmt w:val="bullet"/>
      <w:start w:val="1"/>
    </w:lvl>
  </w:abstractNum>
  <w:abstractNum w:abstractNumId="95">
    <w:nsid w:val="3D00B9D9"/>
    <w:multiLevelType w:val="hybridMultilevel"/>
    <w:lvl w:ilvl="0">
      <w:lvlJc w:val="left"/>
      <w:lvlText w:val="•"/>
      <w:numFmt w:val="bullet"/>
      <w:start w:val="1"/>
    </w:lvl>
    <w:lvl w:ilvl="1">
      <w:lvlJc w:val="left"/>
      <w:lvlText w:val="•"/>
      <w:numFmt w:val="bullet"/>
      <w:start w:val="1"/>
    </w:lvl>
  </w:abstractNum>
  <w:abstractNum w:abstractNumId="96">
    <w:nsid w:val="15BCABA8"/>
    <w:multiLevelType w:val="hybridMultilevel"/>
    <w:lvl w:ilvl="0">
      <w:lvlJc w:val="left"/>
      <w:lvlText w:val="•"/>
      <w:numFmt w:val="bullet"/>
      <w:start w:val="1"/>
    </w:lvl>
  </w:abstractNum>
  <w:abstractNum w:abstractNumId="97">
    <w:nsid w:val="4E0B9A87"/>
    <w:multiLevelType w:val="hybridMultilevel"/>
    <w:lvl w:ilvl="0">
      <w:lvlJc w:val="left"/>
      <w:lvlText w:val="•"/>
      <w:numFmt w:val="bullet"/>
      <w:start w:val="1"/>
    </w:lvl>
  </w:abstractNum>
  <w:abstractNum w:abstractNumId="98">
    <w:nsid w:val="434BAE75"/>
    <w:multiLevelType w:val="hybridMultilevel"/>
    <w:lvl w:ilvl="0">
      <w:lvlJc w:val="left"/>
      <w:lvlText w:val="•"/>
      <w:numFmt w:val="bullet"/>
      <w:start w:val="1"/>
    </w:lvl>
  </w:abstractNum>
  <w:abstractNum w:abstractNumId="99">
    <w:nsid w:val="4F38F265"/>
    <w:multiLevelType w:val="hybridMultilevel"/>
    <w:lvl w:ilvl="0">
      <w:lvlJc w:val="left"/>
      <w:lvlText w:val="•"/>
      <w:numFmt w:val="bullet"/>
      <w:start w:val="1"/>
    </w:lvl>
  </w:abstractNum>
  <w:abstractNum w:abstractNumId="100">
    <w:nsid w:val="4C502870"/>
    <w:multiLevelType w:val="hybridMultilevel"/>
    <w:lvl w:ilvl="0">
      <w:lvlJc w:val="left"/>
      <w:lvlText w:val="•"/>
      <w:numFmt w:val="bullet"/>
      <w:start w:val="1"/>
    </w:lvl>
  </w:abstractNum>
  <w:abstractNum w:abstractNumId="101">
    <w:nsid w:val="1DE8725A"/>
    <w:multiLevelType w:val="hybridMultilevel"/>
    <w:lvl w:ilvl="0">
      <w:lvlJc w:val="left"/>
      <w:lvlText w:val="•"/>
      <w:numFmt w:val="bullet"/>
      <w:start w:val="1"/>
    </w:lvl>
  </w:abstractNum>
  <w:abstractNum w:abstractNumId="102">
    <w:nsid w:val="6A37288A"/>
    <w:multiLevelType w:val="hybridMultilevel"/>
    <w:lvl w:ilvl="0">
      <w:lvlJc w:val="left"/>
      <w:lvlText w:val="•"/>
      <w:numFmt w:val="bullet"/>
      <w:start w:val="1"/>
    </w:lvl>
  </w:abstractNum>
  <w:abstractNum w:abstractNumId="103">
    <w:nsid w:val="8F8B73F"/>
    <w:multiLevelType w:val="hybridMultilevel"/>
    <w:lvl w:ilvl="0">
      <w:lvlJc w:val="left"/>
      <w:lvlText w:val="(%1)"/>
      <w:numFmt w:val="lowerRoman"/>
      <w:start w:val="1"/>
    </w:lvl>
  </w:abstractNum>
  <w:abstractNum w:abstractNumId="104">
    <w:nsid w:val="CA6B462"/>
    <w:multiLevelType w:val="hybridMultilevel"/>
    <w:lvl w:ilvl="0">
      <w:lvlJc w:val="left"/>
      <w:lvlText w:val="•"/>
      <w:numFmt w:val="bullet"/>
      <w:start w:val="1"/>
    </w:lvl>
  </w:abstractNum>
  <w:abstractNum w:abstractNumId="105">
    <w:nsid w:val="763CB680"/>
    <w:multiLevelType w:val="hybridMultilevel"/>
    <w:lvl w:ilvl="0">
      <w:lvlJc w:val="left"/>
      <w:lvlText w:val="•"/>
      <w:numFmt w:val="bullet"/>
      <w:start w:val="1"/>
    </w:lvl>
  </w:abstractNum>
  <w:abstractNum w:abstractNumId="106">
    <w:nsid w:val="15B71329"/>
    <w:multiLevelType w:val="hybridMultilevel"/>
    <w:lvl w:ilvl="0">
      <w:lvlJc w:val="left"/>
      <w:lvlText w:val="•"/>
      <w:numFmt w:val="bullet"/>
      <w:start w:val="1"/>
    </w:lvl>
  </w:abstractNum>
  <w:abstractNum w:abstractNumId="107">
    <w:nsid w:val="3DA97044"/>
    <w:multiLevelType w:val="hybridMultilevel"/>
    <w:lvl w:ilvl="0">
      <w:lvlJc w:val="left"/>
      <w:lvlText w:val="•"/>
      <w:numFmt w:val="bullet"/>
      <w:start w:val="1"/>
    </w:lvl>
  </w:abstractNum>
  <w:abstractNum w:abstractNumId="108">
    <w:nsid w:val="1CDCE2DE"/>
    <w:multiLevelType w:val="hybridMultilevel"/>
    <w:lvl w:ilvl="0">
      <w:lvlJc w:val="left"/>
      <w:lvlText w:val="•"/>
      <w:numFmt w:val="bullet"/>
      <w:start w:val="1"/>
    </w:lvl>
  </w:abstractNum>
  <w:abstractNum w:abstractNumId="109">
    <w:nsid w:val="69D3947C"/>
    <w:multiLevelType w:val="hybridMultilevel"/>
    <w:lvl w:ilvl="0">
      <w:lvlJc w:val="left"/>
      <w:lvlText w:val="%1."/>
      <w:numFmt w:val="lowerLetter"/>
      <w:start w:val="1"/>
    </w:lvl>
  </w:abstractNum>
  <w:abstractNum w:abstractNumId="110">
    <w:nsid w:val="2539DFA5"/>
    <w:multiLevelType w:val="hybridMultilevel"/>
    <w:lvl w:ilvl="0">
      <w:lvlJc w:val="left"/>
      <w:lvlText w:val="•"/>
      <w:numFmt w:val="bullet"/>
      <w:start w:val="1"/>
    </w:lvl>
  </w:abstractNum>
  <w:abstractNum w:abstractNumId="111">
    <w:nsid w:val="2DB88089"/>
    <w:multiLevelType w:val="hybridMultilevel"/>
    <w:lvl w:ilvl="0">
      <w:lvlJc w:val="left"/>
      <w:lvlText w:val="•"/>
      <w:numFmt w:val="bullet"/>
      <w:start w:val="1"/>
    </w:lvl>
  </w:abstractNum>
  <w:abstractNum w:abstractNumId="112">
    <w:nsid w:val="706B674E"/>
    <w:multiLevelType w:val="hybridMultilevel"/>
    <w:lvl w:ilvl="0">
      <w:lvlJc w:val="left"/>
      <w:lvlText w:val="•"/>
      <w:numFmt w:val="bullet"/>
      <w:start w:val="1"/>
    </w:lvl>
    <w:lvl w:ilvl="1">
      <w:lvlJc w:val="left"/>
      <w:lvlText w:val="•"/>
      <w:numFmt w:val="bullet"/>
      <w:start w:val="1"/>
    </w:lvl>
  </w:abstractNum>
  <w:abstractNum w:abstractNumId="113">
    <w:nsid w:val="2C106A57"/>
    <w:multiLevelType w:val="hybridMultilevel"/>
    <w:lvl w:ilvl="0">
      <w:lvlJc w:val="left"/>
      <w:lvlText w:val="•"/>
      <w:numFmt w:val="bullet"/>
      <w:start w:val="1"/>
    </w:lvl>
    <w:lvl w:ilvl="1">
      <w:lvlJc w:val="left"/>
      <w:lvlText w:val="•"/>
      <w:numFmt w:val="bullet"/>
      <w:start w:val="1"/>
    </w:lvl>
  </w:abstractNum>
  <w:abstractNum w:abstractNumId="114">
    <w:nsid w:val="684EED59"/>
    <w:multiLevelType w:val="hybridMultilevel"/>
    <w:lvl w:ilvl="0">
      <w:lvlJc w:val="left"/>
      <w:lvlText w:val="•"/>
      <w:numFmt w:val="bullet"/>
      <w:start w:val="1"/>
    </w:lvl>
  </w:abstractNum>
  <w:abstractNum w:abstractNumId="115">
    <w:nsid w:val="545EE5D3"/>
    <w:multiLevelType w:val="hybridMultilevel"/>
    <w:lvl w:ilvl="0">
      <w:lvlJc w:val="left"/>
      <w:lvlText w:val="•"/>
      <w:numFmt w:val="bullet"/>
      <w:start w:val="1"/>
    </w:lvl>
    <w:lvl w:ilvl="1">
      <w:lvlJc w:val="left"/>
      <w:lvlText w:val="•"/>
      <w:numFmt w:val="bullet"/>
      <w:start w:val="1"/>
    </w:lvl>
  </w:abstractNum>
  <w:abstractNum w:abstractNumId="116">
    <w:nsid w:val="4A66051"/>
    <w:multiLevelType w:val="hybridMultilevel"/>
    <w:lvl w:ilvl="0">
      <w:lvlJc w:val="left"/>
      <w:lvlText w:val="•"/>
      <w:numFmt w:val="bullet"/>
      <w:start w:val="1"/>
    </w:lvl>
    <w:lvl w:ilvl="1">
      <w:lvlJc w:val="left"/>
      <w:lvlText w:val="•"/>
      <w:numFmt w:val="bullet"/>
      <w:start w:val="1"/>
    </w:lvl>
  </w:abstractNum>
  <w:abstractNum w:abstractNumId="117">
    <w:nsid w:val="20F4BDAD"/>
    <w:multiLevelType w:val="hybridMultilevel"/>
    <w:lvl w:ilvl="0">
      <w:lvlJc w:val="left"/>
      <w:lvlText w:val="•"/>
      <w:numFmt w:val="bullet"/>
      <w:start w:val="1"/>
    </w:lvl>
  </w:abstractNum>
  <w:abstractNum w:abstractNumId="118">
    <w:nsid w:val="639DEFAC"/>
    <w:multiLevelType w:val="hybridMultilevel"/>
    <w:lvl w:ilvl="0">
      <w:lvlJc w:val="left"/>
      <w:lvlText w:val="•"/>
      <w:numFmt w:val="bullet"/>
      <w:start w:val="1"/>
    </w:lvl>
  </w:abstractNum>
  <w:abstractNum w:abstractNumId="119">
    <w:nsid w:val="501F9786"/>
    <w:multiLevelType w:val="hybridMultilevel"/>
    <w:lvl w:ilvl="0">
      <w:lvlJc w:val="left"/>
      <w:lvlText w:val="•"/>
      <w:numFmt w:val="bullet"/>
      <w:start w:val="1"/>
    </w:lvl>
  </w:abstractNum>
  <w:abstractNum w:abstractNumId="120">
    <w:nsid w:val="6B057295"/>
    <w:multiLevelType w:val="hybridMultilevel"/>
    <w:lvl w:ilvl="0">
      <w:lvlJc w:val="left"/>
      <w:lvlText w:val="(%1)"/>
      <w:numFmt w:val="decimal"/>
      <w:start w:val="1"/>
    </w:lvl>
  </w:abstractNum>
  <w:abstractNum w:abstractNumId="121">
    <w:nsid w:val="2771AC80"/>
    <w:multiLevelType w:val="hybridMultilevel"/>
    <w:lvl w:ilvl="0">
      <w:lvlJc w:val="left"/>
      <w:lvlText w:val="(%1)"/>
      <w:numFmt w:val="decimal"/>
      <w:start w:val="3"/>
    </w:lvl>
  </w:abstractNum>
  <w:abstractNum w:abstractNumId="122">
    <w:nsid w:val="1C4A08EC"/>
    <w:multiLevelType w:val="hybridMultilevel"/>
    <w:lvl w:ilvl="0">
      <w:lvlJc w:val="left"/>
      <w:lvlText w:val="•"/>
      <w:numFmt w:val="bullet"/>
      <w:start w:val="1"/>
    </w:lvl>
    <w:lvl w:ilvl="1">
      <w:lvlJc w:val="left"/>
      <w:lvlText w:val="•"/>
      <w:numFmt w:val="bullet"/>
      <w:start w:val="1"/>
    </w:lvl>
  </w:abstractNum>
  <w:abstractNum w:abstractNumId="123">
    <w:nsid w:val="1958BD17"/>
    <w:multiLevelType w:val="hybridMultilevel"/>
    <w:lvl w:ilvl="0">
      <w:lvlJc w:val="left"/>
      <w:lvlText w:val="(%1)"/>
      <w:numFmt w:val="decimal"/>
      <w:start w:val="1"/>
    </w:lvl>
  </w:abstractNum>
  <w:abstractNum w:abstractNumId="124">
    <w:nsid w:val="4E647FE4"/>
    <w:multiLevelType w:val="hybridMultilevel"/>
    <w:lvl w:ilvl="0">
      <w:lvlJc w:val="left"/>
      <w:lvlText w:val="%1."/>
      <w:numFmt w:val="decimal"/>
      <w:start w:val="1"/>
    </w:lvl>
  </w:abstractNum>
  <w:abstractNum w:abstractNumId="125">
    <w:nsid w:val="E0BB885"/>
    <w:multiLevelType w:val="hybridMultilevel"/>
    <w:lvl w:ilvl="0">
      <w:lvlJc w:val="left"/>
      <w:lvlText w:val="%1."/>
      <w:numFmt w:val="decimal"/>
      <w:start w:val="2"/>
    </w:lvl>
  </w:abstractNum>
  <w:abstractNum w:abstractNumId="126">
    <w:nsid w:val="565976F1"/>
    <w:multiLevelType w:val="hybridMultilevel"/>
    <w:lvl w:ilvl="0">
      <w:lvlJc w:val="left"/>
      <w:lvlText w:val="%1."/>
      <w:numFmt w:val="decimal"/>
      <w:start w:val="3"/>
    </w:lvl>
  </w:abstractNum>
  <w:abstractNum w:abstractNumId="127">
    <w:nsid w:val="64212B8C"/>
    <w:multiLevelType w:val="hybridMultilevel"/>
    <w:lvl w:ilvl="0">
      <w:lvlJc w:val="left"/>
      <w:lvlText w:val="•"/>
      <w:numFmt w:val="bullet"/>
      <w:start w:val="1"/>
    </w:lvl>
  </w:abstractNum>
  <w:abstractNum w:abstractNumId="128">
    <w:nsid w:val="5C17530C"/>
    <w:multiLevelType w:val="hybridMultilevel"/>
    <w:lvl w:ilvl="0">
      <w:lvlJc w:val="left"/>
      <w:lvlText w:val="•"/>
      <w:numFmt w:val="bullet"/>
      <w:start w:val="1"/>
    </w:lvl>
  </w:abstractNum>
  <w:abstractNum w:abstractNumId="129">
    <w:nsid w:val="19A52566"/>
    <w:multiLevelType w:val="hybridMultilevel"/>
    <w:lvl w:ilvl="0">
      <w:lvlJc w:val="left"/>
      <w:lvlText w:val="•"/>
      <w:numFmt w:val="bullet"/>
      <w:start w:val="1"/>
    </w:lvl>
  </w:abstractNum>
  <w:abstractNum w:abstractNumId="130">
    <w:nsid w:val="335A1DF1"/>
    <w:multiLevelType w:val="hybridMultilevel"/>
    <w:lvl w:ilvl="0">
      <w:lvlJc w:val="left"/>
      <w:lvlText w:val="•"/>
      <w:numFmt w:val="bullet"/>
      <w:start w:val="1"/>
    </w:lvl>
  </w:abstractNum>
  <w:abstractNum w:abstractNumId="131">
    <w:nsid w:val="28677B7C"/>
    <w:multiLevelType w:val="hybridMultilevel"/>
    <w:lvl w:ilvl="0">
      <w:lvlJc w:val="left"/>
      <w:lvlText w:val="%1."/>
      <w:numFmt w:val="decimal"/>
      <w:start w:val="4"/>
    </w:lvl>
  </w:abstractNum>
  <w:abstractNum w:abstractNumId="132">
    <w:nsid w:val="378D97C0"/>
    <w:multiLevelType w:val="hybridMultilevel"/>
    <w:lvl w:ilvl="0">
      <w:lvlJc w:val="left"/>
      <w:lvlText w:val="•"/>
      <w:numFmt w:val="bullet"/>
      <w:start w:val="1"/>
    </w:lvl>
  </w:abstractNum>
  <w:abstractNum w:abstractNumId="133">
    <w:nsid w:val="1D91467C"/>
    <w:multiLevelType w:val="hybridMultilevel"/>
    <w:lvl w:ilvl="0">
      <w:lvlJc w:val="left"/>
      <w:lvlText w:val="•"/>
      <w:numFmt w:val="bullet"/>
      <w:start w:val="1"/>
    </w:lvl>
  </w:abstractNum>
  <w:abstractNum w:abstractNumId="134">
    <w:nsid w:val="316032BB"/>
    <w:multiLevelType w:val="hybridMultilevel"/>
    <w:lvl w:ilvl="0">
      <w:lvlJc w:val="left"/>
      <w:lvlText w:val="•"/>
      <w:numFmt w:val="bullet"/>
      <w:start w:val="1"/>
    </w:lvl>
  </w:abstractNum>
  <w:abstractNum w:abstractNumId="135">
    <w:nsid w:val="44344C22"/>
    <w:multiLevelType w:val="hybridMultilevel"/>
    <w:lvl w:ilvl="0">
      <w:lvlJc w:val="left"/>
      <w:lvlText w:val="%1."/>
      <w:numFmt w:val="decimal"/>
      <w:start w:val="5"/>
    </w:lvl>
  </w:abstractNum>
  <w:abstractNum w:abstractNumId="136">
    <w:nsid w:val="13CDFCFC"/>
    <w:multiLevelType w:val="hybridMultilevel"/>
    <w:lvl w:ilvl="0">
      <w:lvlJc w:val="left"/>
      <w:lvlText w:val="•"/>
      <w:numFmt w:val="bullet"/>
      <w:start w:val="1"/>
    </w:lvl>
  </w:abstractNum>
  <w:abstractNum w:abstractNumId="137">
    <w:nsid w:val="471745E4"/>
    <w:multiLevelType w:val="hybridMultilevel"/>
    <w:lvl w:ilvl="0">
      <w:lvlJc w:val="left"/>
      <w:lvlText w:val="•"/>
      <w:numFmt w:val="bullet"/>
      <w:start w:val="1"/>
    </w:lvl>
  </w:abstractNum>
  <w:abstractNum w:abstractNumId="138">
    <w:nsid w:val="1DDBC66"/>
    <w:multiLevelType w:val="hybridMultilevel"/>
    <w:lvl w:ilvl="0">
      <w:lvlJc w:val="left"/>
      <w:lvlText w:val="•"/>
      <w:numFmt w:val="bullet"/>
      <w:start w:val="1"/>
    </w:lvl>
  </w:abstractNum>
  <w:abstractNum w:abstractNumId="139">
    <w:nsid w:val="30AADFDA"/>
    <w:multiLevelType w:val="hybridMultilevel"/>
    <w:lvl w:ilvl="0">
      <w:lvlJc w:val="left"/>
      <w:lvlText w:val="%1."/>
      <w:numFmt w:val="decimal"/>
      <w:start w:val="6"/>
    </w:lvl>
  </w:abstractNum>
  <w:abstractNum w:abstractNumId="140">
    <w:nsid w:val="30EADA61"/>
    <w:multiLevelType w:val="hybridMultilevel"/>
    <w:lvl w:ilvl="0">
      <w:lvlJc w:val="left"/>
      <w:lvlText w:val="%1."/>
      <w:numFmt w:val="decimal"/>
      <w:start w:val="8"/>
    </w:lvl>
  </w:abstractNum>
  <w:abstractNum w:abstractNumId="141">
    <w:nsid w:val="27179C0B"/>
    <w:multiLevelType w:val="hybridMultilevel"/>
    <w:lvl w:ilvl="0">
      <w:lvlJc w:val="left"/>
      <w:lvlText w:val="%1."/>
      <w:numFmt w:val="decimal"/>
      <w:start w:val="9"/>
    </w:lvl>
  </w:abstractNum>
  <w:abstractNum w:abstractNumId="142">
    <w:nsid w:val="5E636063"/>
    <w:multiLevelType w:val="hybridMultilevel"/>
    <w:lvl w:ilvl="0">
      <w:lvlJc w:val="left"/>
      <w:lvlText w:val="(%1)"/>
      <w:numFmt w:val="decimal"/>
      <w:start w:val="1"/>
    </w:lvl>
  </w:abstractNum>
  <w:abstractNum w:abstractNumId="143">
    <w:nsid w:val="215641AF"/>
    <w:multiLevelType w:val="hybridMultilevel"/>
    <w:lvl w:ilvl="0">
      <w:lvlJc w:val="left"/>
      <w:lvlText w:val="(%1)"/>
      <w:numFmt w:val="lowerLetter"/>
      <w:start w:val="3"/>
    </w:lvl>
  </w:abstractNum>
  <w:abstractNum w:abstractNumId="144">
    <w:nsid w:val="53280662"/>
    <w:multiLevelType w:val="hybridMultilevel"/>
    <w:lvl w:ilvl="0">
      <w:lvlJc w:val="left"/>
      <w:lvlText w:val="%1."/>
      <w:numFmt w:val="decimal"/>
      <w:start w:val="13"/>
    </w:lvl>
  </w:abstractNum>
  <w:abstractNum w:abstractNumId="145">
    <w:nsid w:val="46B24DBC"/>
    <w:multiLevelType w:val="hybridMultilevel"/>
    <w:lvl w:ilvl="0">
      <w:lvlJc w:val="left"/>
      <w:lvlText w:val="%1."/>
      <w:numFmt w:val="decimal"/>
      <w:start w:val="14"/>
    </w:lvl>
  </w:abstractNum>
  <w:abstractNum w:abstractNumId="146">
    <w:nsid w:val="75B52783"/>
    <w:multiLevelType w:val="hybridMultilevel"/>
    <w:lvl w:ilvl="0">
      <w:lvlJc w:val="left"/>
      <w:lvlText w:val="(%1)"/>
      <w:numFmt w:val="decimal"/>
      <w:start w:val="1"/>
    </w:lvl>
  </w:abstractNum>
  <w:abstractNum w:abstractNumId="147">
    <w:nsid w:val="57CE66B4"/>
    <w:multiLevelType w:val="hybridMultilevel"/>
    <w:lvl w:ilvl="0">
      <w:lvlJc w:val="left"/>
      <w:lvlText w:val="%1."/>
      <w:numFmt w:val="decimal"/>
      <w:start w:val="15"/>
    </w:lvl>
  </w:abstractNum>
  <w:abstractNum w:abstractNumId="148">
    <w:nsid w:val="67A70B69"/>
    <w:multiLevelType w:val="hybridMultilevel"/>
    <w:lvl w:ilvl="0">
      <w:lvlJc w:val="left"/>
      <w:lvlText w:val="(%1)"/>
      <w:numFmt w:val="decimal"/>
      <w:start w:val="1"/>
    </w:lvl>
  </w:abstractNum>
  <w:abstractNum w:abstractNumId="149">
    <w:nsid w:val="5953172F"/>
    <w:multiLevelType w:val="hybridMultilevel"/>
    <w:lvl w:ilvl="0">
      <w:lvlJc w:val="left"/>
      <w:lvlText w:val="(%1)"/>
      <w:numFmt w:val="decimal"/>
      <w:start w:val="3"/>
    </w:lvl>
  </w:abstractNum>
  <w:abstractNum w:abstractNumId="150">
    <w:nsid w:val="27EDFE3A"/>
    <w:multiLevelType w:val="hybridMultilevel"/>
    <w:lvl w:ilvl="0">
      <w:lvlJc w:val="left"/>
      <w:lvlText w:val="%1."/>
      <w:numFmt w:val="decimal"/>
      <w:start w:val="16"/>
    </w:lvl>
  </w:abstractNum>
  <w:abstractNum w:abstractNumId="151">
    <w:nsid w:val="52AC7DFF"/>
    <w:multiLevelType w:val="hybridMultilevel"/>
    <w:lvl w:ilvl="0">
      <w:lvlJc w:val="left"/>
      <w:lvlText w:val="%1."/>
      <w:numFmt w:val="decimal"/>
      <w:start w:val="17"/>
    </w:lvl>
  </w:abstractNum>
  <w:abstractNum w:abstractNumId="152">
    <w:nsid w:val="C4C3AF"/>
    <w:multiLevelType w:val="hybridMultilevel"/>
    <w:lvl w:ilvl="0">
      <w:lvlJc w:val="left"/>
      <w:lvlText w:val="(%1)"/>
      <w:numFmt w:val="decimal"/>
      <w:start w:val="1"/>
    </w:lvl>
  </w:abstractNum>
  <w:abstractNum w:abstractNumId="153">
    <w:nsid w:val="44380727"/>
    <w:multiLevelType w:val="hybridMultilevel"/>
    <w:lvl w:ilvl="0">
      <w:lvlJc w:val="left"/>
      <w:lvlText w:val="(%1)"/>
      <w:numFmt w:val="lowerLetter"/>
      <w:start w:val="3"/>
    </w:lvl>
  </w:abstractNum>
  <w:abstractNum w:abstractNumId="154">
    <w:nsid w:val="6C053B16"/>
    <w:multiLevelType w:val="hybridMultilevel"/>
    <w:lvl w:ilvl="0">
      <w:lvlJc w:val="left"/>
      <w:lvlText w:val="%1."/>
      <w:numFmt w:val="decimal"/>
      <w:start w:val="22"/>
    </w:lvl>
  </w:abstractNum>
  <w:abstractNum w:abstractNumId="155">
    <w:nsid w:val="4F294393"/>
    <w:multiLevelType w:val="hybridMultilevel"/>
    <w:lvl w:ilvl="0">
      <w:lvlJc w:val="left"/>
      <w:lvlText w:val="(%1)"/>
      <w:numFmt w:val="lowerRoman"/>
      <w:start w:val="1"/>
    </w:lvl>
  </w:abstractNum>
  <w:abstractNum w:abstractNumId="156">
    <w:nsid w:val="5243BFAC"/>
    <w:multiLevelType w:val="hybridMultilevel"/>
    <w:lvl w:ilvl="0">
      <w:lvlJc w:val="left"/>
      <w:lvlText w:val="(%1)"/>
      <w:numFmt w:val="lowerRoman"/>
      <w:start w:val="1"/>
    </w:lvl>
    <w:lvl w:ilvl="1">
      <w:lvlJc w:val="left"/>
      <w:lvlText w:val="•"/>
      <w:numFmt w:val="bullet"/>
      <w:start w:val="1"/>
    </w:lvl>
  </w:abstractNum>
  <w:abstractNum w:abstractNumId="157">
    <w:nsid w:val="425EB207"/>
    <w:multiLevelType w:val="hybridMultilevel"/>
    <w:lvl w:ilvl="0">
      <w:lvlJc w:val="left"/>
      <w:lvlText w:val="%1."/>
      <w:numFmt w:val="decimal"/>
      <w:start w:val="23"/>
    </w:lvl>
  </w:abstractNum>
  <w:abstractNum w:abstractNumId="158">
    <w:nsid w:val="334A6F1F"/>
    <w:multiLevelType w:val="hybridMultilevel"/>
    <w:lvl w:ilvl="0">
      <w:lvlJc w:val="left"/>
      <w:lvlText w:val="(%1)"/>
      <w:numFmt w:val="decimal"/>
      <w:start w:val="1"/>
    </w:lvl>
  </w:abstractNum>
  <w:abstractNum w:abstractNumId="159">
    <w:nsid w:val="2E5B12B8"/>
    <w:multiLevelType w:val="hybridMultilevel"/>
    <w:lvl w:ilvl="0">
      <w:lvlJc w:val="left"/>
      <w:lvlText w:val="(%1)"/>
      <w:numFmt w:val="decimal"/>
      <w:start w:val="1"/>
    </w:lvl>
  </w:abstractNum>
  <w:abstractNum w:abstractNumId="160">
    <w:nsid w:val="5C03D76D"/>
    <w:multiLevelType w:val="hybridMultilevel"/>
    <w:lvl w:ilvl="0">
      <w:lvlJc w:val="left"/>
      <w:lvlText w:val="%1."/>
      <w:numFmt w:val="decimal"/>
      <w:start w:val="25"/>
    </w:lvl>
  </w:abstractNum>
  <w:abstractNum w:abstractNumId="161">
    <w:nsid w:val="66A48D11"/>
    <w:multiLevelType w:val="hybridMultilevel"/>
    <w:lvl w:ilvl="0">
      <w:lvlJc w:val="left"/>
      <w:lvlText w:val="%1."/>
      <w:numFmt w:val="decimal"/>
      <w:start w:val="26"/>
    </w:lvl>
  </w:abstractNum>
  <w:abstractNum w:abstractNumId="162">
    <w:nsid w:val="56C28E34"/>
    <w:multiLevelType w:val="hybridMultilevel"/>
    <w:lvl w:ilvl="0">
      <w:lvlJc w:val="left"/>
      <w:lvlText w:val="%1."/>
      <w:numFmt w:val="decimal"/>
      <w:start w:val="27"/>
    </w:lvl>
    <w:lvl w:ilvl="1">
      <w:lvlJc w:val="left"/>
      <w:lvlText w:val="(%2)"/>
      <w:numFmt w:val="lowerLetter"/>
      <w:start w:val="1"/>
    </w:lvl>
  </w:abstractNum>
  <w:abstractNum w:abstractNumId="163">
    <w:nsid w:val="13916F2D"/>
    <w:multiLevelType w:val="hybridMultilevel"/>
    <w:lvl w:ilvl="0">
      <w:lvlJc w:val="left"/>
      <w:lvlText w:val="%1."/>
      <w:numFmt w:val="decimal"/>
      <w:start w:val="29"/>
    </w:lvl>
  </w:abstractNum>
  <w:abstractNum w:abstractNumId="164">
    <w:nsid w:val="435D38D"/>
    <w:multiLevelType w:val="hybridMultilevel"/>
    <w:lvl w:ilvl="0">
      <w:lvlJc w:val="left"/>
      <w:lvlText w:val="•"/>
      <w:numFmt w:val="bullet"/>
      <w:start w:val="1"/>
    </w:lvl>
    <w:lvl w:ilvl="1">
      <w:lvlJc w:val="left"/>
      <w:lvlText w:val="•"/>
      <w:numFmt w:val="bullet"/>
      <w:start w:val="1"/>
    </w:lvl>
  </w:abstractNum>
  <w:abstractNum w:abstractNumId="165">
    <w:nsid w:val="822C0EF"/>
    <w:multiLevelType w:val="hybridMultilevel"/>
    <w:lvl w:ilvl="0">
      <w:lvlJc w:val="left"/>
      <w:lvlText w:val="•"/>
      <w:numFmt w:val="bullet"/>
      <w:start w:val="1"/>
    </w:lvl>
  </w:abstractNum>
  <w:abstractNum w:abstractNumId="166">
    <w:nsid w:val="57C5BB4F"/>
    <w:multiLevelType w:val="hybridMultilevel"/>
    <w:lvl w:ilvl="0">
      <w:lvlJc w:val="left"/>
      <w:lvlText w:val="*"/>
      <w:numFmt w:val="bullet"/>
      <w:start w:val="1"/>
    </w:lvl>
  </w:abstractNum>
  <w:abstractNum w:abstractNumId="167">
    <w:nsid w:val="1803D089"/>
    <w:multiLevelType w:val="hybridMultilevel"/>
    <w:lvl w:ilvl="0">
      <w:lvlJc w:val="left"/>
      <w:lvlText w:val="+"/>
      <w:numFmt w:val="bullet"/>
      <w:start w:val="1"/>
    </w:lvl>
  </w:abstractNum>
  <w:abstractNum w:abstractNumId="168">
    <w:nsid w:val="4F3A06D4"/>
    <w:multiLevelType w:val="hybridMultilevel"/>
    <w:lvl w:ilvl="0">
      <w:lvlJc w:val="left"/>
      <w:lvlText w:val="†"/>
      <w:numFmt w:val="bullet"/>
      <w:start w:val="1"/>
    </w:lvl>
  </w:abstractNum>
  <w:abstractNum w:abstractNumId="169">
    <w:nsid w:val="59A377B6"/>
    <w:multiLevelType w:val="hybridMultilevel"/>
    <w:lvl w:ilvl="0">
      <w:lvlJc w:val="left"/>
      <w:lvlText w:val="(%1)"/>
      <w:numFmt w:val="decimal"/>
      <w:start w:val="1"/>
    </w:lvl>
  </w:abstractNum>
  <w:abstractNum w:abstractNumId="170">
    <w:nsid w:val="48AEB063"/>
    <w:multiLevelType w:val="hybridMultilevel"/>
    <w:lvl w:ilvl="0">
      <w:lvlJc w:val="left"/>
      <w:lvlText w:val="(%1)"/>
      <w:numFmt w:val="lowerRoman"/>
      <w:start w:val="2"/>
    </w:lvl>
  </w:abstractNum>
  <w:abstractNum w:abstractNumId="171">
    <w:nsid w:val="24E135"/>
    <w:multiLevelType w:val="hybridMultilevel"/>
    <w:lvl w:ilvl="0">
      <w:lvlJc w:val="left"/>
      <w:lvlText w:val="%1."/>
      <w:numFmt w:val="decimal"/>
      <w:start w:val="1"/>
    </w:lvl>
  </w:abstractNum>
  <w:abstractNum w:abstractNumId="172">
    <w:nsid w:val="BB13C1"/>
    <w:multiLevelType w:val="hybridMultilevel"/>
    <w:lvl w:ilvl="0">
      <w:lvlJc w:val="left"/>
      <w:lvlText w:val="%1"/>
      <w:numFmt w:val="lowerLetter"/>
      <w:start w:val="1"/>
    </w:lvl>
    <w:lvl w:ilvl="1">
      <w:lvlJc w:val="left"/>
      <w:lvlText w:val="(%2)"/>
      <w:numFmt w:val="lowerLetter"/>
      <w:start w:val="9"/>
    </w:lvl>
  </w:abstractNum>
  <w:abstractNum w:abstractNumId="173">
    <w:nsid w:val="271210C7"/>
    <w:multiLevelType w:val="hybridMultilevel"/>
    <w:lvl w:ilvl="0">
      <w:lvlJc w:val="left"/>
      <w:lvlText w:val="(%1)"/>
      <w:numFmt w:val="lowerLetter"/>
      <w:start w:val="1"/>
    </w:lvl>
    <w:lvl w:ilvl="1">
      <w:lvlJc w:val="left"/>
      <w:lvlText w:val="%2"/>
      <w:numFmt w:val="lowerLetter"/>
      <w:start w:val="1"/>
    </w:lvl>
  </w:abstractNum>
  <w:abstractNum w:abstractNumId="174">
    <w:nsid w:val="217B22E4"/>
    <w:multiLevelType w:val="hybridMultilevel"/>
    <w:lvl w:ilvl="0">
      <w:lvlJc w:val="left"/>
      <w:lvlText w:val="(%1)"/>
      <w:numFmt w:val="lowerLetter"/>
      <w:start w:val="3"/>
    </w:lvl>
  </w:abstractNum>
  <w:abstractNum w:abstractNumId="175">
    <w:nsid w:val="53E31A24"/>
    <w:multiLevelType w:val="hybridMultilevel"/>
    <w:lvl w:ilvl="0">
      <w:lvlJc w:val="left"/>
      <w:lvlText w:val="(%1)"/>
      <w:numFmt w:val="lowerLetter"/>
      <w:start w:val="6"/>
    </w:lvl>
  </w:abstractNum>
  <w:abstractNum w:abstractNumId="176">
    <w:nsid w:val="6DC45E83"/>
    <w:multiLevelType w:val="hybridMultilevel"/>
    <w:lvl w:ilvl="0">
      <w:lvlJc w:val="left"/>
      <w:lvlText w:val="(%1)"/>
      <w:numFmt w:val="lowerLetter"/>
      <w:start w:val="12"/>
    </w:lvl>
  </w:abstractNum>
  <w:abstractNum w:abstractNumId="177">
    <w:nsid w:val="17304A67"/>
    <w:multiLevelType w:val="hybridMultilevel"/>
    <w:lvl w:ilvl="0">
      <w:lvlJc w:val="left"/>
      <w:lvlText w:val="(%1)"/>
      <w:numFmt w:val="lowerLetter"/>
      <w:start w:val="19"/>
    </w:lvl>
  </w:abstractNum>
  <w:abstractNum w:abstractNumId="178">
    <w:nsid w:val="2BB180D8"/>
    <w:multiLevelType w:val="hybridMultilevel"/>
    <w:lvl w:ilvl="0">
      <w:lvlJc w:val="left"/>
      <w:lvlText w:val="%1"/>
      <w:numFmt w:val="lowerLetter"/>
      <w:start w:val="1"/>
    </w:lvl>
    <w:lvl w:ilvl="1">
      <w:lvlJc w:val="left"/>
      <w:lvlText w:val="(%2)"/>
      <w:numFmt w:val="lowerLetter"/>
      <w:start w:val="24"/>
    </w:lvl>
  </w:abstractNum>
  <w:abstractNum w:abstractNumId="179">
    <w:nsid w:val="556B69ED"/>
    <w:multiLevelType w:val="hybridMultilevel"/>
    <w:lvl w:ilvl="0">
      <w:lvlJc w:val="left"/>
      <w:lvlText w:val="(%1)"/>
      <w:numFmt w:val="lowerLetter"/>
      <w:start w:val="35"/>
    </w:lvl>
    <w:lvl w:ilvl="1">
      <w:lvlJc w:val="left"/>
      <w:lvlText w:val="(%2)"/>
      <w:numFmt w:val="lowerLetter"/>
      <w:start w:val="25"/>
    </w:lvl>
  </w:abstractNum>
  <w:abstractNum w:abstractNumId="180">
    <w:nsid w:val="70836196"/>
    <w:multiLevelType w:val="hybridMultilevel"/>
    <w:lvl w:ilvl="0">
      <w:lvlJc w:val="left"/>
      <w:lvlText w:val="(%1)"/>
      <w:numFmt w:val="lowerLetter"/>
      <w:start w:val="27"/>
    </w:lvl>
  </w:abstractNum>
  <w:abstractNum w:abstractNumId="181">
    <w:nsid w:val="539F7F12"/>
    <w:multiLevelType w:val="hybridMultilevel"/>
    <w:lvl w:ilvl="0">
      <w:lvlJc w:val="left"/>
      <w:lvlText w:val="(%1)"/>
      <w:numFmt w:val="lowerLetter"/>
      <w:start w:val="30"/>
    </w:lvl>
  </w:abstractNum>
  <w:abstractNum w:abstractNumId="182">
    <w:nsid w:val="2817E7EC"/>
    <w:multiLevelType w:val="hybridMultilevel"/>
    <w:lvl w:ilvl="0">
      <w:lvlJc w:val="left"/>
      <w:lvlText w:val="(%1)"/>
      <w:numFmt w:val="lowerLetter"/>
      <w:start w:val="33"/>
    </w:lvl>
  </w:abstractNum>
  <w:abstractNum w:abstractNumId="183">
    <w:nsid w:val="71482545"/>
    <w:multiLevelType w:val="hybridMultilevel"/>
    <w:lvl w:ilvl="0">
      <w:lvlJc w:val="left"/>
      <w:lvlText w:val="(%1)"/>
      <w:numFmt w:val="lowerLetter"/>
      <w:start w:val="38"/>
    </w:lvl>
  </w:abstractNum>
  <w:abstractNum w:abstractNumId="184">
    <w:nsid w:val="17D78639"/>
    <w:multiLevelType w:val="hybridMultilevel"/>
    <w:lvl w:ilvl="0">
      <w:lvlJc w:val="left"/>
      <w:lvlText w:val="%1"/>
      <w:numFmt w:val="lowerLetter"/>
      <w:start w:val="1"/>
    </w:lvl>
    <w:lvl w:ilvl="1">
      <w:lvlJc w:val="left"/>
      <w:lvlText w:val="(%2)"/>
      <w:numFmt w:val="lowerLetter"/>
      <w:start w:val="41"/>
    </w:lvl>
  </w:abstractNum>
  <w:abstractNum w:abstractNumId="185">
    <w:nsid w:val="141D2302"/>
    <w:multiLevelType w:val="hybridMultilevel"/>
    <w:lvl w:ilvl="0">
      <w:lvlJc w:val="left"/>
      <w:lvlText w:val="(%1)"/>
      <w:numFmt w:val="lowerLetter"/>
      <w:start w:val="1"/>
    </w:lvl>
    <w:lvl w:ilvl="1">
      <w:lvlJc w:val="left"/>
      <w:lvlText w:val="%2"/>
      <w:numFmt w:val="lowerLetter"/>
      <w:start w:val="1"/>
    </w:lvl>
  </w:abstractNum>
  <w:abstractNum w:abstractNumId="186">
    <w:nsid w:val="407168D8"/>
    <w:multiLevelType w:val="hybridMultilevel"/>
    <w:lvl w:ilvl="0">
      <w:lvlJc w:val="left"/>
      <w:lvlText w:val="(%1)"/>
      <w:numFmt w:val="lowerLetter"/>
      <w:start w:val="35"/>
    </w:lvl>
    <w:lvl w:ilvl="1">
      <w:lvlJc w:val="left"/>
      <w:lvlText w:val="(%2)"/>
      <w:numFmt w:val="lowerLetter"/>
      <w:start w:val="45"/>
    </w:lvl>
  </w:abstractNum>
  <w:abstractNum w:abstractNumId="187">
    <w:nsid w:val="6A1B45E5"/>
    <w:multiLevelType w:val="hybridMultilevel"/>
    <w:lvl w:ilvl="0">
      <w:lvlJc w:val="left"/>
      <w:lvlText w:val="(%1)"/>
      <w:numFmt w:val="lowerLetter"/>
      <w:start w:val="47"/>
    </w:lvl>
  </w:abstractNum>
  <w:abstractNum w:abstractNumId="188">
    <w:nsid w:val="567BD50A"/>
    <w:multiLevelType w:val="hybridMultilevel"/>
    <w:lvl w:ilvl="0">
      <w:lvlJc w:val="left"/>
      <w:lvlText w:val="(%1)"/>
      <w:numFmt w:val="lowerLetter"/>
      <w:start w:val="48"/>
    </w:lvl>
  </w:abstractNum>
  <w:abstractNum w:abstractNumId="189">
    <w:nsid w:val="73BBD7F8"/>
    <w:multiLevelType w:val="hybridMultilevel"/>
    <w:lvl w:ilvl="0">
      <w:lvlJc w:val="left"/>
      <w:lvlText w:val="(%1)"/>
      <w:numFmt w:val="lowerLetter"/>
      <w:start w:val="51"/>
    </w:lvl>
  </w:abstractNum>
  <w:abstractNum w:abstractNumId="190">
    <w:nsid w:val="1876589D"/>
    <w:multiLevelType w:val="hybridMultilevel"/>
    <w:lvl w:ilvl="0">
      <w:lvlJc w:val="left"/>
      <w:lvlText w:val="%1"/>
      <w:numFmt w:val="lowerLetter"/>
      <w:start w:val="1"/>
    </w:lvl>
    <w:lvl w:ilvl="1">
      <w:lvlJc w:val="left"/>
      <w:lvlText w:val="%2."/>
      <w:numFmt w:val="decimal"/>
      <w:start w:val="2"/>
    </w:lvl>
  </w:abstractNum>
  <w:abstractNum w:abstractNumId="191">
    <w:nsid w:val="327FAC77"/>
    <w:multiLevelType w:val="hybridMultilevel"/>
    <w:lvl w:ilvl="0">
      <w:lvlJc w:val="left"/>
      <w:lvlText w:val="(%1)"/>
      <w:numFmt w:val="lowerLetter"/>
      <w:start w:val="1"/>
    </w:lvl>
    <w:lvl w:ilvl="1">
      <w:lvlJc w:val="left"/>
      <w:lvlText w:val="%2."/>
      <w:numFmt w:val="decimal"/>
      <w:start w:val="3"/>
    </w:lvl>
  </w:abstractNum>
  <w:abstractNum w:abstractNumId="192">
    <w:nsid w:val="5A606509"/>
    <w:multiLevelType w:val="hybridMultilevel"/>
    <w:lvl w:ilvl="0">
      <w:lvlJc w:val="left"/>
      <w:lvlText w:val="%1."/>
      <w:numFmt w:val="decimal"/>
      <w:start w:val="4"/>
    </w:lvl>
  </w:abstractNum>
  <w:abstractNum w:abstractNumId="193">
    <w:nsid w:val="6F38E6D1"/>
    <w:multiLevelType w:val="hybridMultilevel"/>
    <w:lvl w:ilvl="0">
      <w:lvlJc w:val="left"/>
      <w:lvlText w:val="%1"/>
      <w:numFmt w:val="lowerLetter"/>
      <w:start w:val="1"/>
    </w:lvl>
    <w:lvl w:ilvl="1">
      <w:lvlJc w:val="left"/>
      <w:lvlText w:val="(%2)"/>
      <w:numFmt w:val="lowerLetter"/>
      <w:start w:val="9"/>
    </w:lvl>
  </w:abstractNum>
  <w:abstractNum w:abstractNumId="194">
    <w:nsid w:val="46111BA5"/>
    <w:multiLevelType w:val="hybridMultilevel"/>
    <w:lvl w:ilvl="0">
      <w:lvlJc w:val="left"/>
      <w:lvlText w:val="(%1)"/>
      <w:numFmt w:val="lowerLetter"/>
      <w:start w:val="1"/>
    </w:lvl>
    <w:lvl w:ilvl="1">
      <w:lvlJc w:val="left"/>
      <w:lvlText w:val="%2"/>
      <w:numFmt w:val="lowerLetter"/>
      <w:start w:val="1"/>
    </w:lvl>
  </w:abstractNum>
  <w:abstractNum w:abstractNumId="195">
    <w:nsid w:val="5E963896"/>
    <w:multiLevelType w:val="hybridMultilevel"/>
    <w:lvl w:ilvl="0">
      <w:lvlJc w:val="left"/>
      <w:lvlText w:val="(%1)"/>
      <w:numFmt w:val="lowerLetter"/>
      <w:start w:val="2"/>
    </w:lvl>
  </w:abstractNum>
  <w:abstractNum w:abstractNumId="196">
    <w:nsid w:val="775BA7C1"/>
    <w:multiLevelType w:val="hybridMultilevel"/>
    <w:lvl w:ilvl="0">
      <w:lvlJc w:val="left"/>
      <w:lvlText w:val="(%1)"/>
      <w:numFmt w:val="lowerLetter"/>
      <w:start w:val="4"/>
    </w:lvl>
  </w:abstractNum>
  <w:abstractNum w:abstractNumId="197">
    <w:nsid w:val="1DD6D6F4"/>
    <w:multiLevelType w:val="hybridMultilevel"/>
    <w:lvl w:ilvl="0">
      <w:lvlJc w:val="left"/>
      <w:lvlText w:val="%1"/>
      <w:numFmt w:val="lowerRoman"/>
      <w:start w:val="1"/>
    </w:lvl>
    <w:lvl w:ilvl="1">
      <w:lvlJc w:val="left"/>
      <w:lvlText w:val="(%2)"/>
      <w:numFmt w:val="lowerLetter"/>
      <w:start w:val="8"/>
    </w:lvl>
  </w:abstractNum>
  <w:abstractNum w:abstractNumId="198">
    <w:nsid w:val="769A091F"/>
    <w:multiLevelType w:val="hybridMultilevel"/>
    <w:lvl w:ilvl="0">
      <w:lvlJc w:val="left"/>
      <w:lvlText w:val="(%1)"/>
      <w:numFmt w:val="lowerRoman"/>
      <w:start w:val="4"/>
    </w:lvl>
    <w:lvl w:ilvl="1">
      <w:lvlJc w:val="left"/>
      <w:lvlText w:val="%2"/>
      <w:numFmt w:val="lowerLetter"/>
      <w:start w:val="1"/>
    </w:lvl>
  </w:abstractNum>
  <w:abstractNum w:abstractNumId="199">
    <w:nsid w:val="4695AE95"/>
    <w:multiLevelType w:val="hybridMultilevel"/>
    <w:lvl w:ilvl="0">
      <w:lvlJc w:val="left"/>
      <w:lvlText w:val="(%1)"/>
      <w:numFmt w:val="lowerRoman"/>
      <w:start w:val="8"/>
    </w:lvl>
    <w:lvl w:ilvl="1">
      <w:lvlJc w:val="left"/>
      <w:lvlText w:val="%2"/>
      <w:numFmt w:val="lowerLetter"/>
      <w:start w:val="1"/>
    </w:lvl>
  </w:abstractNum>
  <w:abstractNum w:abstractNumId="200">
    <w:nsid w:val="777A4EAA"/>
    <w:multiLevelType w:val="hybridMultilevel"/>
    <w:lvl w:ilvl="0">
      <w:lvlJc w:val="left"/>
      <w:lvlText w:val="(%1)"/>
      <w:numFmt w:val="lowerRoman"/>
      <w:start w:val="8"/>
    </w:lvl>
    <w:lvl w:ilvl="1">
      <w:lvlJc w:val="left"/>
      <w:lvlText w:val="(%2)"/>
      <w:numFmt w:val="lowerLetter"/>
      <w:start w:val="11"/>
    </w:lvl>
  </w:abstractNum>
  <w:abstractNum w:abstractNumId="201">
    <w:nsid w:val="3F48B982"/>
    <w:multiLevelType w:val="hybridMultilevel"/>
    <w:lvl w:ilvl="0">
      <w:lvlJc w:val="left"/>
      <w:lvlText w:val="%1"/>
      <w:numFmt w:val="decimal"/>
      <w:start w:val="1"/>
    </w:lvl>
    <w:lvl w:ilvl="1">
      <w:lvlJc w:val="left"/>
      <w:lvlText w:val="(%2)"/>
      <w:numFmt w:val="lowerLetter"/>
      <w:start w:val="14"/>
    </w:lvl>
    <w:lvl w:ilvl="2">
      <w:lvlJc w:val="left"/>
      <w:lvlText w:val="%3"/>
      <w:numFmt w:val="decimal"/>
      <w:start w:val="1"/>
    </w:lvl>
  </w:abstractNum>
  <w:abstractNum w:abstractNumId="202">
    <w:nsid w:val="46BA8FCA"/>
    <w:multiLevelType w:val="hybridMultilevel"/>
    <w:lvl w:ilvl="0">
      <w:lvlJc w:val="left"/>
      <w:lvlText w:val="(%1)"/>
      <w:numFmt w:val="decimal"/>
      <w:start w:val="30"/>
    </w:lvl>
    <w:lvl w:ilvl="1">
      <w:lvlJc w:val="left"/>
      <w:lvlText w:val="(%2)"/>
      <w:numFmt w:val="lowerLetter"/>
    </w:lvl>
    <w:lvl w:ilvl="2">
      <w:lvlJc w:val="left"/>
      <w:lvlText w:val="%3."/>
      <w:numFmt w:val="decimal"/>
      <w:start w:val="6"/>
    </w:lvl>
  </w:abstractNum>
  <w:abstractNum w:abstractNumId="203">
    <w:nsid w:val="7835626C"/>
    <w:multiLevelType w:val="hybridMultilevel"/>
    <w:lvl w:ilvl="0">
      <w:lvlJc w:val="left"/>
      <w:lvlText w:val="(%1)"/>
      <w:numFmt w:val="lowerLetter"/>
      <w:start w:val="5"/>
    </w:lvl>
    <w:lvl w:ilvl="1">
      <w:lvlJc w:val="left"/>
      <w:lvlText w:val="(%2)"/>
      <w:numFmt w:val="lowerRoman"/>
      <w:start w:val="1"/>
    </w:lvl>
  </w:abstractNum>
  <w:abstractNum w:abstractNumId="204">
    <w:nsid w:val="665ACA49"/>
    <w:multiLevelType w:val="hybridMultilevel"/>
    <w:lvl w:ilvl="0">
      <w:lvlJc w:val="left"/>
      <w:lvlText w:val="%1"/>
      <w:numFmt w:val="lowerLetter"/>
      <w:start w:val="1"/>
    </w:lvl>
    <w:lvl w:ilvl="1">
      <w:lvlJc w:val="left"/>
      <w:lvlText w:val="(%2)"/>
      <w:numFmt w:val="lowerLetter"/>
      <w:start w:val="61"/>
    </w:lvl>
  </w:abstractNum>
  <w:abstractNum w:abstractNumId="205">
    <w:nsid w:val="6835B2AE"/>
    <w:multiLevelType w:val="hybridMultilevel"/>
    <w:lvl w:ilvl="0">
      <w:lvlJc w:val="left"/>
      <w:lvlText w:val="(%1)"/>
      <w:numFmt w:val="lowerLetter"/>
      <w:start w:val="9"/>
    </w:lvl>
    <w:lvl w:ilvl="1">
      <w:lvlJc w:val="left"/>
      <w:lvlText w:val="%2"/>
      <w:numFmt w:val="lowerLetter"/>
      <w:start w:val="1"/>
    </w:lvl>
  </w:abstractNum>
  <w:abstractNum w:abstractNumId="206">
    <w:nsid w:val="4C187C90"/>
    <w:multiLevelType w:val="hybridMultilevel"/>
    <w:lvl w:ilvl="0">
      <w:lvlJc w:val="left"/>
      <w:lvlText w:val="(%1)"/>
      <w:numFmt w:val="lowerLetter"/>
      <w:start w:val="14"/>
    </w:lvl>
  </w:abstractNum>
  <w:abstractNum w:abstractNumId="207">
    <w:nsid w:val="541F28CD"/>
    <w:multiLevelType w:val="hybridMultilevel"/>
    <w:lvl w:ilvl="0">
      <w:lvlJc w:val="left"/>
      <w:lvlText w:val="%1"/>
      <w:numFmt w:val="lowerLetter"/>
      <w:start w:val="1"/>
    </w:lvl>
    <w:lvl w:ilvl="1">
      <w:lvlJc w:val="left"/>
      <w:lvlText w:val="%2."/>
      <w:numFmt w:val="decimal"/>
      <w:start w:val="7"/>
    </w:lvl>
  </w:abstractNum>
  <w:abstractNum w:abstractNumId="208">
    <w:nsid w:val="7F65FD16"/>
    <w:multiLevelType w:val="hybridMultilevel"/>
    <w:lvl w:ilvl="0">
      <w:lvlJc w:val="left"/>
      <w:lvlText w:val="(%1)"/>
      <w:numFmt w:val="lowerLetter"/>
      <w:start w:val="1"/>
    </w:lvl>
    <w:lvl w:ilvl="1">
      <w:lvlJc w:val="left"/>
      <w:lvlText w:val="%2"/>
      <w:numFmt w:val="decimal"/>
      <w:start w:val="1"/>
    </w:lvl>
  </w:abstractNum>
  <w:abstractNum w:abstractNumId="209">
    <w:nsid w:val="77C9FD68"/>
    <w:multiLevelType w:val="hybridMultilevel"/>
    <w:lvl w:ilvl="0">
      <w:lvlJc w:val="left"/>
      <w:lvlText w:val="(%1)"/>
      <w:numFmt w:val="lowerLetter"/>
      <w:start w:val="2"/>
    </w:lvl>
  </w:abstractNum>
  <w:abstractNum w:abstractNumId="210">
    <w:nsid w:val="298A92BA"/>
    <w:multiLevelType w:val="hybridMultilevel"/>
    <w:lvl w:ilvl="0">
      <w:lvlJc w:val="left"/>
      <w:lvlText w:val="(%1)"/>
      <w:numFmt w:val="lowerLetter"/>
      <w:start w:val="9"/>
    </w:lvl>
    <w:lvl w:ilvl="1">
      <w:lvlJc w:val="left"/>
      <w:lvlText w:val="(%2)"/>
      <w:numFmt w:val="lowerLetter"/>
      <w:start w:val="4"/>
    </w:lvl>
  </w:abstractNum>
  <w:abstractNum w:abstractNumId="211">
    <w:nsid w:val="6FE95EAC"/>
    <w:multiLevelType w:val="hybridMultilevel"/>
    <w:lvl w:ilvl="0">
      <w:lvlJc w:val="left"/>
      <w:lvlText w:val="%1."/>
      <w:numFmt w:val="decimal"/>
      <w:start w:val="9"/>
    </w:lvl>
  </w:abstractNum>
  <w:abstractNum w:abstractNumId="212">
    <w:nsid w:val="4B697C7A"/>
    <w:multiLevelType w:val="hybridMultilevel"/>
    <w:lvl w:ilvl="0">
      <w:lvlJc w:val="left"/>
      <w:lvlText w:val="%1"/>
      <w:numFmt w:val="lowerRoman"/>
      <w:start w:val="1"/>
    </w:lvl>
    <w:lvl w:ilvl="1">
      <w:lvlJc w:val="left"/>
      <w:lvlText w:val="%2."/>
      <w:numFmt w:val="decimal"/>
      <w:start w:val="10"/>
    </w:lvl>
  </w:abstractNum>
  <w:abstractNum w:abstractNumId="213">
    <w:nsid w:val="51A27AA6"/>
    <w:multiLevelType w:val="hybridMultilevel"/>
    <w:lvl w:ilvl="0">
      <w:lvlJc w:val="left"/>
      <w:lvlText w:val="(%1)"/>
      <w:numFmt w:val="lowerRoman"/>
      <w:start w:val="3"/>
    </w:lvl>
    <w:lvl w:ilvl="1">
      <w:lvlJc w:val="left"/>
      <w:lvlText w:val="%2."/>
      <w:numFmt w:val="decimal"/>
      <w:start w:val="11"/>
    </w:lvl>
  </w:abstractNum>
  <w:abstractNum w:abstractNumId="214">
    <w:nsid w:val="613183F2"/>
    <w:multiLevelType w:val="hybridMultilevel"/>
    <w:lvl w:ilvl="0">
      <w:lvlJc w:val="left"/>
      <w:lvlText w:val="%1"/>
      <w:numFmt w:val="lowerLetter"/>
      <w:start w:val="1"/>
    </w:lvl>
    <w:lvl w:ilvl="1">
      <w:lvlJc w:val="left"/>
      <w:lvlText w:val="%2."/>
      <w:numFmt w:val="decimal"/>
      <w:start w:val="15"/>
    </w:lvl>
  </w:abstractNum>
  <w:abstractNum w:abstractNumId="215">
    <w:nsid w:val="634102B4"/>
    <w:multiLevelType w:val="hybridMultilevel"/>
    <w:lvl w:ilvl="0">
      <w:lvlJc w:val="left"/>
      <w:lvlText w:val="(%1)"/>
      <w:numFmt w:val="lowerLetter"/>
      <w:start w:val="1"/>
    </w:lvl>
    <w:lvl w:ilvl="1">
      <w:lvlJc w:val="left"/>
      <w:lvlText w:val="%2"/>
      <w:numFmt w:val="decimal"/>
      <w:start w:val="1"/>
    </w:lvl>
  </w:abstractNum>
  <w:abstractNum w:abstractNumId="216">
    <w:nsid w:val="65BF9DA8"/>
    <w:multiLevelType w:val="hybridMultilevel"/>
    <w:lvl w:ilvl="0">
      <w:lvlJc w:val="left"/>
      <w:lvlText w:val="%1."/>
      <w:numFmt w:val="decimal"/>
      <w:start w:val="16"/>
    </w:lvl>
  </w:abstractNum>
  <w:abstractNum w:abstractNumId="217">
    <w:nsid w:val="21A2ECCA"/>
    <w:multiLevelType w:val="hybridMultilevel"/>
    <w:lvl w:ilvl="0">
      <w:lvlJc w:val="left"/>
      <w:lvlText w:val="%1."/>
      <w:numFmt w:val="decimal"/>
      <w:start w:val="17"/>
    </w:lvl>
  </w:abstractNum>
  <w:abstractNum w:abstractNumId="218">
    <w:nsid w:val="4D5C4899"/>
    <w:multiLevelType w:val="hybridMultilevel"/>
    <w:lvl w:ilvl="0">
      <w:lvlJc w:val="left"/>
      <w:lvlText w:val="(%1)"/>
      <w:numFmt w:val="lowerLetter"/>
      <w:start w:val="1"/>
    </w:lvl>
    <w:lvl w:ilvl="1">
      <w:lvlJc w:val="left"/>
      <w:lvlText w:val="(%2)"/>
      <w:numFmt w:val="lowerRoman"/>
      <w:start w:val="1"/>
    </w:lvl>
  </w:abstractNum>
  <w:abstractNum w:abstractNumId="219">
    <w:nsid w:val="3C3B72B2"/>
    <w:multiLevelType w:val="hybridMultilevel"/>
    <w:lvl w:ilvl="0">
      <w:lvlJc w:val="left"/>
      <w:lvlText w:val="(%1)"/>
      <w:numFmt w:val="lowerRoman"/>
      <w:start w:val="5"/>
    </w:lvl>
  </w:abstractNum>
  <w:abstractNum w:abstractNumId="220">
    <w:nsid w:val="155EC4C2"/>
    <w:multiLevelType w:val="hybridMultilevel"/>
    <w:lvl w:ilvl="0">
      <w:lvlJc w:val="left"/>
      <w:lvlText w:val="(%1)"/>
      <w:numFmt w:val="lowerRoman"/>
      <w:start w:val="10"/>
    </w:lvl>
  </w:abstractNum>
  <w:abstractNum w:abstractNumId="221">
    <w:nsid w:val="65D2A137"/>
    <w:multiLevelType w:val="hybridMultilevel"/>
    <w:lvl w:ilvl="0">
      <w:lvlJc w:val="left"/>
      <w:lvlText w:val="%1"/>
      <w:numFmt w:val="lowerLetter"/>
      <w:start w:val="1"/>
    </w:lvl>
    <w:lvl w:ilvl="1">
      <w:lvlJc w:val="left"/>
      <w:lvlText w:val="(%2)"/>
      <w:numFmt w:val="upperLetter"/>
      <w:start w:val="1"/>
    </w:lvl>
  </w:abstractNum>
  <w:abstractNum w:abstractNumId="222">
    <w:nsid w:val="6EBB1F2A"/>
    <w:multiLevelType w:val="hybridMultilevel"/>
    <w:lvl w:ilvl="0">
      <w:lvlJc w:val="left"/>
      <w:lvlText w:val="(%1)"/>
      <w:numFmt w:val="lowerLetter"/>
      <w:start w:val="2"/>
    </w:lvl>
    <w:lvl w:ilvl="1">
      <w:lvlJc w:val="left"/>
      <w:lvlText w:val="%2"/>
      <w:numFmt w:val="upperLetter"/>
      <w:start w:val="1"/>
    </w:lvl>
  </w:abstractNum>
  <w:abstractNum w:abstractNumId="223">
    <w:nsid w:val="6FBF29CB"/>
    <w:multiLevelType w:val="hybridMultilevel"/>
    <w:lvl w:ilvl="0">
      <w:lvlJc w:val="left"/>
      <w:lvlText w:val="(%1)"/>
      <w:numFmt w:val="lowerLetter"/>
      <w:start w:val="3"/>
    </w:lvl>
  </w:abstractNum>
  <w:abstractNum w:abstractNumId="224">
    <w:nsid w:val="550B8808"/>
    <w:multiLevelType w:val="hybridMultilevel"/>
    <w:lvl w:ilvl="0">
      <w:lvlJc w:val="left"/>
      <w:lvlText w:val="(%1)"/>
      <w:numFmt w:val="lowerRoman"/>
      <w:start w:val="4"/>
    </w:lvl>
  </w:abstractNum>
  <w:abstractNum w:abstractNumId="225">
    <w:nsid w:val="34CC3ACF"/>
    <w:multiLevelType w:val="hybridMultilevel"/>
    <w:lvl w:ilvl="0">
      <w:lvlJc w:val="left"/>
      <w:lvlText w:val="(%1)"/>
      <w:numFmt w:val="lowerLetter"/>
      <w:start w:val="1"/>
    </w:lvl>
  </w:abstractNum>
  <w:abstractNum w:abstractNumId="226">
    <w:nsid w:val="4E556261"/>
    <w:multiLevelType w:val="hybridMultilevel"/>
    <w:lvl w:ilvl="0">
      <w:lvlJc w:val="left"/>
      <w:lvlText w:val="(%1)"/>
      <w:numFmt w:val="lowerRoman"/>
      <w:start w:val="1"/>
    </w:lvl>
  </w:abstractNum>
  <w:abstractNum w:abstractNumId="227">
    <w:nsid w:val="4C672FC9"/>
    <w:multiLevelType w:val="hybridMultilevel"/>
    <w:lvl w:ilvl="0">
      <w:lvlJc w:val="left"/>
      <w:lvlText w:val="(%1)"/>
      <w:numFmt w:val="lowerRoman"/>
      <w:start w:val="2"/>
    </w:lvl>
  </w:abstractNum>
  <w:abstractNum w:abstractNumId="228">
    <w:nsid w:val="52A311C3"/>
    <w:multiLevelType w:val="hybridMultilevel"/>
    <w:lvl w:ilvl="0">
      <w:lvlJc w:val="left"/>
      <w:lvlText w:val="(%1)"/>
      <w:numFmt w:val="lowerRoman"/>
      <w:start w:val="2"/>
    </w:lvl>
  </w:abstractNum>
  <w:abstractNum w:abstractNumId="229">
    <w:nsid w:val="44EF6B80"/>
    <w:multiLevelType w:val="hybridMultilevel"/>
    <w:lvl w:ilvl="0">
      <w:lvlJc w:val="left"/>
      <w:lvlText w:val="(%1)"/>
      <w:numFmt w:val="lowerLetter"/>
      <w:start w:val="1"/>
    </w:lvl>
  </w:abstractNum>
  <w:abstractNum w:abstractNumId="230">
    <w:nsid w:val="12FCDE5E"/>
    <w:multiLevelType w:val="hybridMultilevel"/>
    <w:lvl w:ilvl="0">
      <w:lvlJc w:val="left"/>
      <w:lvlText w:val="(%1)"/>
      <w:numFmt w:val="lowerRoman"/>
      <w:start w:val="1"/>
    </w:lvl>
  </w:abstractNum>
  <w:abstractNum w:abstractNumId="231">
    <w:nsid w:val="4A1D606E"/>
    <w:multiLevelType w:val="hybridMultilevel"/>
    <w:lvl w:ilvl="0">
      <w:lvlJc w:val="left"/>
      <w:lvlText w:val="(%1)"/>
      <w:numFmt w:val="lowerRoman"/>
      <w:start w:val="1"/>
    </w:lvl>
  </w:abstractNum>
  <w:abstractNum w:abstractNumId="232">
    <w:nsid w:val="4382503"/>
    <w:multiLevelType w:val="hybridMultilevel"/>
    <w:lvl w:ilvl="0">
      <w:lvlJc w:val="left"/>
      <w:lvlText w:val="(%1)"/>
      <w:numFmt w:val="lowerLetter"/>
      <w:start w:val="1"/>
    </w:lvl>
  </w:abstractNum>
  <w:abstractNum w:abstractNumId="233">
    <w:nsid w:val="59B76E28"/>
    <w:multiLevelType w:val="hybridMultilevel"/>
    <w:lvl w:ilvl="0">
      <w:lvlJc w:val="left"/>
      <w:lvlText w:val="(%1)"/>
      <w:numFmt w:val="lowerLetter"/>
      <w:start w:val="5"/>
    </w:lvl>
  </w:abstractNum>
  <w:abstractNum w:abstractNumId="234">
    <w:nsid w:val="4252C2DA"/>
    <w:multiLevelType w:val="hybridMultilevel"/>
    <w:lvl w:ilvl="0">
      <w:lvlJc w:val="left"/>
      <w:lvlText w:val="(%1)"/>
      <w:numFmt w:val="lowerLetter"/>
      <w:start w:val="1"/>
    </w:lvl>
  </w:abstractNum>
  <w:abstractNum w:abstractNumId="235">
    <w:nsid w:val="6A92EF4C"/>
    <w:multiLevelType w:val="hybridMultilevel"/>
    <w:lvl w:ilvl="0">
      <w:lvlJc w:val="left"/>
      <w:lvlText w:val="(%1)"/>
      <w:numFmt w:val="lowerLetter"/>
      <w:start w:val="2"/>
    </w:lvl>
  </w:abstractNum>
  <w:abstractNum w:abstractNumId="236">
    <w:nsid w:val="41ED20D7"/>
    <w:multiLevelType w:val="hybridMultilevel"/>
    <w:lvl w:ilvl="0">
      <w:lvlJc w:val="left"/>
      <w:lvlText w:val="%1"/>
      <w:numFmt w:val="lowerRoman"/>
      <w:start w:val="1"/>
    </w:lvl>
    <w:lvl w:ilvl="1">
      <w:lvlJc w:val="left"/>
      <w:lvlText w:val="(%2)"/>
      <w:numFmt w:val="lowerLetter"/>
      <w:start w:val="1"/>
    </w:lvl>
  </w:abstractNum>
  <w:abstractNum w:abstractNumId="237">
    <w:nsid w:val="E6B3F6A"/>
    <w:multiLevelType w:val="hybridMultilevel"/>
    <w:lvl w:ilvl="0">
      <w:lvlJc w:val="left"/>
      <w:lvlText w:val="(%1)"/>
      <w:numFmt w:val="lowerRoman"/>
      <w:start w:val="1"/>
    </w:lvl>
    <w:lvl w:ilvl="1">
      <w:lvlJc w:val="left"/>
      <w:lvlText w:val="(%2)"/>
      <w:numFmt w:val="lowerLetter"/>
      <w:start w:val="3"/>
    </w:lvl>
  </w:abstractNum>
  <w:abstractNum w:abstractNumId="238">
    <w:nsid w:val="3EB21819"/>
    <w:multiLevelType w:val="hybridMultilevel"/>
    <w:lvl w:ilvl="0">
      <w:lvlJc w:val="left"/>
      <w:lvlText w:val="(%1)"/>
      <w:numFmt w:val="lowerLetter"/>
      <w:start w:val="5"/>
    </w:lvl>
  </w:abstractNum>
  <w:abstractNum w:abstractNumId="239">
    <w:nsid w:val="41531DED"/>
    <w:multiLevelType w:val="hybridMultilevel"/>
    <w:lvl w:ilvl="0">
      <w:lvlJc w:val="left"/>
      <w:lvlText w:val="%1"/>
      <w:numFmt w:val="upperLetter"/>
      <w:start w:val="1"/>
    </w:lvl>
    <w:lvl w:ilvl="1">
      <w:lvlJc w:val="left"/>
      <w:lvlText w:val="(%2)"/>
      <w:numFmt w:val="lowerRoman"/>
      <w:start w:val="1"/>
    </w:lvl>
  </w:abstractNum>
  <w:abstractNum w:abstractNumId="240">
    <w:nsid w:val="6353CD2"/>
    <w:multiLevelType w:val="hybridMultilevel"/>
    <w:lvl w:ilvl="0">
      <w:lvlJc w:val="left"/>
      <w:lvlText w:val="(%1)"/>
      <w:numFmt w:val="upperLetter"/>
      <w:start w:val="2"/>
    </w:lvl>
    <w:lvl w:ilvl="1">
      <w:lvlJc w:val="left"/>
      <w:lvlText w:val="%2"/>
      <w:numFmt w:val="lowerRoman"/>
      <w:start w:val="1"/>
    </w:lvl>
  </w:abstractNum>
  <w:abstractNum w:abstractNumId="241">
    <w:nsid w:val="683CAAD3"/>
    <w:multiLevelType w:val="hybridMultilevel"/>
    <w:lvl w:ilvl="0">
      <w:lvlJc w:val="left"/>
      <w:lvlText w:val="(%1)"/>
      <w:numFmt w:val="lowerRoman"/>
      <w:start w:val="2"/>
    </w:lvl>
  </w:abstractNum>
  <w:abstractNum w:abstractNumId="242">
    <w:nsid w:val="313C7C99"/>
    <w:multiLevelType w:val="hybridMultilevel"/>
    <w:lvl w:ilvl="0">
      <w:lvlJc w:val="left"/>
      <w:lvlText w:val="(%1)"/>
      <w:numFmt w:val="decimal"/>
      <w:start w:val="4"/>
    </w:lvl>
  </w:abstractNum>
  <w:abstractNum w:abstractNumId="243">
    <w:nsid w:val="519EB94C"/>
    <w:multiLevelType w:val="hybridMultilevel"/>
    <w:lvl w:ilvl="0">
      <w:lvlJc w:val="left"/>
      <w:lvlText w:val="(%1)"/>
      <w:numFmt w:val="decimal"/>
      <w:start w:val="9"/>
    </w:lvl>
  </w:abstractNum>
  <w:abstractNum w:abstractNumId="244">
    <w:nsid w:val="39DF2579"/>
    <w:multiLevelType w:val="hybridMultilevel"/>
    <w:lvl w:ilvl="0">
      <w:lvlJc w:val="left"/>
      <w:lvlText w:val="(%1)"/>
      <w:numFmt w:val="lowerLetter"/>
      <w:start w:val="1"/>
    </w:lvl>
  </w:abstractNum>
  <w:abstractNum w:abstractNumId="245">
    <w:nsid w:val="126E008B"/>
    <w:multiLevelType w:val="hybridMultilevel"/>
    <w:lvl w:ilvl="0">
      <w:lvlJc w:val="left"/>
      <w:lvlText w:val="%1."/>
      <w:numFmt w:val="decimal"/>
      <w:start w:val="1"/>
    </w:lvl>
  </w:abstractNum>
  <w:abstractNum w:abstractNumId="246">
    <w:nsid w:val="34DFBC00"/>
    <w:multiLevelType w:val="hybridMultilevel"/>
    <w:lvl w:ilvl="0">
      <w:lvlJc w:val="left"/>
      <w:lvlText w:val="%1."/>
      <w:numFmt w:val="decimal"/>
      <w:start w:val="2"/>
    </w:lvl>
  </w:abstractNum>
  <w:abstractNum w:abstractNumId="247">
    <w:nsid w:val="1F9EC322"/>
    <w:multiLevelType w:val="hybridMultilevel"/>
    <w:lvl w:ilvl="0">
      <w:lvlJc w:val="left"/>
      <w:lvlText w:val="%1."/>
      <w:numFmt w:val="decimal"/>
      <w:start w:val="3"/>
    </w:lvl>
  </w:abstractNum>
  <w:abstractNum w:abstractNumId="248">
    <w:nsid w:val="3410ED56"/>
    <w:multiLevelType w:val="hybridMultilevel"/>
    <w:lvl w:ilvl="0">
      <w:lvlJc w:val="left"/>
      <w:lvlText w:val="(%1)"/>
      <w:numFmt w:val="lowerRoman"/>
      <w:start w:val="2"/>
    </w:lvl>
  </w:abstractNum>
  <w:abstractNum w:abstractNumId="249">
    <w:nsid w:val="23C049A"/>
    <w:multiLevelType w:val="hybridMultilevel"/>
    <w:lvl w:ilvl="0">
      <w:lvlJc w:val="left"/>
      <w:lvlText w:val="%1."/>
      <w:numFmt w:val="decimal"/>
      <w:start w:val="4"/>
    </w:lvl>
  </w:abstractNum>
  <w:abstractNum w:abstractNumId="250">
    <w:nsid w:val="5BDA35D4"/>
    <w:multiLevelType w:val="hybridMultilevel"/>
    <w:lvl w:ilvl="0">
      <w:lvlJc w:val="left"/>
      <w:lvlText w:val="%1."/>
      <w:numFmt w:val="decimal"/>
      <w:start w:val="5"/>
    </w:lvl>
  </w:abstractNum>
  <w:abstractNum w:abstractNumId="251">
    <w:nsid w:val="496FB218"/>
    <w:multiLevelType w:val="hybridMultilevel"/>
    <w:lvl w:ilvl="0">
      <w:lvlJc w:val="left"/>
      <w:lvlText w:val="%1."/>
      <w:numFmt w:val="decimal"/>
      <w:start w:val="6"/>
    </w:lvl>
  </w:abstractNum>
  <w:abstractNum w:abstractNumId="252">
    <w:nsid w:val="680EA5D1"/>
    <w:multiLevelType w:val="hybridMultilevel"/>
    <w:lvl w:ilvl="0">
      <w:lvlJc w:val="left"/>
      <w:lvlText w:val="%1."/>
      <w:numFmt w:val="decimal"/>
      <w:start w:val="7"/>
    </w:lvl>
  </w:abstractNum>
  <w:abstractNum w:abstractNumId="253">
    <w:nsid w:val="4A9554FE"/>
    <w:multiLevelType w:val="hybridMultilevel"/>
    <w:lvl w:ilvl="0">
      <w:lvlJc w:val="left"/>
      <w:lvlText w:val="(%1)"/>
      <w:numFmt w:val="decimal"/>
      <w:start w:val="5"/>
    </w:lvl>
  </w:abstractNum>
  <w:abstractNum w:abstractNumId="254">
    <w:nsid w:val="392EDBE4"/>
    <w:multiLevelType w:val="hybridMultilevel"/>
    <w:lvl w:ilvl="0">
      <w:lvlJc w:val="left"/>
      <w:lvlText w:val="(%1)"/>
      <w:numFmt w:val="decimal"/>
      <w:start w:val="8"/>
    </w:lvl>
  </w:abstractNum>
  <w:abstractNum w:abstractNumId="255">
    <w:nsid w:val="3D1A2DD9"/>
    <w:multiLevelType w:val="hybridMultilevel"/>
    <w:lvl w:ilvl="0">
      <w:lvlJc w:val="left"/>
      <w:lvlText w:val="%1."/>
      <w:numFmt w:val="decimal"/>
      <w:start w:val="8"/>
    </w:lvl>
  </w:abstractNum>
  <w:abstractNum w:abstractNumId="256">
    <w:nsid w:val="7F618FCD"/>
    <w:multiLevelType w:val="hybridMultilevel"/>
    <w:lvl w:ilvl="0">
      <w:lvlJc w:val="left"/>
      <w:lvlText w:val="%1."/>
      <w:numFmt w:val="decimal"/>
      <w:start w:val="9"/>
    </w:lvl>
  </w:abstractNum>
  <w:abstractNum w:abstractNumId="257">
    <w:nsid w:val="7843E45"/>
    <w:multiLevelType w:val="hybridMultilevel"/>
    <w:lvl w:ilvl="0">
      <w:lvlJc w:val="left"/>
      <w:lvlText w:val="%1."/>
      <w:numFmt w:val="decimal"/>
      <w:start w:val="10"/>
    </w:lvl>
  </w:abstractNum>
  <w:abstractNum w:abstractNumId="258">
    <w:nsid w:val="9815DA3"/>
    <w:multiLevelType w:val="hybridMultilevel"/>
    <w:lvl w:ilvl="0">
      <w:lvlJc w:val="left"/>
      <w:lvlText w:val="%1."/>
      <w:numFmt w:val="decimal"/>
      <w:start w:val="11"/>
    </w:lvl>
  </w:abstractNum>
  <w:abstractNum w:abstractNumId="259">
    <w:nsid w:val="5204A191"/>
    <w:multiLevelType w:val="hybridMultilevel"/>
    <w:lvl w:ilvl="0">
      <w:lvlJc w:val="left"/>
      <w:lvlText w:val="%1."/>
      <w:numFmt w:val="decimal"/>
      <w:start w:val="12"/>
    </w:lvl>
  </w:abstractNum>
  <w:abstractNum w:abstractNumId="260">
    <w:nsid w:val="4C73A9C6"/>
    <w:multiLevelType w:val="hybridMultilevel"/>
    <w:lvl w:ilvl="0">
      <w:lvlJc w:val="left"/>
      <w:lvlText w:val="(%1)"/>
      <w:numFmt w:val="lowerRoman"/>
      <w:start w:val="1"/>
    </w:lvl>
  </w:abstractNum>
  <w:abstractNum w:abstractNumId="261">
    <w:nsid w:val="1C7E3C01"/>
    <w:multiLevelType w:val="hybridMultilevel"/>
    <w:lvl w:ilvl="0">
      <w:lvlJc w:val="left"/>
      <w:lvlText w:val="(%1)"/>
      <w:numFmt w:val="lowerRoman"/>
      <w:start w:val="1"/>
    </w:lvl>
  </w:abstractNum>
  <w:abstractNum w:abstractNumId="262">
    <w:nsid w:val="1C2201FF"/>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2"/>
    </w:lvl>
  </w:abstractNum>
  <w:abstractNum w:abstractNumId="263">
    <w:nsid w:val="50ABCEC9"/>
    <w:multiLevelType w:val="hybridMultilevel"/>
    <w:lvl w:ilvl="0">
      <w:lvlJc w:val="left"/>
      <w:lvlText w:val="%1"/>
      <w:numFmt w:val="decimal"/>
      <w:start w:val="1"/>
    </w:lvl>
    <w:lvl w:ilvl="1">
      <w:lvlJc w:val="left"/>
      <w:lvlText w:val="(%2)"/>
      <w:numFmt w:val="lowerLetter"/>
      <w:start w:val="3"/>
    </w:lvl>
  </w:abstractNum>
  <w:abstractNum w:abstractNumId="264">
    <w:nsid w:val="7635AA2A"/>
    <w:multiLevelType w:val="hybridMultilevel"/>
    <w:lvl w:ilvl="0">
      <w:lvlJc w:val="left"/>
      <w:lvlText w:val="%1."/>
      <w:numFmt w:val="decimal"/>
      <w:start w:val="14"/>
    </w:lvl>
    <w:lvl w:ilvl="1">
      <w:lvlJc w:val="left"/>
      <w:lvlText w:val="%2"/>
      <w:numFmt w:val="lowerLetter"/>
      <w:start w:val="1"/>
    </w:lvl>
  </w:abstractNum>
  <w:abstractNum w:abstractNumId="265">
    <w:nsid w:val="5E74C4D9"/>
    <w:multiLevelType w:val="hybridMultilevel"/>
    <w:lvl w:ilvl="0">
      <w:lvlJc w:val="left"/>
      <w:lvlText w:val="%1."/>
      <w:numFmt w:val="decimal"/>
      <w:start w:val="15"/>
    </w:lvl>
  </w:abstractNum>
  <w:abstractNum w:abstractNumId="266">
    <w:nsid w:val="3B3EBE15"/>
    <w:multiLevelType w:val="hybridMultilevel"/>
    <w:lvl w:ilvl="0">
      <w:lvlJc w:val="left"/>
      <w:lvlText w:val="%1."/>
      <w:numFmt w:val="decimal"/>
      <w:start w:val="16"/>
    </w:lvl>
    <w:lvl w:ilvl="1">
      <w:lvlJc w:val="left"/>
      <w:lvlText w:val="(%2)"/>
      <w:numFmt w:val="lowerLetter"/>
      <w:start w:val="1"/>
    </w:lvl>
  </w:abstractNum>
  <w:abstractNum w:abstractNumId="267">
    <w:nsid w:val="3822CB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268">
    <w:nsid w:val="6CE00443"/>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269">
    <w:nsid w:val="79F0D62F"/>
    <w:multiLevelType w:val="hybridMultilevel"/>
    <w:lvl w:ilvl="0">
      <w:lvlJc w:val="left"/>
      <w:lvlText w:val="(%1)"/>
      <w:numFmt w:val="lowerRoman"/>
      <w:start w:val="1"/>
    </w:lvl>
  </w:abstractNum>
  <w:abstractNum w:abstractNumId="270">
    <w:nsid w:val="7975E8EE"/>
    <w:multiLevelType w:val="hybridMultilevel"/>
    <w:lvl w:ilvl="0">
      <w:lvlJc w:val="left"/>
      <w:lvlText w:val="(%1)"/>
      <w:numFmt w:val="lowerRoman"/>
      <w:start w:val="2"/>
    </w:lvl>
  </w:abstractNum>
  <w:abstractNum w:abstractNumId="271">
    <w:nsid w:val="73154115"/>
    <w:multiLevelType w:val="hybridMultilevel"/>
    <w:lvl w:ilvl="0">
      <w:lvlJc w:val="left"/>
      <w:lvlText w:val="%1."/>
      <w:numFmt w:val="decimal"/>
      <w:start w:val="19"/>
    </w:lvl>
  </w:abstractNum>
  <w:abstractNum w:abstractNumId="272">
    <w:nsid w:val="622D8102"/>
    <w:multiLevelType w:val="hybridMultilevel"/>
    <w:lvl w:ilvl="0">
      <w:lvlJc w:val="left"/>
      <w:lvlText w:val="%1."/>
      <w:numFmt w:val="decimal"/>
      <w:start w:val="20"/>
    </w:lvl>
  </w:abstractNum>
  <w:abstractNum w:abstractNumId="273">
    <w:nsid w:val="2AB26587"/>
    <w:multiLevelType w:val="hybridMultilevel"/>
    <w:lvl w:ilvl="0">
      <w:lvlJc w:val="left"/>
      <w:lvlText w:val="%1."/>
      <w:numFmt w:val="decimal"/>
      <w:start w:val="21"/>
    </w:lvl>
    <w:lvl w:ilvl="1">
      <w:lvlJc w:val="left"/>
      <w:lvlText w:val="(%2)"/>
      <w:numFmt w:val="lowerLetter"/>
      <w:start w:val="1"/>
    </w:lvl>
  </w:abstractNum>
  <w:abstractNum w:abstractNumId="274">
    <w:nsid w:val="44B3FA61"/>
    <w:multiLevelType w:val="hybridMultilevel"/>
    <w:lvl w:ilvl="0">
      <w:lvlJc w:val="left"/>
      <w:lvlText w:val="%1"/>
      <w:numFmt w:val="decimal"/>
      <w:start w:val="1"/>
    </w:lvl>
    <w:lvl w:ilvl="1">
      <w:lvlJc w:val="left"/>
      <w:lvlText w:val="(%2)"/>
      <w:numFmt w:val="lowerLetter"/>
      <w:start w:val="2"/>
    </w:lvl>
  </w:abstractNum>
  <w:abstractNum w:abstractNumId="275">
    <w:nsid w:val="1C0CA67C"/>
    <w:multiLevelType w:val="hybridMultilevel"/>
    <w:lvl w:ilvl="0">
      <w:lvlJc w:val="left"/>
      <w:lvlText w:val="%1."/>
      <w:numFmt w:val="decimal"/>
      <w:start w:val="23"/>
    </w:lvl>
    <w:lvl w:ilvl="1">
      <w:lvlJc w:val="left"/>
      <w:lvlText w:val="%2"/>
      <w:numFmt w:val="lowerLetter"/>
      <w:start w:val="1"/>
    </w:lvl>
  </w:abstractNum>
  <w:abstractNum w:abstractNumId="276">
    <w:nsid w:val="3D206613"/>
    <w:multiLevelType w:val="hybridMultilevel"/>
    <w:lvl w:ilvl="0">
      <w:lvlJc w:val="left"/>
      <w:lvlText w:val="1"/>
      <w:numFmt w:val="bullet"/>
      <w:start w:val="1"/>
    </w:lvl>
  </w:abstractNum>
  <w:abstractNum w:abstractNumId="277">
    <w:nsid w:val="7993B662"/>
    <w:multiLevelType w:val="hybridMultilevel"/>
    <w:lvl w:ilvl="0">
      <w:lvlJc w:val="left"/>
      <w:lvlText w:val="(%1)"/>
      <w:numFmt w:val="lowerLetter"/>
      <w:start w:val="1"/>
    </w:lvl>
  </w:abstractNum>
  <w:abstractNum w:abstractNumId="278">
    <w:nsid w:val="3BAB699E"/>
    <w:multiLevelType w:val="hybridMultilevel"/>
    <w:lvl w:ilvl="0">
      <w:lvlJc w:val="left"/>
      <w:lvlText w:val="2"/>
      <w:numFmt w:val="bullet"/>
      <w:start w:val="1"/>
    </w:lvl>
  </w:abstractNum>
  <w:abstractNum w:abstractNumId="279">
    <w:nsid w:val="71315369"/>
    <w:multiLevelType w:val="hybridMultilevel"/>
    <w:lvl w:ilvl="0">
      <w:lvlJc w:val="left"/>
      <w:lvlText w:val="(%1)"/>
      <w:numFmt w:val="lowerLetter"/>
      <w:start w:val="1"/>
    </w:lvl>
  </w:abstractNum>
  <w:abstractNum w:abstractNumId="280">
    <w:nsid w:val="7BCFBAFC"/>
    <w:multiLevelType w:val="hybridMultilevel"/>
    <w:lvl w:ilvl="0">
      <w:lvlJc w:val="left"/>
      <w:lvlText w:val="(%1)"/>
      <w:numFmt w:val="lowerLetter"/>
      <w:start w:val="10"/>
    </w:lvl>
  </w:abstractNum>
  <w:abstractNum w:abstractNumId="281">
    <w:nsid w:val="17859F72"/>
    <w:multiLevelType w:val="hybridMultilevel"/>
    <w:lvl w:ilvl="0">
      <w:lvlJc w:val="left"/>
      <w:lvlText w:val="3"/>
      <w:numFmt w:val="bullet"/>
      <w:start w:val="1"/>
    </w:lvl>
  </w:abstractNum>
  <w:abstractNum w:abstractNumId="282">
    <w:nsid w:val="3AA10581"/>
    <w:multiLevelType w:val="hybridMultilevel"/>
    <w:lvl w:ilvl="0">
      <w:lvlJc w:val="left"/>
      <w:lvlText w:val="(%1)"/>
      <w:numFmt w:val="lowerLetter"/>
      <w:start w:val="1"/>
    </w:lvl>
  </w:abstractNum>
  <w:abstractNum w:abstractNumId="283">
    <w:nsid w:val="63DE60CD"/>
    <w:multiLevelType w:val="hybridMultilevel"/>
    <w:lvl w:ilvl="0">
      <w:lvlJc w:val="left"/>
      <w:lvlText w:val="4"/>
      <w:numFmt w:val="bullet"/>
      <w:start w:val="1"/>
    </w:lvl>
  </w:abstractNum>
  <w:abstractNum w:abstractNumId="284">
    <w:nsid w:val="621AF471"/>
    <w:multiLevelType w:val="hybridMultilevel"/>
    <w:lvl w:ilvl="0">
      <w:lvlJc w:val="left"/>
      <w:lvlText w:val="(%1)"/>
      <w:numFmt w:val="lowerLetter"/>
      <w:start w:val="1"/>
    </w:lvl>
  </w:abstractNum>
  <w:abstractNum w:abstractNumId="285">
    <w:nsid w:val="73CFE165"/>
    <w:multiLevelType w:val="hybridMultilevel"/>
    <w:lvl w:ilvl="0">
      <w:lvlJc w:val="left"/>
      <w:lvlText w:val="5"/>
      <w:numFmt w:val="bullet"/>
      <w:start w:val="1"/>
    </w:lvl>
  </w:abstractNum>
  <w:abstractNum w:abstractNumId="286">
    <w:nsid w:val="20F88EA6"/>
    <w:multiLevelType w:val="hybridMultilevel"/>
    <w:lvl w:ilvl="0">
      <w:lvlJc w:val="left"/>
      <w:lvlText w:val="6"/>
      <w:numFmt w:val="bullet"/>
      <w:start w:val="1"/>
    </w:lvl>
  </w:abstractNum>
  <w:abstractNum w:abstractNumId="287">
    <w:nsid w:val="617C843E"/>
    <w:multiLevelType w:val="hybridMultilevel"/>
    <w:lvl w:ilvl="0">
      <w:lvlJc w:val="left"/>
      <w:lvlText w:val="%1."/>
      <w:numFmt w:val="upperLetter"/>
      <w:start w:val="1"/>
    </w:lvl>
  </w:abstractNum>
  <w:abstractNum w:abstractNumId="288">
    <w:nsid w:val="7B541FAB"/>
    <w:multiLevelType w:val="hybridMultilevel"/>
    <w:lvl w:ilvl="0">
      <w:lvlJc w:val="left"/>
      <w:lvlText w:val="%1."/>
      <w:numFmt w:val="decimal"/>
      <w:start w:val="1"/>
    </w:lvl>
  </w:abstractNum>
  <w:abstractNum w:abstractNumId="289">
    <w:nsid w:val="2A79EC49"/>
    <w:multiLevelType w:val="hybridMultilevel"/>
    <w:lvl w:ilvl="0">
      <w:lvlJc w:val="left"/>
      <w:lvlText w:val="(%1)"/>
      <w:numFmt w:val="lowerRoman"/>
      <w:start w:val="1"/>
    </w:lvl>
  </w:abstractNum>
  <w:abstractNum w:abstractNumId="290">
    <w:nsid w:val="338125CF"/>
    <w:multiLevelType w:val="hybridMultilevel"/>
    <w:lvl w:ilvl="0">
      <w:lvlJc w:val="left"/>
      <w:lvlText w:val="%1."/>
      <w:numFmt w:val="decimal"/>
      <w:start w:val="2"/>
    </w:lvl>
  </w:abstractNum>
  <w:abstractNum w:abstractNumId="291">
    <w:nsid w:val="47C7C971"/>
    <w:multiLevelType w:val="hybridMultilevel"/>
    <w:lvl w:ilvl="0">
      <w:lvlJc w:val="left"/>
      <w:lvlText w:val="%1."/>
      <w:numFmt w:val="decimal"/>
      <w:start w:val="3"/>
    </w:lvl>
  </w:abstractNum>
  <w:abstractNum w:abstractNumId="292">
    <w:nsid w:val="46F8284B"/>
    <w:multiLevelType w:val="hybridMultilevel"/>
    <w:lvl w:ilvl="0">
      <w:lvlJc w:val="left"/>
      <w:lvlText w:val="%1."/>
      <w:numFmt w:val="decimal"/>
      <w:start w:val="4"/>
    </w:lvl>
  </w:abstractNum>
  <w:abstractNum w:abstractNumId="293">
    <w:nsid w:val="4FA327CE"/>
    <w:multiLevelType w:val="hybridMultilevel"/>
    <w:lvl w:ilvl="0">
      <w:lvlJc w:val="left"/>
      <w:lvlText w:val="%1."/>
      <w:numFmt w:val="decimal"/>
      <w:start w:val="5"/>
    </w:lvl>
  </w:abstractNum>
  <w:abstractNum w:abstractNumId="294">
    <w:nsid w:val="1873983A"/>
    <w:multiLevelType w:val="hybridMultilevel"/>
    <w:lvl w:ilvl="0">
      <w:lvlJc w:val="left"/>
      <w:lvlText w:val="%1."/>
      <w:numFmt w:val="decimal"/>
      <w:start w:val="6"/>
    </w:lvl>
  </w:abstractNum>
  <w:abstractNum w:abstractNumId="295">
    <w:nsid w:val="3D2DD275"/>
    <w:multiLevelType w:val="hybridMultilevel"/>
    <w:lvl w:ilvl="0">
      <w:lvlJc w:val="left"/>
      <w:lvlText w:val="%1."/>
      <w:numFmt w:val="decimal"/>
      <w:start w:val="7"/>
    </w:lvl>
  </w:abstractNum>
  <w:abstractNum w:abstractNumId="296">
    <w:nsid w:val="2E17ECA7"/>
    <w:multiLevelType w:val="hybridMultilevel"/>
    <w:lvl w:ilvl="0">
      <w:lvlJc w:val="left"/>
      <w:lvlText w:val="%1."/>
      <w:numFmt w:val="decimal"/>
      <w:start w:val="8"/>
    </w:lvl>
  </w:abstractNum>
  <w:abstractNum w:abstractNumId="297">
    <w:nsid w:val="53B2564F"/>
    <w:multiLevelType w:val="hybridMultilevel"/>
    <w:lvl w:ilvl="0">
      <w:lvlJc w:val="left"/>
      <w:lvlText w:val="%1."/>
      <w:numFmt w:val="decimal"/>
      <w:start w:val="9"/>
    </w:lvl>
  </w:abstractNum>
  <w:abstractNum w:abstractNumId="298">
    <w:nsid w:val="75509D76"/>
    <w:multiLevelType w:val="hybridMultilevel"/>
    <w:lvl w:ilvl="0">
      <w:lvlJc w:val="left"/>
      <w:lvlText w:val="%1."/>
      <w:numFmt w:val="decimal"/>
      <w:start w:val="10"/>
    </w:lvl>
  </w:abstractNum>
  <w:abstractNum w:abstractNumId="299">
    <w:nsid w:val="1AF7F0EA"/>
    <w:multiLevelType w:val="hybridMultilevel"/>
    <w:lvl w:ilvl="0">
      <w:lvlJc w:val="left"/>
      <w:lvlText w:val="1"/>
      <w:numFmt w:val="bullet"/>
      <w:start w:val="1"/>
    </w:lvl>
  </w:abstractNum>
  <w:abstractNum w:abstractNumId="300">
    <w:nsid w:val="4DA32C7E"/>
    <w:multiLevelType w:val="hybridMultilevel"/>
    <w:lvl w:ilvl="0">
      <w:lvlJc w:val="left"/>
      <w:lvlText w:val="2"/>
      <w:numFmt w:val="bullet"/>
      <w:start w:val="1"/>
    </w:lvl>
  </w:abstractNum>
  <w:abstractNum w:abstractNumId="301">
    <w:nsid w:val="6EC68664"/>
    <w:multiLevelType w:val="hybridMultilevel"/>
    <w:lvl w:ilvl="0">
      <w:lvlJc w:val="left"/>
      <w:lvlText w:val="(%1)"/>
      <w:numFmt w:val="lowerLetter"/>
      <w:start w:val="1"/>
    </w:lvl>
  </w:abstractNum>
  <w:abstractNum w:abstractNumId="302">
    <w:nsid w:val="E0D31FF"/>
    <w:multiLevelType w:val="hybridMultilevel"/>
    <w:lvl w:ilvl="0">
      <w:lvlJc w:val="left"/>
      <w:lvlText w:val="3"/>
      <w:numFmt w:val="bullet"/>
      <w:start w:val="1"/>
    </w:lvl>
  </w:abstractNum>
  <w:abstractNum w:abstractNumId="303">
    <w:nsid w:val="2FD0AD81"/>
    <w:multiLevelType w:val="hybridMultilevel"/>
    <w:lvl w:ilvl="0">
      <w:lvlJc w:val="left"/>
      <w:lvlText w:val="(%1)"/>
      <w:numFmt w:val="lowerLetter"/>
      <w:start w:val="1"/>
    </w:lvl>
  </w:abstractNum>
  <w:abstractNum w:abstractNumId="304">
    <w:nsid w:val="1978EBEB"/>
    <w:multiLevelType w:val="hybridMultilevel"/>
    <w:lvl w:ilvl="0">
      <w:lvlJc w:val="left"/>
      <w:lvlText w:val="4"/>
      <w:numFmt w:val="bullet"/>
      <w:start w:val="1"/>
    </w:lvl>
    <w:lvl w:ilvl="1">
      <w:lvlJc w:val="left"/>
      <w:lvlText w:val="(%2)"/>
      <w:numFmt w:val="lowerLetter"/>
      <w:start w:val="1"/>
    </w:lvl>
  </w:abstractNum>
  <w:abstractNum w:abstractNumId="305">
    <w:nsid w:val="52C12C61"/>
    <w:multiLevelType w:val="hybridMultilevel"/>
    <w:lvl w:ilvl="0">
      <w:lvlJc w:val="left"/>
      <w:lvlText w:val="5"/>
      <w:numFmt w:val="bullet"/>
      <w:start w:val="1"/>
    </w:lvl>
  </w:abstractNum>
  <w:abstractNum w:abstractNumId="306">
    <w:nsid w:val="4BDD53FD"/>
    <w:multiLevelType w:val="hybridMultilevel"/>
    <w:lvl w:ilvl="0">
      <w:lvlJc w:val="left"/>
      <w:lvlText w:val="6"/>
      <w:numFmt w:val="bullet"/>
      <w:start w:val="1"/>
    </w:lvl>
  </w:abstractNum>
  <w:abstractNum w:abstractNumId="307">
    <w:nsid w:val="569951FE"/>
    <w:multiLevelType w:val="hybridMultilevel"/>
    <w:lvl w:ilvl="0">
      <w:lvlJc w:val="left"/>
      <w:lvlText w:val="(%1)"/>
      <w:numFmt w:val="lowerLetter"/>
      <w:start w:val="1"/>
    </w:lvl>
    <w:lvl w:ilvl="1">
      <w:lvlJc w:val="left"/>
      <w:lvlText w:val="-"/>
      <w:numFmt w:val="bullet"/>
      <w:start w:val="1"/>
    </w:lvl>
  </w:abstractNum>
  <w:abstractNum w:abstractNumId="308">
    <w:nsid w:val="4C54E2C3"/>
    <w:multiLevelType w:val="hybridMultilevel"/>
    <w:lvl w:ilvl="0">
      <w:lvlJc w:val="left"/>
      <w:lvlText w:val="7"/>
      <w:numFmt w:val="bullet"/>
      <w:start w:val="1"/>
    </w:lvl>
  </w:abstractNum>
  <w:abstractNum w:abstractNumId="309">
    <w:nsid w:val="788BD9B"/>
    <w:multiLevelType w:val="hybridMultilevel"/>
    <w:lvl w:ilvl="0">
      <w:lvlJc w:val="left"/>
      <w:lvlText w:val="8"/>
      <w:numFmt w:val="bullet"/>
      <w:start w:val="1"/>
    </w:lvl>
  </w:abstractNum>
  <w:abstractNum w:abstractNumId="310">
    <w:nsid w:val="47CAA567"/>
    <w:multiLevelType w:val="hybridMultilevel"/>
    <w:lvl w:ilvl="0">
      <w:lvlJc w:val="left"/>
      <w:lvlText w:val="9"/>
      <w:numFmt w:val="bullet"/>
      <w:start w:val="1"/>
    </w:lvl>
  </w:abstractNum>
  <w:abstractNum w:abstractNumId="311">
    <w:nsid w:val="48249DBF"/>
    <w:multiLevelType w:val="hybridMultilevel"/>
    <w:lvl w:ilvl="0">
      <w:lvlJc w:val="left"/>
      <w:lvlText w:val="(%1)"/>
      <w:numFmt w:val="lowerLetter"/>
      <w:start w:val="1"/>
    </w:lvl>
  </w:abstractNum>
  <w:abstractNum w:abstractNumId="312">
    <w:nsid w:val="1F0E5D0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pn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png"/><Relationship Id="rId393"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6" Type="http://schemas.openxmlformats.org/officeDocument/2006/relationships/image" Target="media/image378.png"/><Relationship Id="rId397" Type="http://schemas.openxmlformats.org/officeDocument/2006/relationships/image" Target="media/image379.png"/><Relationship Id="rId398" Type="http://schemas.openxmlformats.org/officeDocument/2006/relationships/image" Target="media/image380.png"/><Relationship Id="rId399" Type="http://schemas.openxmlformats.org/officeDocument/2006/relationships/image" Target="media/image381.png"/><Relationship Id="rId400" Type="http://schemas.openxmlformats.org/officeDocument/2006/relationships/image" Target="media/image382.png"/><Relationship Id="rId401" Type="http://schemas.openxmlformats.org/officeDocument/2006/relationships/image" Target="media/image383.png"/><Relationship Id="rId402" Type="http://schemas.openxmlformats.org/officeDocument/2006/relationships/image" Target="media/image384.png"/><Relationship Id="rId403" Type="http://schemas.openxmlformats.org/officeDocument/2006/relationships/image" Target="media/image385.png"/><Relationship Id="rId404" Type="http://schemas.openxmlformats.org/officeDocument/2006/relationships/image" Target="media/image386.png"/><Relationship Id="rId405" Type="http://schemas.openxmlformats.org/officeDocument/2006/relationships/image" Target="media/image387.png"/><Relationship Id="rId406" Type="http://schemas.openxmlformats.org/officeDocument/2006/relationships/image" Target="media/image388.png"/><Relationship Id="rId407" Type="http://schemas.openxmlformats.org/officeDocument/2006/relationships/image" Target="media/image389.png"/><Relationship Id="rId408" Type="http://schemas.openxmlformats.org/officeDocument/2006/relationships/image" Target="media/image390.png"/><Relationship Id="rId409" Type="http://schemas.openxmlformats.org/officeDocument/2006/relationships/image" Target="media/image391.png"/><Relationship Id="rId410" Type="http://schemas.openxmlformats.org/officeDocument/2006/relationships/image" Target="media/image392.png"/><Relationship Id="rId411" Type="http://schemas.openxmlformats.org/officeDocument/2006/relationships/image" Target="media/image393.png"/><Relationship Id="rId412" Type="http://schemas.openxmlformats.org/officeDocument/2006/relationships/image" Target="media/image394.png"/><Relationship Id="rId413" Type="http://schemas.openxmlformats.org/officeDocument/2006/relationships/image" Target="media/image395.png"/><Relationship Id="rId414" Type="http://schemas.openxmlformats.org/officeDocument/2006/relationships/image" Target="media/image396.png"/><Relationship Id="rId415" Type="http://schemas.openxmlformats.org/officeDocument/2006/relationships/image" Target="media/image397.png"/><Relationship Id="rId416" Type="http://schemas.openxmlformats.org/officeDocument/2006/relationships/image" Target="media/image398.png"/><Relationship Id="rId417"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3" Type="http://schemas.openxmlformats.org/officeDocument/2006/relationships/image" Target="media/image405.png"/><Relationship Id="rId424" Type="http://schemas.openxmlformats.org/officeDocument/2006/relationships/image" Target="media/image406.png"/><Relationship Id="rId425"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png"/><Relationship Id="rId445" Type="http://schemas.openxmlformats.org/officeDocument/2006/relationships/image" Target="media/image427.png"/><Relationship Id="rId446" Type="http://schemas.openxmlformats.org/officeDocument/2006/relationships/image" Target="media/image428.png"/><Relationship Id="rId447" Type="http://schemas.openxmlformats.org/officeDocument/2006/relationships/image" Target="media/image429.png"/><Relationship Id="rId448" Type="http://schemas.openxmlformats.org/officeDocument/2006/relationships/image" Target="media/image430.png"/><Relationship Id="rId449" Type="http://schemas.openxmlformats.org/officeDocument/2006/relationships/image" Target="media/image431.png"/><Relationship Id="rId450"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54" Type="http://schemas.openxmlformats.org/officeDocument/2006/relationships/image" Target="media/image436.png"/><Relationship Id="rId455" Type="http://schemas.openxmlformats.org/officeDocument/2006/relationships/image" Target="media/image437.png"/><Relationship Id="rId456" Type="http://schemas.openxmlformats.org/officeDocument/2006/relationships/image" Target="media/image438.png"/><Relationship Id="rId457" Type="http://schemas.openxmlformats.org/officeDocument/2006/relationships/image" Target="media/image439.png"/><Relationship Id="rId458" Type="http://schemas.openxmlformats.org/officeDocument/2006/relationships/image" Target="media/image440.png"/><Relationship Id="rId459" Type="http://schemas.openxmlformats.org/officeDocument/2006/relationships/image" Target="media/image441.png"/><Relationship Id="rId460"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jpeg"/><Relationship Id="rId464" Type="http://schemas.openxmlformats.org/officeDocument/2006/relationships/image" Target="media/image446.jpeg"/><Relationship Id="rId465" Type="http://schemas.openxmlformats.org/officeDocument/2006/relationships/image" Target="media/image447.png"/><Relationship Id="rId466" Type="http://schemas.openxmlformats.org/officeDocument/2006/relationships/image" Target="media/image448.jpeg"/><Relationship Id="rId467" Type="http://schemas.openxmlformats.org/officeDocument/2006/relationships/image" Target="media/image449.png"/><Relationship Id="rId468" Type="http://schemas.openxmlformats.org/officeDocument/2006/relationships/image" Target="media/image450.jpeg"/><Relationship Id="rId469" Type="http://schemas.openxmlformats.org/officeDocument/2006/relationships/image" Target="media/image451.png"/><Relationship Id="rId470" Type="http://schemas.openxmlformats.org/officeDocument/2006/relationships/image" Target="media/image452.jpeg"/><Relationship Id="rId471" Type="http://schemas.openxmlformats.org/officeDocument/2006/relationships/image" Target="media/image453.jpeg"/><Relationship Id="rId472" Type="http://schemas.openxmlformats.org/officeDocument/2006/relationships/image" Target="media/image454.png"/><Relationship Id="rId473" Type="http://schemas.openxmlformats.org/officeDocument/2006/relationships/image" Target="media/image455.png"/><Relationship Id="rId474" Type="http://schemas.openxmlformats.org/officeDocument/2006/relationships/image" Target="media/image456.png"/><Relationship Id="rId475" Type="http://schemas.openxmlformats.org/officeDocument/2006/relationships/image" Target="media/image457.png"/><Relationship Id="rId476" Type="http://schemas.openxmlformats.org/officeDocument/2006/relationships/image" Target="media/image458.png"/><Relationship Id="rId477" Type="http://schemas.openxmlformats.org/officeDocument/2006/relationships/image" Target="media/image459.png"/><Relationship Id="rId478" Type="http://schemas.openxmlformats.org/officeDocument/2006/relationships/image" Target="media/image460.png"/><Relationship Id="rId479" Type="http://schemas.openxmlformats.org/officeDocument/2006/relationships/image" Target="media/image461.png"/><Relationship Id="rId480" Type="http://schemas.openxmlformats.org/officeDocument/2006/relationships/image" Target="media/image462.png"/><Relationship Id="rId481" Type="http://schemas.openxmlformats.org/officeDocument/2006/relationships/image" Target="media/image463.png"/><Relationship Id="rId482" Type="http://schemas.openxmlformats.org/officeDocument/2006/relationships/image" Target="media/image464.png"/><Relationship Id="rId483" Type="http://schemas.openxmlformats.org/officeDocument/2006/relationships/image" Target="media/image465.png"/><Relationship Id="rId484" Type="http://schemas.openxmlformats.org/officeDocument/2006/relationships/image" Target="media/image466.png"/><Relationship Id="rId485" Type="http://schemas.openxmlformats.org/officeDocument/2006/relationships/image" Target="media/image467.png"/><Relationship Id="rId486" Type="http://schemas.openxmlformats.org/officeDocument/2006/relationships/image" Target="media/image468.png"/><Relationship Id="rId487" Type="http://schemas.openxmlformats.org/officeDocument/2006/relationships/image" Target="media/image469.png"/><Relationship Id="rId488" Type="http://schemas.openxmlformats.org/officeDocument/2006/relationships/image" Target="media/image470.png"/><Relationship Id="rId489" Type="http://schemas.openxmlformats.org/officeDocument/2006/relationships/image" Target="media/image471.png"/><Relationship Id="rId490" Type="http://schemas.openxmlformats.org/officeDocument/2006/relationships/image" Target="media/image472.png"/><Relationship Id="rId491" Type="http://schemas.openxmlformats.org/officeDocument/2006/relationships/image" Target="media/image473.png"/><Relationship Id="rId492" Type="http://schemas.openxmlformats.org/officeDocument/2006/relationships/image" Target="media/image474.png"/><Relationship Id="rId493" Type="http://schemas.openxmlformats.org/officeDocument/2006/relationships/image" Target="media/image475.png"/><Relationship Id="rId494" Type="http://schemas.openxmlformats.org/officeDocument/2006/relationships/image" Target="media/image476.png"/><Relationship Id="rId495" Type="http://schemas.openxmlformats.org/officeDocument/2006/relationships/image" Target="media/image477.png"/><Relationship Id="rId496" Type="http://schemas.openxmlformats.org/officeDocument/2006/relationships/image" Target="media/image478.png"/><Relationship Id="rId497" Type="http://schemas.openxmlformats.org/officeDocument/2006/relationships/image" Target="media/image479.png"/><Relationship Id="rId498" Type="http://schemas.openxmlformats.org/officeDocument/2006/relationships/image" Target="media/image480.jpeg"/><Relationship Id="rId499" Type="http://schemas.openxmlformats.org/officeDocument/2006/relationships/image" Target="media/image481.png"/><Relationship Id="rId500" Type="http://schemas.openxmlformats.org/officeDocument/2006/relationships/image" Target="media/image482.png"/><Relationship Id="rId501" Type="http://schemas.openxmlformats.org/officeDocument/2006/relationships/image" Target="media/image483.png"/><Relationship Id="rId502" Type="http://schemas.openxmlformats.org/officeDocument/2006/relationships/image" Target="media/image484.png"/><Relationship Id="rId503" Type="http://schemas.openxmlformats.org/officeDocument/2006/relationships/image" Target="media/image485.png"/><Relationship Id="rId504" Type="http://schemas.openxmlformats.org/officeDocument/2006/relationships/image" Target="media/image486.png"/><Relationship Id="rId505" Type="http://schemas.openxmlformats.org/officeDocument/2006/relationships/image" Target="media/image487.png"/><Relationship Id="rId355" Type="http://schemas.openxmlformats.org/officeDocument/2006/relationships/hyperlink" Target="http://www.sec.gov/Archives/edgar/data/1815620/000119312520253365/d947560dex31.htm" TargetMode="External"/><Relationship Id="rId356" Type="http://schemas.openxmlformats.org/officeDocument/2006/relationships/hyperlink" Target="http://www.sec.gov/Archives/edgar/data/1815620/000119312520253365/d947560dex32.htm" TargetMode="External"/><Relationship Id="rId357" Type="http://schemas.openxmlformats.org/officeDocument/2006/relationships/hyperlink" Target="http://www.sec.gov/Archives/edgar/data/1815620/000119312520253365/d947560dex102.htm" TargetMode="External"/><Relationship Id="rId358" Type="http://schemas.openxmlformats.org/officeDocument/2006/relationships/hyperlink" Target="http://www.sec.gov/Archives/edgar/data/1815620/000119312520253365/d947560dex103.htm" TargetMode="External"/><Relationship Id="rId359" Type="http://schemas.openxmlformats.org/officeDocument/2006/relationships/hyperlink" Target="http://www.sec.gov/Archives/edgar/data/1815620/000119312520253365/d947560dex104.htm" TargetMode="External"/><Relationship Id="rId360" Type="http://schemas.openxmlformats.org/officeDocument/2006/relationships/hyperlink" Target="http://www.sec.gov/Archives/edgar/data/1815620/000119312520253365/d947560dex105.htm" TargetMode="External"/><Relationship Id="rId361" Type="http://schemas.openxmlformats.org/officeDocument/2006/relationships/hyperlink" Target="http://www.sec.gov/Archives/edgar/data/1815620/000119312520253365/d947560dex106.htm" TargetMode="External"/><Relationship Id="rId362" Type="http://schemas.openxmlformats.org/officeDocument/2006/relationships/hyperlink" Target="http://www.sec.gov/Archives/edgar/data/1815620/000119312520253365/d947560dex107.htm" TargetMode="External"/><Relationship Id="rId363" Type="http://schemas.openxmlformats.org/officeDocument/2006/relationships/hyperlink" Target="http://www.sec.gov/Archives/edgar/data/1815620/000119312520253365/d947560dex108.htm" TargetMode="External"/><Relationship Id="rId364" Type="http://schemas.openxmlformats.org/officeDocument/2006/relationships/hyperlink" Target="http://www.sec.gov/Archives/edgar/data/1815620/000119312520253365/d947560dex211.htm" TargetMode="External"/><Relationship Id="rId365" Type="http://schemas.openxmlformats.org/officeDocument/2006/relationships/hyperlink" Target="http://www.sec.gov/Archives/edgar/data/1815620/000119312520253365/d947560df1.htm#ii947560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2020-10-09T15:45:55Z</dcterms:created>
  <dcterms:modified xsi:type="dcterms:W3CDTF">2020-10-09T15:45:55Z</dcterms:modified>
</cp:coreProperties>
</file>