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Opthea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no par value and American Depositary Shares, each representing eight 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68386J208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right="9360" w:hanging="4"/>
        <w:spacing w:after="0" w:line="563" w:lineRule="auto"/>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SCHEDULE 13G</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5408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40893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68386J208</w:t>
      </w:r>
    </w:p>
    <w:p>
      <w:pPr>
        <w:spacing w:after="0" w:line="9" w:lineRule="exact"/>
        <w:rPr>
          <w:sz w:val="20"/>
          <w:szCs w:val="20"/>
          <w:color w:val="auto"/>
        </w:rPr>
      </w:pPr>
    </w:p>
    <w:p>
      <w:pPr>
        <w:ind w:left="720" w:hanging="699"/>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Regal Funds Management Pty Limited</w:t>
      </w:r>
    </w:p>
    <w:p>
      <w:pPr>
        <w:spacing w:after="0" w:line="23" w:lineRule="exact"/>
        <w:rPr>
          <w:sz w:val="20"/>
          <w:szCs w:val="20"/>
          <w:color w:val="auto"/>
        </w:rPr>
      </w:pPr>
    </w:p>
    <w:p>
      <w:pPr>
        <w:ind w:left="720" w:hanging="699"/>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300" w:hanging="28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320" w:hanging="302"/>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sz w:val="20"/>
          <w:szCs w:val="20"/>
          <w:color w:val="auto"/>
        </w:rPr>
      </w:pPr>
    </w:p>
    <w:p>
      <w:pPr>
        <w:ind w:left="720" w:hanging="699"/>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720" w:hanging="699"/>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Sydney, Australia</w:t>
      </w:r>
    </w:p>
    <w:p>
      <w:pPr>
        <w:spacing w:after="0" w:line="23" w:lineRule="exact"/>
        <w:rPr>
          <w:rFonts w:ascii="Arial" w:cs="Arial" w:eastAsia="Arial" w:hAnsi="Arial"/>
          <w:sz w:val="18"/>
          <w:szCs w:val="18"/>
          <w:b w:val="1"/>
          <w:bCs w:val="1"/>
          <w:color w:val="auto"/>
        </w:rPr>
      </w:pPr>
    </w:p>
    <w:p>
      <w:pPr>
        <w:ind w:left="2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333"/>
        </w:trPr>
        <w:tc>
          <w:tcPr>
            <w:tcW w:w="170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jc w:val="right"/>
              <w:ind w:right="7530"/>
              <w:spacing w:after="0"/>
              <w:rPr>
                <w:sz w:val="20"/>
                <w:szCs w:val="20"/>
                <w:color w:val="auto"/>
              </w:rPr>
            </w:pPr>
            <w:r>
              <w:rPr>
                <w:rFonts w:ascii="Arial" w:cs="Arial" w:eastAsia="Arial" w:hAnsi="Arial"/>
                <w:sz w:val="18"/>
                <w:szCs w:val="18"/>
                <w:color w:val="auto"/>
              </w:rPr>
              <w:t>63,264,611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3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6</w:t>
            </w:r>
          </w:p>
        </w:tc>
        <w:tc>
          <w:tcPr>
            <w:tcW w:w="8860" w:type="dxa"/>
            <w:vAlign w:val="bottom"/>
          </w:tcPr>
          <w:p>
            <w:pPr>
              <w:ind w:left="30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Beneficially</w:t>
            </w:r>
          </w:p>
        </w:tc>
        <w:tc>
          <w:tcPr>
            <w:tcW w:w="3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00" w:type="dxa"/>
            <w:vAlign w:val="bottom"/>
          </w:tcPr>
          <w:p>
            <w:pPr>
              <w:jc w:val="center"/>
              <w:ind w:right="2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36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w w:val="99"/>
              </w:rPr>
              <w:t>7</w:t>
            </w:r>
          </w:p>
        </w:tc>
        <w:tc>
          <w:tcPr>
            <w:tcW w:w="8860" w:type="dxa"/>
            <w:vAlign w:val="bottom"/>
          </w:tcPr>
          <w:p>
            <w:pPr>
              <w:ind w:left="30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Reporting Person</w:t>
            </w:r>
          </w:p>
        </w:tc>
        <w:tc>
          <w:tcPr>
            <w:tcW w:w="3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With:</w:t>
            </w:r>
          </w:p>
        </w:tc>
        <w:tc>
          <w:tcPr>
            <w:tcW w:w="36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jc w:val="right"/>
              <w:ind w:right="7530"/>
              <w:spacing w:after="0" w:line="288" w:lineRule="exact"/>
              <w:rPr>
                <w:sz w:val="20"/>
                <w:szCs w:val="20"/>
                <w:color w:val="auto"/>
              </w:rPr>
            </w:pPr>
            <w:r>
              <w:rPr>
                <w:rFonts w:ascii="Arial" w:cs="Arial" w:eastAsia="Arial" w:hAnsi="Arial"/>
                <w:sz w:val="18"/>
                <w:szCs w:val="18"/>
                <w:color w:val="auto"/>
              </w:rPr>
              <w:t>63,264,611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8</w:t>
            </w:r>
          </w:p>
        </w:tc>
        <w:tc>
          <w:tcPr>
            <w:tcW w:w="8860" w:type="dxa"/>
            <w:vAlign w:val="bottom"/>
          </w:tcPr>
          <w:p>
            <w:pPr>
              <w:ind w:left="3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720" w:hanging="699"/>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ind w:left="720"/>
        <w:spacing w:after="0" w:line="215" w:lineRule="auto"/>
        <w:rPr>
          <w:sz w:val="20"/>
          <w:szCs w:val="20"/>
          <w:color w:val="auto"/>
        </w:rPr>
      </w:pPr>
      <w:r>
        <w:rPr>
          <w:rFonts w:ascii="Arial" w:cs="Arial" w:eastAsia="Arial" w:hAnsi="Arial"/>
          <w:sz w:val="18"/>
          <w:szCs w:val="18"/>
          <w:color w:val="auto"/>
        </w:rPr>
        <w:t>63,264,611</w:t>
      </w:r>
      <w:r>
        <w:rPr>
          <w:rFonts w:ascii="Arial" w:cs="Arial" w:eastAsia="Arial" w:hAnsi="Arial"/>
          <w:sz w:val="29"/>
          <w:szCs w:val="29"/>
          <w:color w:val="auto"/>
          <w:vertAlign w:val="superscript"/>
        </w:rPr>
        <w:t>(1)</w:t>
      </w:r>
    </w:p>
    <w:p>
      <w:pPr>
        <w:ind w:left="720" w:right="3860" w:hanging="699"/>
        <w:spacing w:after="0" w:line="374"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o</w:t>
      </w:r>
    </w:p>
    <w:p>
      <w:pPr>
        <w:spacing w:after="0" w:line="1" w:lineRule="exact"/>
        <w:rPr>
          <w:rFonts w:ascii="Arial" w:cs="Arial" w:eastAsia="Arial" w:hAnsi="Arial"/>
          <w:sz w:val="18"/>
          <w:szCs w:val="18"/>
          <w:b w:val="1"/>
          <w:bCs w:val="1"/>
          <w:color w:val="auto"/>
        </w:rPr>
      </w:pPr>
    </w:p>
    <w:p>
      <w:pPr>
        <w:ind w:left="720" w:right="6760" w:hanging="699"/>
        <w:spacing w:after="0" w:line="383"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17.98%</w:t>
      </w:r>
    </w:p>
    <w:p>
      <w:pPr>
        <w:ind w:left="720" w:hanging="699"/>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44" w:lineRule="exact"/>
        <w:rPr>
          <w:sz w:val="20"/>
          <w:szCs w:val="20"/>
          <w:color w:val="auto"/>
        </w:rPr>
      </w:pPr>
    </w:p>
    <w:p>
      <w:pPr>
        <w:ind w:right="280" w:firstLine="8"/>
        <w:spacing w:after="0" w:line="186" w:lineRule="auto"/>
        <w:tabs>
          <w:tab w:leader="none" w:pos="144"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The number of shares beneficially owned includes: (i) 27,729,313 Ordinary Shares, no par value (“Ordinary Shares”) and (ii) 2,880,131 American Depositary Shares, each representing eight Ordinary Shares.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2" w:name="page3"/>
    <w:bookmarkEnd w:id="2"/>
    <w:p>
      <w:pPr>
        <w:jc w:val="center"/>
        <w:ind w:right="440"/>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Opthea Limited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Level 4, 650 Chapel Street, South Yarra, Victoria 3141, Australia</w:t>
      </w:r>
    </w:p>
    <w:p>
      <w:pPr>
        <w:spacing w:after="0" w:line="225" w:lineRule="exact"/>
        <w:rPr>
          <w:rFonts w:ascii="Arial" w:cs="Arial" w:eastAsia="Arial" w:hAnsi="Arial"/>
          <w:sz w:val="18"/>
          <w:szCs w:val="18"/>
          <w:b w:val="1"/>
          <w:bCs w:val="1"/>
          <w:color w:val="auto"/>
        </w:rPr>
      </w:pPr>
    </w:p>
    <w:p>
      <w:pPr>
        <w:ind w:left="5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Person Filing: </w:t>
      </w:r>
      <w:r>
        <w:rPr>
          <w:rFonts w:ascii="Arial" w:cs="Arial" w:eastAsia="Arial" w:hAnsi="Arial"/>
          <w:sz w:val="18"/>
          <w:szCs w:val="18"/>
          <w:color w:val="auto"/>
        </w:rPr>
        <w:t>Regal Funds Management Pty Limited (“Regal”)</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Principal Business Office or, if None, Residence: </w:t>
      </w:r>
      <w:r>
        <w:rPr>
          <w:rFonts w:ascii="Arial" w:cs="Arial" w:eastAsia="Arial" w:hAnsi="Arial"/>
          <w:sz w:val="18"/>
          <w:szCs w:val="18"/>
          <w:color w:val="auto"/>
        </w:rPr>
        <w:t>Level 47, Gateway, 1 Macquarie Place, Sydney NSW 2000</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Australian</w:t>
      </w:r>
    </w:p>
    <w:p>
      <w:pPr>
        <w:spacing w:after="0" w:line="225" w:lineRule="exact"/>
        <w:rPr>
          <w:sz w:val="20"/>
          <w:szCs w:val="20"/>
          <w:color w:val="auto"/>
        </w:rPr>
      </w:pPr>
    </w:p>
    <w:p>
      <w:pPr>
        <w:ind w:left="660" w:hanging="328"/>
        <w:spacing w:after="0" w:line="282" w:lineRule="auto"/>
        <w:tabs>
          <w:tab w:leader="none" w:pos="66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Ordinary Shares, no par value and American Depositary Shares, each representing eight Ordinary Shares, no par</w:t>
      </w:r>
      <w:r>
        <w:rPr>
          <w:rFonts w:ascii="Arial" w:cs="Arial" w:eastAsia="Arial" w:hAnsi="Arial"/>
          <w:sz w:val="18"/>
          <w:szCs w:val="18"/>
          <w:b w:val="1"/>
          <w:bCs w:val="1"/>
          <w:color w:val="auto"/>
        </w:rPr>
        <w:t xml:space="preserve"> </w:t>
      </w:r>
      <w:r>
        <w:rPr>
          <w:rFonts w:ascii="Arial" w:cs="Arial" w:eastAsia="Arial" w:hAnsi="Arial"/>
          <w:sz w:val="18"/>
          <w:szCs w:val="18"/>
          <w:color w:val="auto"/>
        </w:rPr>
        <w:t>value</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CUSIP No.:    68386J208</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680" w:right="80" w:hanging="1024"/>
        <w:spacing w:after="0" w:line="277" w:lineRule="auto"/>
        <w:tabs>
          <w:tab w:leader="none" w:pos="13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w:t>
      </w:r>
    </w:p>
    <w:p>
      <w:pPr>
        <w:spacing w:after="0" w:line="13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257" w:lineRule="exact"/>
        <w:rPr>
          <w:rFonts w:ascii="Arial" w:cs="Arial" w:eastAsia="Arial" w:hAnsi="Arial"/>
          <w:sz w:val="18"/>
          <w:szCs w:val="18"/>
          <w:color w:val="auto"/>
        </w:rPr>
      </w:pPr>
    </w:p>
    <w:p>
      <w:pPr>
        <w:ind w:left="1680" w:right="20" w:hanging="1024"/>
        <w:spacing w:after="0" w:line="277" w:lineRule="auto"/>
        <w:tabs>
          <w:tab w:leader="none" w:pos="13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 Group, in accordance with Rule 240.13d-1(b)(1)(ii)(K). If filing as a non-U.S. institution in accordance with Rule 240.13d-1(b)(1)(ii) (J), please specify the type of institution: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spacing w:after="0"/>
        <w:tabs>
          <w:tab w:leader="none" w:pos="640" w:val="left"/>
          <w:tab w:leader="none" w:pos="31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Amount Beneficially Owned:</w:t>
      </w:r>
      <w:r>
        <w:rPr>
          <w:sz w:val="20"/>
          <w:szCs w:val="20"/>
          <w:color w:val="auto"/>
        </w:rPr>
        <w:tab/>
      </w:r>
      <w:r>
        <w:rPr>
          <w:rFonts w:ascii="Arial" w:cs="Arial" w:eastAsia="Arial" w:hAnsi="Arial"/>
          <w:sz w:val="15"/>
          <w:szCs w:val="15"/>
          <w:color w:val="auto"/>
        </w:rPr>
        <w:t>63,264,611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r>
        <w:rPr>
          <w:rFonts w:ascii="Arial" w:cs="Arial" w:eastAsia="Arial" w:hAnsi="Arial"/>
          <w:sz w:val="18"/>
          <w:szCs w:val="18"/>
          <w:color w:val="auto"/>
        </w:rPr>
        <w:t>: 17.98%</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5" w:lineRule="exact"/>
        <w:rPr>
          <w:rFonts w:ascii="Arial" w:cs="Arial" w:eastAsia="Arial" w:hAnsi="Arial"/>
          <w:sz w:val="18"/>
          <w:szCs w:val="18"/>
          <w:b w:val="1"/>
          <w:bCs w:val="1"/>
          <w:color w:val="auto"/>
        </w:rPr>
      </w:pPr>
    </w:p>
    <w:p>
      <w:pPr>
        <w:ind w:left="1660" w:hanging="1004"/>
        <w:spacing w:after="0"/>
        <w:tabs>
          <w:tab w:leader="none" w:pos="166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63,264,611</w:t>
      </w:r>
    </w:p>
    <w:p>
      <w:pPr>
        <w:spacing w:after="0" w:line="225" w:lineRule="exact"/>
        <w:rPr>
          <w:rFonts w:ascii="Arial" w:cs="Arial" w:eastAsia="Arial" w:hAnsi="Arial"/>
          <w:sz w:val="18"/>
          <w:szCs w:val="18"/>
          <w:b w:val="1"/>
          <w:bCs w:val="1"/>
          <w:color w:val="auto"/>
        </w:rPr>
      </w:pPr>
    </w:p>
    <w:p>
      <w:pPr>
        <w:ind w:left="1660" w:hanging="1004"/>
        <w:spacing w:after="0"/>
        <w:tabs>
          <w:tab w:leader="none" w:pos="166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w:t>
      </w:r>
    </w:p>
    <w:p>
      <w:pPr>
        <w:spacing w:after="0" w:line="225" w:lineRule="exact"/>
        <w:rPr>
          <w:rFonts w:ascii="Arial" w:cs="Arial" w:eastAsia="Arial" w:hAnsi="Arial"/>
          <w:sz w:val="18"/>
          <w:szCs w:val="18"/>
          <w:b w:val="1"/>
          <w:bCs w:val="1"/>
          <w:color w:val="auto"/>
        </w:rPr>
      </w:pPr>
    </w:p>
    <w:p>
      <w:pPr>
        <w:ind w:left="1660" w:hanging="1004"/>
        <w:spacing w:after="0"/>
        <w:tabs>
          <w:tab w:leader="none" w:pos="166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63,264,611</w:t>
      </w:r>
    </w:p>
    <w:p>
      <w:pPr>
        <w:spacing w:after="0" w:line="225" w:lineRule="exact"/>
        <w:rPr>
          <w:rFonts w:ascii="Arial" w:cs="Arial" w:eastAsia="Arial" w:hAnsi="Arial"/>
          <w:sz w:val="18"/>
          <w:szCs w:val="18"/>
          <w:b w:val="1"/>
          <w:bCs w:val="1"/>
          <w:color w:val="auto"/>
        </w:rPr>
      </w:pPr>
    </w:p>
    <w:p>
      <w:pPr>
        <w:ind w:left="1660" w:hanging="1004"/>
        <w:spacing w:after="0"/>
        <w:tabs>
          <w:tab w:leader="none" w:pos="166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 -</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Rule 13d-3(a)(2), Regal is deemed to be the beneficial owner of 63,264,611 Ordinary Shares or 17.98% of the total 351,939,280 shares reported to be outstanding as of December 31, 2021 in Opthea Limited’s Form F-3 filed with the Securities and Exchange Commission on February 1, 2022, as a result of Regal being the trustee and/or manager of various investment trusts.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number of shares beneficially owned includes: (i) 40,223,563 Ordinary Shares and (ii) 2,880,131 American Depositary Shares, which each represent eight Ordinary Shares.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 xml:space="preserve">Ownership of more than Five Percent on Behalf of Another Person. </w:t>
      </w:r>
      <w:r>
        <w:rPr>
          <w:rFonts w:ascii="Arial" w:cs="Arial" w:eastAsia="Arial" w:hAnsi="Arial"/>
          <w:sz w:val="16"/>
          <w:szCs w:val="16"/>
          <w:color w:val="auto"/>
        </w:rPr>
        <w:t>Not applicable</w:t>
      </w:r>
    </w:p>
    <w:p>
      <w:pPr>
        <w:spacing w:after="0" w:line="225"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 xml:space="preserve">Identification and classification of the subsidiary which acquired the security being reported on by the parent holding company or control person. </w:t>
      </w:r>
      <w:r>
        <w:rPr>
          <w:rFonts w:ascii="Arial" w:cs="Arial" w:eastAsia="Arial" w:hAnsi="Arial"/>
          <w:sz w:val="18"/>
          <w:szCs w:val="18"/>
          <w:color w:val="auto"/>
        </w:rPr>
        <w:t>Not applicable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 xml:space="preserve">Identification and classification of members of the group. </w:t>
      </w:r>
      <w:r>
        <w:rPr>
          <w:rFonts w:ascii="Arial" w:cs="Arial" w:eastAsia="Arial" w:hAnsi="Arial"/>
          <w:sz w:val="16"/>
          <w:szCs w:val="16"/>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 xml:space="preserve">Notice of Dissolution of Group. </w:t>
      </w:r>
      <w:r>
        <w:rPr>
          <w:rFonts w:ascii="Arial" w:cs="Arial" w:eastAsia="Arial" w:hAnsi="Arial"/>
          <w:sz w:val="16"/>
          <w:szCs w:val="16"/>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signing below I certify that, to the best of my knowledge and belief:</w:t>
      </w:r>
    </w:p>
    <w:p>
      <w:pPr>
        <w:spacing w:after="0" w:line="225" w:lineRule="exact"/>
        <w:rPr>
          <w:sz w:val="20"/>
          <w:szCs w:val="20"/>
          <w:color w:val="auto"/>
        </w:rPr>
      </w:pPr>
    </w:p>
    <w:p>
      <w:pPr>
        <w:ind w:right="260" w:firstLine="8"/>
        <w:spacing w:after="0" w:line="261" w:lineRule="auto"/>
        <w:tabs>
          <w:tab w:leader="none" w:pos="21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and</w:t>
      </w:r>
    </w:p>
    <w:p>
      <w:pPr>
        <w:spacing w:after="0" w:line="179" w:lineRule="exact"/>
        <w:rPr>
          <w:rFonts w:ascii="Arial" w:cs="Arial" w:eastAsia="Arial" w:hAnsi="Arial"/>
          <w:sz w:val="18"/>
          <w:szCs w:val="18"/>
          <w:b w:val="1"/>
          <w:bCs w:val="1"/>
          <w:color w:val="auto"/>
        </w:rPr>
      </w:pPr>
    </w:p>
    <w:p>
      <w:pPr>
        <w:ind w:right="200" w:firstLine="8"/>
        <w:spacing w:after="0" w:line="282" w:lineRule="auto"/>
        <w:tabs>
          <w:tab w:leader="none" w:pos="26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foreign regulatory scheme applicable to investment advisers with an Australian Financial Services Licence is substantially comparable to the regulatory scheme applicable to the functionally equivalent U.S. institution(s).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 also undertake to furnish to the Commission staff, upon request, information that would otherwise be disclosed in a Schedule 13D.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14 February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Kenny 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Kenny Ho, Company Secretary, Regal Funds Management Pty Limited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lvl w:ilvl="1">
      <w:lvlJc w:val="left"/>
      <w:lvlText w:val="(%2)"/>
      <w:numFmt w:val="lowerLetter"/>
      <w:start w:val="4"/>
    </w:lvl>
  </w:abstractNum>
  <w:abstractNum w:abstractNumId="11">
    <w:nsid w:val="109CF92E"/>
    <w:multiLevelType w:val="hybridMultilevel"/>
    <w:lvl w:ilvl="0">
      <w:lvlJc w:val="left"/>
      <w:lvlText w:val="(%1)"/>
      <w:numFmt w:val="lowerLetter"/>
      <w:start w:val="5"/>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lvl w:ilvl="1">
      <w:lvlJc w:val="left"/>
      <w:lvlText w:val="(%2)"/>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2022-02-14T15:33:41Z</dcterms:created>
  <dcterms:modified xsi:type="dcterms:W3CDTF">2022-02-14T15:33:41Z</dcterms:modified>
</cp:coreProperties>
</file>