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340" w:right="4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191135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43"/>
          <w:szCs w:val="43"/>
          <w:b w:val="1"/>
          <w:bCs w:val="1"/>
          <w:color w:val="auto"/>
        </w:rPr>
        <w:t>OPTHEA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175895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Level 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Chapel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South Yarra, Victoria, 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159385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left="340" w:right="39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1461770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2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8"/>
              </w:rPr>
              <w:t>Press Release - Chairman's Address</w:t>
            </w:r>
          </w:p>
        </w:tc>
        <w:tc>
          <w:tcPr>
            <w:tcW w:w="7320" w:type="dxa"/>
            <w:vAlign w:val="bottom"/>
            <w:gridSpan w:val="3"/>
          </w:tcPr>
          <w:p>
            <w:pPr>
              <w:spacing w:after="0"/>
              <w:rPr>
                <w:sz w:val="15"/>
                <w:szCs w:val="15"/>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Press Release - Opthea Appoints Kathy Connell to Board of Directors</w:t>
            </w:r>
          </w:p>
        </w:tc>
        <w:tc>
          <w:tcPr>
            <w:tcW w:w="4740" w:type="dxa"/>
            <w:vAlign w:val="bottom"/>
          </w:tcPr>
          <w:p>
            <w:pPr>
              <w:spacing w:after="0"/>
              <w:rPr>
                <w:sz w:val="19"/>
                <w:szCs w:val="19"/>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Press Release - 2024 AGM Results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r>
      <w:tr>
        <w:trPr>
          <w:trHeight w:val="223"/>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 xml:space="preserve">Press Release - Opthea Receives </w:t>
            </w:r>
            <w:r>
              <w:rPr>
                <w:rFonts w:ascii="Times New Roman" w:cs="Times New Roman" w:eastAsia="Times New Roman" w:hAnsi="Times New Roman"/>
                <w:sz w:val="18"/>
                <w:szCs w:val="18"/>
                <w:b w:val="1"/>
                <w:bCs w:val="1"/>
                <w:u w:val="single" w:color="auto"/>
                <w:color w:val="0000FF"/>
                <w:w w:val="99"/>
              </w:rPr>
              <w:t>A$</w:t>
            </w:r>
            <w:r>
              <w:rPr>
                <w:rFonts w:ascii="Times New Roman" w:cs="Times New Roman" w:eastAsia="Times New Roman" w:hAnsi="Times New Roman"/>
                <w:sz w:val="18"/>
                <w:szCs w:val="18"/>
                <w:b w:val="1"/>
                <w:bCs w:val="1"/>
                <w:color w:val="0000FF"/>
                <w:w w:val="99"/>
              </w:rPr>
              <w:t>15.9 Million R&amp;D Tax Incentive</w:t>
            </w:r>
          </w:p>
        </w:tc>
        <w:tc>
          <w:tcPr>
            <w:tcW w:w="4900" w:type="dxa"/>
            <w:vAlign w:val="bottom"/>
            <w:gridSpan w:val="2"/>
          </w:tcPr>
          <w:p>
            <w:pPr>
              <w:spacing w:after="0"/>
              <w:rPr>
                <w:sz w:val="19"/>
                <w:szCs w:val="19"/>
                <w:color w:val="auto"/>
              </w:rPr>
            </w:pPr>
          </w:p>
        </w:tc>
      </w:tr>
    </w:tbl>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563C1"/>
        </w:rPr>
        <w:t>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81" w:right="259" w:bottom="1440" w:gutter="0" w:footer="0" w:header="0"/>
        </w:sectPr>
      </w:pPr>
    </w:p>
    <w:bookmarkStart w:id="2" w:name="page3"/>
    <w:bookmarkEnd w:id="2"/>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4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79"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Frederic Guerard</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11/15/2024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98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920240"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ASX, Nasdaq and Media Release</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November 15, 2024</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Opthea Chairman’s Address to the 2024 Annual General Meeting</w:t>
      </w:r>
    </w:p>
    <w:p>
      <w:pPr>
        <w:spacing w:after="0" w:line="375"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 xml:space="preserve">Melbourne, Australia, and Princeton, NJ, US, November 15, 2024 </w:t>
      </w:r>
      <w:r>
        <w:rPr>
          <w:rFonts w:ascii="Arial" w:cs="Arial" w:eastAsia="Arial" w:hAnsi="Arial"/>
          <w:sz w:val="20"/>
          <w:szCs w:val="20"/>
          <w:color w:val="auto"/>
        </w:rPr>
        <w:t>-- Opthea Limited (ASX/NASDAQ: OPT, “Opthea”,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Good morning to those of you who have joined us from Australia and good afternoon to our US shareholders.</w:t>
      </w:r>
    </w:p>
    <w:p>
      <w:pPr>
        <w:spacing w:after="0" w:line="135"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On behalf of the board and management team, I am pleased to report that we have made remarkable progress during the past 12 months in advancing our mission to deliver superior visual outcomes for patients with wet age-related macular degeneration (wet AMD).</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The key achievements of the past year include:</w:t>
      </w:r>
    </w:p>
    <w:p>
      <w:pPr>
        <w:spacing w:after="0" w:line="121" w:lineRule="exact"/>
        <w:rPr>
          <w:sz w:val="20"/>
          <w:szCs w:val="20"/>
          <w:color w:val="auto"/>
        </w:rPr>
      </w:pPr>
    </w:p>
    <w:p>
      <w:pPr>
        <w:ind w:left="1140" w:right="100" w:hanging="383"/>
        <w:spacing w:after="0" w:line="241" w:lineRule="auto"/>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Completing enrollment of close to 2,000 treatment-naïve wet AMD patients in sozinibercept pivotal trials COAST and ShORe. These trials are investigating sozinibercept’s ability to deliver superior visual outcomes in combination with anti-VEGF-A therapy versus anti-VEGF-A therapy alone</w:t>
      </w:r>
    </w:p>
    <w:p>
      <w:pPr>
        <w:spacing w:after="0" w:line="103" w:lineRule="exact"/>
        <w:rPr>
          <w:rFonts w:ascii="Arial" w:cs="Arial" w:eastAsia="Arial" w:hAnsi="Arial"/>
          <w:sz w:val="20"/>
          <w:szCs w:val="20"/>
          <w:color w:val="auto"/>
        </w:rPr>
      </w:pPr>
    </w:p>
    <w:p>
      <w:pPr>
        <w:ind w:left="1140" w:right="140" w:hanging="383"/>
        <w:spacing w:after="0" w:line="241" w:lineRule="auto"/>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Successfully completed a placement and partially underwritten entitlement offer raising US$151.9 million and received the remaining US$35.0 million commitment under the Development Funding Agreement (DFA) as well as a further US$50.0 million under an amended DFA with a new co-investor</w:t>
      </w:r>
    </w:p>
    <w:p>
      <w:pPr>
        <w:spacing w:after="0" w:line="103" w:lineRule="exact"/>
        <w:rPr>
          <w:rFonts w:ascii="Arial" w:cs="Arial" w:eastAsia="Arial" w:hAnsi="Arial"/>
          <w:sz w:val="20"/>
          <w:szCs w:val="20"/>
          <w:color w:val="auto"/>
        </w:rPr>
      </w:pPr>
    </w:p>
    <w:p>
      <w:pPr>
        <w:ind w:left="1140" w:right="320" w:hanging="383"/>
        <w:spacing w:after="0" w:line="284" w:lineRule="auto"/>
        <w:tabs>
          <w:tab w:leader="none" w:pos="1140" w:val="left"/>
        </w:tabs>
        <w:numPr>
          <w:ilvl w:val="0"/>
          <w:numId w:val="1"/>
        </w:numPr>
        <w:rPr>
          <w:rFonts w:ascii="Arial" w:cs="Arial" w:eastAsia="Arial" w:hAnsi="Arial"/>
          <w:sz w:val="19"/>
          <w:szCs w:val="19"/>
          <w:color w:val="auto"/>
        </w:rPr>
      </w:pPr>
      <w:r>
        <w:rPr>
          <w:rFonts w:ascii="Arial" w:cs="Arial" w:eastAsia="Arial" w:hAnsi="Arial"/>
          <w:sz w:val="19"/>
          <w:szCs w:val="19"/>
          <w:color w:val="auto"/>
        </w:rPr>
        <w:t>Completing drug substance Process Performance Qualification (PPQ) campaign, producing three consecutive commercial-scale batches which was an important milestone for potential BLA filing of sozinibercept in wet AMD</w:t>
      </w:r>
    </w:p>
    <w:p>
      <w:pPr>
        <w:spacing w:after="0" w:line="49" w:lineRule="exact"/>
        <w:rPr>
          <w:rFonts w:ascii="Arial" w:cs="Arial" w:eastAsia="Arial" w:hAnsi="Arial"/>
          <w:sz w:val="19"/>
          <w:szCs w:val="19"/>
          <w:color w:val="auto"/>
        </w:rPr>
      </w:pPr>
    </w:p>
    <w:p>
      <w:pPr>
        <w:ind w:left="1140" w:right="60" w:hanging="383"/>
        <w:spacing w:after="0" w:line="241" w:lineRule="auto"/>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Strengthening the organization with key leadership appointments to support sozinibercept development and launch preparations, including appointments of U.S.-based Chief Executive Officer, Chief Financial Officer, Chief Medical Officer, and Chief Commercial Officer.</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Over the next 12 months, our focus will be on:</w:t>
      </w:r>
    </w:p>
    <w:p>
      <w:pPr>
        <w:spacing w:after="0" w:line="135" w:lineRule="exact"/>
        <w:rPr>
          <w:sz w:val="20"/>
          <w:szCs w:val="20"/>
          <w:color w:val="auto"/>
        </w:rPr>
      </w:pPr>
    </w:p>
    <w:p>
      <w:pPr>
        <w:ind w:left="1020" w:right="76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Delivering the 52-week topline data read-outs for the COAST and ShORe pivotal trials, expected in early Q2 CY2025 and mid-CY2025 respectively</w:t>
      </w:r>
    </w:p>
    <w:p>
      <w:pPr>
        <w:spacing w:after="0" w:line="75" w:lineRule="exact"/>
        <w:rPr>
          <w:rFonts w:ascii="Times New Roman" w:cs="Times New Roman" w:eastAsia="Times New Roman" w:hAnsi="Times New Roman"/>
          <w:sz w:val="20"/>
          <w:szCs w:val="20"/>
          <w:color w:val="auto"/>
        </w:rPr>
      </w:pPr>
    </w:p>
    <w:p>
      <w:pPr>
        <w:ind w:left="1020" w:right="2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Completing our commercial validation batches and building out the organization in support of a potential BLA filing and commercial launch.</w:t>
      </w:r>
    </w:p>
    <w:p>
      <w:pPr>
        <w:spacing w:after="0" w:line="89"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On behalf of the board and management, we would like to thank our shareholders, employees, investigators, collaborators, and participating patients in our clinical trials for their support and trust in Opthea. We look to the future with enthusiasm and unwavering commitment to our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040"/>
        <w:spacing w:after="0" w:line="257" w:lineRule="auto"/>
        <w:rPr>
          <w:sz w:val="20"/>
          <w:szCs w:val="20"/>
          <w:color w:val="auto"/>
        </w:rPr>
      </w:pPr>
      <w:r>
        <w:rPr>
          <w:rFonts w:ascii="Arial" w:cs="Arial" w:eastAsia="Arial" w:hAnsi="Arial"/>
          <w:sz w:val="20"/>
          <w:szCs w:val="20"/>
          <w:color w:val="auto"/>
        </w:rPr>
        <w:t>of bringing sozinibercept to market to potentially transform the care of patients with wet AMD and deliver value to our shareholders.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Retirement of Executive Director</w:t>
      </w:r>
    </w:p>
    <w:p>
      <w:pPr>
        <w:spacing w:after="0" w:line="137"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color w:val="auto"/>
        </w:rPr>
        <w:t>Dr. Megan Baldwin, PhD, MAICD, has decided to retire from her position as Executive Director at the conclusion of today’s annual general meeting.</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I want to express my sincere appreciation for the contributions Dr. Baldwin has made as a member of the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Her leadership and insights have been very valuable helping to guide the Company through pivotal moments over the years.</w:t>
      </w:r>
    </w:p>
    <w:p>
      <w:pPr>
        <w:spacing w:after="0" w:line="103" w:lineRule="exact"/>
        <w:rPr>
          <w:sz w:val="20"/>
          <w:szCs w:val="20"/>
          <w:color w:val="auto"/>
        </w:rPr>
      </w:pPr>
    </w:p>
    <w:p>
      <w:pPr>
        <w:ind w:right="80"/>
        <w:spacing w:after="0" w:line="284" w:lineRule="auto"/>
        <w:rPr>
          <w:sz w:val="20"/>
          <w:szCs w:val="20"/>
          <w:color w:val="auto"/>
        </w:rPr>
      </w:pPr>
      <w:r>
        <w:rPr>
          <w:rFonts w:ascii="Arial" w:cs="Arial" w:eastAsia="Arial" w:hAnsi="Arial"/>
          <w:sz w:val="19"/>
          <w:szCs w:val="19"/>
          <w:color w:val="auto"/>
        </w:rPr>
        <w:t>Dr. Baldwin will continue her vital role as Founder and Chief Innovation Officer, remaining an integral member of the Company's executive leadership team as Opthea approaches the anticipated sozinibercept wet AMD Phase 3 data readouts in 2025.</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Appointment of New Non-Executive Director</w:t>
      </w:r>
    </w:p>
    <w:p>
      <w:pPr>
        <w:spacing w:after="0" w:line="137"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The Company is pleased to announce the appointment of Ms. Kathy Connell as Non-Executive Director to the Board effective from the conclusion of today’s annual generally meeting.</w:t>
      </w:r>
    </w:p>
    <w:p>
      <w:pPr>
        <w:spacing w:after="0" w:line="74"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auto"/>
        </w:rPr>
        <w:t>Ms. Connell brings extensive experience in healthcare and life sciences. She is currently Senior Client Partner and Head Healthcare and Lifescience Australia/New Zealand at Korn Ferry. She also serves as Non-Executive Director at Avecho Biotechnology Ltd (ASX: AVE), Proto Axiom (a biotech investment company with an incubation arm) and BioNSW (life sciences association for NSW, Australia).</w:t>
      </w:r>
    </w:p>
    <w:p>
      <w:pPr>
        <w:spacing w:after="0" w:line="10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With a diverse educational background including degrees in applied science (speech pathology), psychology (education and mediation), and law (health and medical), Ms. Connell is also a recent graduate of the Australian Institute of Company Directors (2023). Her experience spans both ASX-listed biotechnology companies and global pharmaceutical corporations, including roles at Total Brain, Sanofi, and Johnson &amp; Johnson.</w:t>
      </w:r>
    </w:p>
    <w:p>
      <w:pPr>
        <w:spacing w:after="0" w:line="104" w:lineRule="exact"/>
        <w:rPr>
          <w:sz w:val="20"/>
          <w:szCs w:val="20"/>
          <w:color w:val="auto"/>
        </w:rPr>
      </w:pPr>
    </w:p>
    <w:p>
      <w:pPr>
        <w:ind w:right="660"/>
        <w:spacing w:after="0" w:line="257" w:lineRule="auto"/>
        <w:rPr>
          <w:sz w:val="20"/>
          <w:szCs w:val="20"/>
          <w:color w:val="auto"/>
        </w:rPr>
      </w:pPr>
      <w:r>
        <w:rPr>
          <w:rFonts w:ascii="Arial" w:cs="Arial" w:eastAsia="Arial" w:hAnsi="Arial"/>
          <w:sz w:val="20"/>
          <w:szCs w:val="20"/>
          <w:color w:val="auto"/>
        </w:rPr>
        <w:t>Ms. Connell's appointment brings valuable industry expertise and extensive global professional networks across industry, research, and investment sectors to Opthea's Board.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support and investment in Opthea.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Opthea (ASX/NASDAQ:OPT) is a biopharmaceutical company developing novel therapies to address the unmet needs in the treatment of highly prevalent and progressive retinal diseases, including wet age-related macular degeneration (wet AMD) and diabetic macular edema (DME).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Opthea’s lead product candidate, sozinibercept, is being evaluated in two fully enrolled pivotal Phase 3 clinical trials (COAST, </w:t>
      </w:r>
      <w:r>
        <w:rPr>
          <w:rFonts w:ascii="Arial" w:cs="Arial" w:eastAsia="Arial" w:hAnsi="Arial"/>
          <w:sz w:val="18"/>
          <w:szCs w:val="18"/>
          <w:u w:val="single" w:color="auto"/>
          <w:color w:val="0563C1"/>
        </w:rPr>
        <w:t>NCT04757636</w:t>
      </w:r>
      <w:r>
        <w:rPr>
          <w:rFonts w:ascii="Arial" w:cs="Arial" w:eastAsia="Arial" w:hAnsi="Arial"/>
          <w:sz w:val="18"/>
          <w:szCs w:val="18"/>
          <w:color w:val="auto"/>
        </w:rPr>
        <w:t xml:space="preserve">, and ShORe, </w:t>
      </w:r>
      <w:r>
        <w:rPr>
          <w:rFonts w:ascii="Arial" w:cs="Arial" w:eastAsia="Arial" w:hAnsi="Arial"/>
          <w:sz w:val="18"/>
          <w:szCs w:val="18"/>
          <w:u w:val="single" w:color="auto"/>
          <w:color w:val="0563C1"/>
        </w:rPr>
        <w:t>NCT04757610</w:t>
      </w:r>
      <w:r>
        <w:rPr>
          <w:rFonts w:ascii="Arial" w:cs="Arial" w:eastAsia="Arial" w:hAnsi="Arial"/>
          <w:sz w:val="18"/>
          <w:szCs w:val="18"/>
          <w:color w:val="auto"/>
        </w:rPr>
        <w:t>) for use in combination with standard-of-care anti-VEGF-A therapies to improve the overall efficacy and deliver superior vision gains compared to standard-of-care anti-VEGF-A agents alone.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our website at </w:t>
      </w:r>
      <w:r>
        <w:rPr>
          <w:rFonts w:ascii="Arial" w:cs="Arial" w:eastAsia="Arial" w:hAnsi="Arial"/>
          <w:sz w:val="18"/>
          <w:szCs w:val="18"/>
          <w:u w:val="single" w:color="auto"/>
          <w:color w:val="auto"/>
        </w:rPr>
        <w:t>www.opthea.com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563C1"/>
        </w:rPr>
        <w:t>X</w:t>
      </w:r>
      <w:r>
        <w:rPr>
          <w:rFonts w:ascii="Arial" w:cs="Arial" w:eastAsia="Arial" w:hAnsi="Arial"/>
          <w:sz w:val="18"/>
          <w:szCs w:val="18"/>
          <w:color w:val="auto"/>
        </w:rPr>
        <w:t xml:space="preserve"> and </w:t>
      </w:r>
      <w:r>
        <w:rPr>
          <w:rFonts w:ascii="Arial" w:cs="Arial" w:eastAsia="Arial" w:hAnsi="Arial"/>
          <w:sz w:val="18"/>
          <w:szCs w:val="18"/>
          <w:u w:val="single" w:color="auto"/>
          <w:color w:val="0563C1"/>
        </w:rPr>
        <w:t>LinkedIn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20240" cy="960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to ASX by Frederic Guerard, PharmD,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6"/>
          </w:tcPr>
          <w:p>
            <w:pPr>
              <w:ind w:left="100"/>
              <w:spacing w:after="0"/>
              <w:rPr>
                <w:sz w:val="20"/>
                <w:szCs w:val="20"/>
                <w:color w:val="auto"/>
              </w:rPr>
            </w:pPr>
            <w:r>
              <w:rPr>
                <w:rFonts w:ascii="Arial" w:cs="Arial" w:eastAsia="Arial" w:hAnsi="Arial"/>
                <w:sz w:val="18"/>
                <w:szCs w:val="18"/>
                <w:b w:val="1"/>
                <w:bCs w:val="1"/>
                <w:color w:val="auto"/>
              </w:rPr>
              <w:t>Investor Inquiries</w:t>
            </w:r>
          </w:p>
        </w:tc>
        <w:tc>
          <w:tcPr>
            <w:tcW w:w="6600" w:type="dxa"/>
            <w:vAlign w:val="bottom"/>
          </w:tcPr>
          <w:p>
            <w:pPr>
              <w:ind w:left="1560"/>
              <w:spacing w:after="0"/>
              <w:rPr>
                <w:sz w:val="20"/>
                <w:szCs w:val="20"/>
                <w:color w:val="auto"/>
              </w:rPr>
            </w:pPr>
            <w:r>
              <w:rPr>
                <w:rFonts w:ascii="Arial" w:cs="Arial" w:eastAsia="Arial" w:hAnsi="Arial"/>
                <w:sz w:val="18"/>
                <w:szCs w:val="18"/>
                <w:b w:val="1"/>
                <w:bCs w:val="1"/>
                <w:i w:val="1"/>
                <w:iCs w:val="1"/>
                <w:color w:val="auto"/>
              </w:rPr>
              <w:t>Join  our  email  database  to  receive  program</w:t>
            </w:r>
          </w:p>
        </w:tc>
      </w:tr>
      <w:tr>
        <w:trPr>
          <w:trHeight w:val="245"/>
        </w:trPr>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600" w:type="dxa"/>
            <w:vAlign w:val="bottom"/>
          </w:tcPr>
          <w:p>
            <w:pPr>
              <w:ind w:left="1560"/>
              <w:spacing w:after="0"/>
              <w:rPr>
                <w:sz w:val="20"/>
                <w:szCs w:val="20"/>
                <w:color w:val="auto"/>
              </w:rPr>
            </w:pPr>
            <w:r>
              <w:rPr>
                <w:rFonts w:ascii="Arial" w:cs="Arial" w:eastAsia="Arial" w:hAnsi="Arial"/>
                <w:sz w:val="18"/>
                <w:szCs w:val="18"/>
                <w:b w:val="1"/>
                <w:bCs w:val="1"/>
                <w:i w:val="1"/>
                <w:iCs w:val="1"/>
                <w:color w:val="auto"/>
              </w:rPr>
              <w:t>updates:</w:t>
            </w:r>
          </w:p>
        </w:tc>
      </w:tr>
      <w:tr>
        <w:trPr>
          <w:trHeight w:val="280"/>
        </w:trPr>
        <w:tc>
          <w:tcPr>
            <w:tcW w:w="4640" w:type="dxa"/>
            <w:vAlign w:val="bottom"/>
            <w:gridSpan w:val="6"/>
          </w:tcPr>
          <w:p>
            <w:pPr>
              <w:ind w:left="100"/>
              <w:spacing w:after="0"/>
              <w:rPr>
                <w:sz w:val="20"/>
                <w:szCs w:val="20"/>
                <w:color w:val="auto"/>
              </w:rPr>
            </w:pPr>
            <w:r>
              <w:rPr>
                <w:rFonts w:ascii="Arial" w:cs="Arial" w:eastAsia="Arial" w:hAnsi="Arial"/>
                <w:sz w:val="18"/>
                <w:szCs w:val="18"/>
                <w:color w:val="auto"/>
              </w:rPr>
              <w:t>PJ Kelleher</w:t>
            </w:r>
          </w:p>
        </w:tc>
        <w:tc>
          <w:tcPr>
            <w:tcW w:w="6600" w:type="dxa"/>
            <w:vAlign w:val="bottom"/>
          </w:tcPr>
          <w:p>
            <w:pPr>
              <w:ind w:left="1560"/>
              <w:spacing w:after="0"/>
              <w:rPr>
                <w:sz w:val="20"/>
                <w:szCs w:val="20"/>
                <w:color w:val="auto"/>
              </w:rPr>
            </w:pPr>
            <w:r>
              <w:rPr>
                <w:rFonts w:ascii="Arial" w:cs="Arial" w:eastAsia="Arial" w:hAnsi="Arial"/>
                <w:sz w:val="18"/>
                <w:szCs w:val="18"/>
                <w:color w:val="auto"/>
              </w:rPr>
              <w:t>Tel: +61 (0) 3 9826 0399</w:t>
            </w:r>
          </w:p>
        </w:tc>
      </w:tr>
      <w:tr>
        <w:trPr>
          <w:trHeight w:val="203"/>
        </w:trPr>
        <w:tc>
          <w:tcPr>
            <w:tcW w:w="46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LifeSci Advisors LLC</w:t>
            </w:r>
          </w:p>
        </w:tc>
        <w:tc>
          <w:tcPr>
            <w:tcW w:w="6600" w:type="dxa"/>
            <w:vAlign w:val="bottom"/>
          </w:tcPr>
          <w:p>
            <w:pPr>
              <w:ind w:left="1560"/>
              <w:spacing w:after="0" w:line="202" w:lineRule="exact"/>
              <w:rPr>
                <w:sz w:val="20"/>
                <w:szCs w:val="20"/>
                <w:color w:val="auto"/>
              </w:rPr>
            </w:pPr>
            <w:r>
              <w:rPr>
                <w:rFonts w:ascii="Arial" w:cs="Arial" w:eastAsia="Arial" w:hAnsi="Arial"/>
                <w:sz w:val="18"/>
                <w:szCs w:val="18"/>
                <w:color w:val="auto"/>
              </w:rPr>
              <w:t>Email: info@opthea.com</w:t>
            </w:r>
          </w:p>
        </w:tc>
      </w:tr>
      <w:tr>
        <w:trPr>
          <w:trHeight w:val="194"/>
        </w:trPr>
        <w:tc>
          <w:tcPr>
            <w:tcW w:w="46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Email: pkelleher@lifesciadvisors.com</w:t>
            </w:r>
          </w:p>
        </w:tc>
        <w:tc>
          <w:tcPr>
            <w:tcW w:w="6600" w:type="dxa"/>
            <w:vAlign w:val="bottom"/>
          </w:tcPr>
          <w:p>
            <w:pPr>
              <w:ind w:left="1560"/>
              <w:spacing w:after="0" w:line="195" w:lineRule="exact"/>
              <w:rPr>
                <w:sz w:val="20"/>
                <w:szCs w:val="20"/>
                <w:color w:val="auto"/>
              </w:rPr>
            </w:pPr>
            <w:r>
              <w:rPr>
                <w:rFonts w:ascii="Arial" w:cs="Arial" w:eastAsia="Arial" w:hAnsi="Arial"/>
                <w:sz w:val="18"/>
                <w:szCs w:val="18"/>
                <w:color w:val="auto"/>
              </w:rPr>
              <w:t>Web: www.opthea.com</w:t>
            </w:r>
          </w:p>
        </w:tc>
      </w:tr>
      <w:tr>
        <w:trPr>
          <w:trHeight w:val="183"/>
        </w:trPr>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4"/>
              </w:rPr>
              <w:t>Phone:</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617-430 7579</w:t>
            </w:r>
          </w:p>
        </w:tc>
        <w:tc>
          <w:tcPr>
            <w:tcW w:w="1240" w:type="dxa"/>
            <w:vAlign w:val="bottom"/>
            <w:tcBorders>
              <w:top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6600" w:type="dxa"/>
            <w:vAlign w:val="bottom"/>
          </w:tcPr>
          <w:p>
            <w:pPr>
              <w:spacing w:after="0"/>
              <w:rPr>
                <w:sz w:val="15"/>
                <w:szCs w:val="15"/>
                <w:color w:val="auto"/>
              </w:rPr>
            </w:pPr>
          </w:p>
        </w:tc>
      </w:tr>
      <w:tr>
        <w:trPr>
          <w:trHeight w:val="438"/>
        </w:trPr>
        <w:tc>
          <w:tcPr>
            <w:tcW w:w="4640" w:type="dxa"/>
            <w:vAlign w:val="bottom"/>
            <w:gridSpan w:val="6"/>
          </w:tcPr>
          <w:p>
            <w:pPr>
              <w:ind w:left="100"/>
              <w:spacing w:after="0"/>
              <w:rPr>
                <w:sz w:val="20"/>
                <w:szCs w:val="20"/>
                <w:color w:val="auto"/>
              </w:rPr>
            </w:pPr>
            <w:r>
              <w:rPr>
                <w:rFonts w:ascii="Arial" w:cs="Arial" w:eastAsia="Arial" w:hAnsi="Arial"/>
                <w:sz w:val="18"/>
                <w:szCs w:val="18"/>
                <w:b w:val="1"/>
                <w:bCs w:val="1"/>
                <w:color w:val="auto"/>
              </w:rPr>
              <w:t>Media Inquiries</w:t>
            </w:r>
          </w:p>
        </w:tc>
        <w:tc>
          <w:tcPr>
            <w:tcW w:w="6600" w:type="dxa"/>
            <w:vAlign w:val="bottom"/>
          </w:tcPr>
          <w:p>
            <w:pPr>
              <w:spacing w:after="0"/>
              <w:rPr>
                <w:sz w:val="24"/>
                <w:szCs w:val="24"/>
                <w:color w:val="auto"/>
              </w:rPr>
            </w:pPr>
          </w:p>
        </w:tc>
      </w:tr>
      <w:tr>
        <w:trPr>
          <w:trHeight w:val="361"/>
        </w:trPr>
        <w:tc>
          <w:tcPr>
            <w:tcW w:w="4640" w:type="dxa"/>
            <w:vAlign w:val="bottom"/>
            <w:gridSpan w:val="6"/>
          </w:tcPr>
          <w:p>
            <w:pPr>
              <w:ind w:left="100"/>
              <w:spacing w:after="0"/>
              <w:rPr>
                <w:sz w:val="20"/>
                <w:szCs w:val="20"/>
                <w:color w:val="auto"/>
              </w:rPr>
            </w:pPr>
            <w:r>
              <w:rPr>
                <w:rFonts w:ascii="Arial" w:cs="Arial" w:eastAsia="Arial" w:hAnsi="Arial"/>
                <w:sz w:val="18"/>
                <w:szCs w:val="18"/>
                <w:color w:val="auto"/>
              </w:rPr>
              <w:t>Silvana Guerci-Lena</w:t>
            </w:r>
          </w:p>
        </w:tc>
        <w:tc>
          <w:tcPr>
            <w:tcW w:w="6600" w:type="dxa"/>
            <w:vAlign w:val="bottom"/>
          </w:tcPr>
          <w:p>
            <w:pPr>
              <w:spacing w:after="0"/>
              <w:rPr>
                <w:sz w:val="24"/>
                <w:szCs w:val="24"/>
                <w:color w:val="auto"/>
              </w:rPr>
            </w:pPr>
          </w:p>
        </w:tc>
      </w:tr>
      <w:tr>
        <w:trPr>
          <w:trHeight w:val="203"/>
        </w:trPr>
        <w:tc>
          <w:tcPr>
            <w:tcW w:w="46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NorthStream Global Partners</w:t>
            </w:r>
          </w:p>
        </w:tc>
        <w:tc>
          <w:tcPr>
            <w:tcW w:w="6600" w:type="dxa"/>
            <w:vAlign w:val="bottom"/>
          </w:tcPr>
          <w:p>
            <w:pPr>
              <w:spacing w:after="0"/>
              <w:rPr>
                <w:sz w:val="17"/>
                <w:szCs w:val="17"/>
                <w:color w:val="auto"/>
              </w:rPr>
            </w:pPr>
          </w:p>
        </w:tc>
      </w:tr>
      <w:tr>
        <w:trPr>
          <w:trHeight w:val="194"/>
        </w:trPr>
        <w:tc>
          <w:tcPr>
            <w:tcW w:w="4640" w:type="dxa"/>
            <w:vAlign w:val="bottom"/>
            <w:gridSpan w:val="6"/>
          </w:tcPr>
          <w:p>
            <w:pPr>
              <w:ind w:left="100"/>
              <w:spacing w:after="0" w:line="195" w:lineRule="exact"/>
              <w:rPr>
                <w:sz w:val="20"/>
                <w:szCs w:val="20"/>
                <w:color w:val="auto"/>
              </w:rPr>
            </w:pPr>
            <w:r>
              <w:rPr>
                <w:rFonts w:ascii="Arial" w:cs="Arial" w:eastAsia="Arial" w:hAnsi="Arial"/>
                <w:sz w:val="18"/>
                <w:szCs w:val="18"/>
                <w:color w:val="auto"/>
              </w:rPr>
              <w:t>silvana@nsgpllc.com</w:t>
            </w:r>
          </w:p>
        </w:tc>
        <w:tc>
          <w:tcPr>
            <w:tcW w:w="6600" w:type="dxa"/>
            <w:vAlign w:val="bottom"/>
          </w:tcPr>
          <w:p>
            <w:pPr>
              <w:ind w:left="1560"/>
              <w:spacing w:after="0" w:line="195" w:lineRule="exact"/>
              <w:rPr>
                <w:sz w:val="20"/>
                <w:szCs w:val="20"/>
                <w:color w:val="auto"/>
              </w:rPr>
            </w:pPr>
            <w:r>
              <w:rPr>
                <w:rFonts w:ascii="Arial" w:cs="Arial" w:eastAsia="Arial" w:hAnsi="Arial"/>
                <w:sz w:val="18"/>
                <w:szCs w:val="18"/>
                <w:b w:val="1"/>
                <w:bCs w:val="1"/>
                <w:color w:val="auto"/>
              </w:rPr>
              <w:t>Source: Opthea Limited</w:t>
            </w:r>
          </w:p>
        </w:tc>
      </w:tr>
      <w:tr>
        <w:trPr>
          <w:trHeight w:val="1269"/>
        </w:trPr>
        <w:tc>
          <w:tcPr>
            <w:tcW w:w="100" w:type="dxa"/>
            <w:vAlign w:val="bottom"/>
            <w:tcBorders>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ASX, Nasdaq and Media Release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2024</w:t>
      </w:r>
    </w:p>
    <w:p>
      <w:pPr>
        <w:spacing w:after="0" w:line="200"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Opthea Appoints Kathy Connell to Board of Directors</w:t>
      </w:r>
    </w:p>
    <w:p>
      <w:pPr>
        <w:spacing w:after="0" w:line="204" w:lineRule="exact"/>
        <w:rPr>
          <w:sz w:val="20"/>
          <w:szCs w:val="20"/>
          <w:color w:val="auto"/>
        </w:rPr>
      </w:pPr>
    </w:p>
    <w:p>
      <w:pPr>
        <w:ind w:left="2300"/>
        <w:spacing w:after="0"/>
        <w:rPr>
          <w:sz w:val="20"/>
          <w:szCs w:val="20"/>
          <w:color w:val="auto"/>
        </w:rPr>
      </w:pPr>
      <w:r>
        <w:rPr>
          <w:rFonts w:ascii="Arial" w:cs="Arial" w:eastAsia="Arial" w:hAnsi="Arial"/>
          <w:sz w:val="20"/>
          <w:szCs w:val="20"/>
          <w:i w:val="1"/>
          <w:iCs w:val="1"/>
          <w:color w:val="auto"/>
        </w:rPr>
        <w:t>Ms. Connell is a commercial executive with business development expertise</w:t>
      </w:r>
    </w:p>
    <w:p>
      <w:pPr>
        <w:spacing w:after="0" w:line="202" w:lineRule="exact"/>
        <w:rPr>
          <w:sz w:val="20"/>
          <w:szCs w:val="20"/>
          <w:color w:val="auto"/>
        </w:rPr>
      </w:pPr>
    </w:p>
    <w:p>
      <w:pPr>
        <w:ind w:left="1760"/>
        <w:spacing w:after="0"/>
        <w:rPr>
          <w:sz w:val="20"/>
          <w:szCs w:val="20"/>
          <w:color w:val="auto"/>
        </w:rPr>
      </w:pPr>
      <w:r>
        <w:rPr>
          <w:rFonts w:ascii="Arial" w:cs="Arial" w:eastAsia="Arial" w:hAnsi="Arial"/>
          <w:sz w:val="20"/>
          <w:szCs w:val="20"/>
          <w:i w:val="1"/>
          <w:iCs w:val="1"/>
          <w:color w:val="auto"/>
        </w:rPr>
        <w:t>Appointment takes place as Opthea prepares for Phase 3 wet AMD topline data in 2025</w:t>
      </w:r>
    </w:p>
    <w:p>
      <w:pPr>
        <w:spacing w:after="0" w:line="20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 xml:space="preserve">Melbourne, Australia, and Princeton, NJ, US, November 15, 2024 </w:t>
      </w:r>
      <w:r>
        <w:rPr>
          <w:rFonts w:ascii="Arial" w:cs="Arial" w:eastAsia="Arial" w:hAnsi="Arial"/>
          <w:sz w:val="20"/>
          <w:szCs w:val="20"/>
          <w:color w:val="auto"/>
        </w:rPr>
        <w:t>-- Opthea Limited (ASX/NASDAQ: OPT, “Opthea”,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clinical-stage biopharmaceutical company developing novel therapies to treat highly prevalent and progressive retinal diseases, including wet age-related macular degeneration (wet AMD), todayannounced the appointment of Kathy Connell, GAICD, to the Board of Directors (the “Board”) as a Non-Executive Director. Ms. Connell’s appointment was effective immediately after the Annual General Meeting of the Company on November 15, 2024.</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Ms. Connell is a commercial executive with deep business development expertise across pharmaceutical, vaccine, medtech, consumer and digital health industries. Her track record of translating global commercial strategies into impactful business results and shareholder value will be instrumental as Opthea prepares for the topline data readout of its pivotal program of sozinibercept in wet AMD. Ms. Connell is currently Senior Client Partner and Head of Healthcare and Life Sciences Australia/New Zealand at Korn Ferry. She also serves as Non-Executive Director at Avecho Biotechnology Ltd (ASX: AVE), Proto Axiom (a biotech investment company with an incubation arm) and BioNSW (life sciences association for NSW, Australia).</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are pleased to welcome Kathy Connell to Opthea’s Board of Directors. Her wealth of experience in driving strategic growth and business success in the global healthcare industry will be an invaluable asset as the Company prepares for the sozinibercept Phase 3 data readout and subsequent regulatory and commercial milestones. We believe sozinibercept could represent a medical breakthrough for the treatment of wet AMD,” said Jeremy Levin, D.Phil, MB BChir, Chairman of the Board of Opthea.</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“Opthea’s innovative approach to delivering superior visual outcomes for patients with blinding eye diseases has the potential to bring life-changing vision improvements to individuals with wet AMD around the world,” said Kathy Connell. “I am honored to join the Opthea team and be part of this journey. I’m excited to work with Opthea’s Board of Directors and the Executive Team to help drive the Company’s success as we enter this promising new phase of growth.”</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also notes that Megan Baldwin, PhD, MAICD, retired from the Board as Executive Director, in accordance with ASX Listing Rules. Dr. Baldwin will continue to advance Opthea’s innovation agenda in her executive role as Founder and Chief Innovation Officer (CIO) of the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behalf of Opthea organization, I want to thank Dr. Baldwin for her many years of dedicated Board service and express my gratitude for her continued, active engagement as Opthea’s Founder and CIO,” Dr. Levin concluded.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Opthea</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Opthea (ASX/NASDAQ:OPT) is a biopharmaceutical company developing novel therapies to address the unmet needs in the treatment of highly prevalent and progressive retinal diseases, including wet age-related macular degeneration (wet AMD) and diabetic macular edema (DME).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Opthea’s lead product candidate, sozinibercept, is being evaluated in two fully enrolled pivotal Phase 3 clinical trials (COAST, </w:t>
      </w:r>
      <w:r>
        <w:rPr>
          <w:rFonts w:ascii="Arial" w:cs="Arial" w:eastAsia="Arial" w:hAnsi="Arial"/>
          <w:sz w:val="20"/>
          <w:szCs w:val="20"/>
          <w:u w:val="single" w:color="auto"/>
          <w:color w:val="0563C1"/>
        </w:rPr>
        <w:t>NCT04757636</w:t>
      </w:r>
      <w:r>
        <w:rPr>
          <w:rFonts w:ascii="Arial" w:cs="Arial" w:eastAsia="Arial" w:hAnsi="Arial"/>
          <w:sz w:val="20"/>
          <w:szCs w:val="20"/>
          <w:color w:val="000000"/>
        </w:rPr>
        <w:t>, and ShORe,</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NCT04757610</w:t>
      </w:r>
      <w:r>
        <w:rPr>
          <w:rFonts w:ascii="Arial" w:cs="Arial" w:eastAsia="Arial" w:hAnsi="Arial"/>
          <w:sz w:val="20"/>
          <w:szCs w:val="20"/>
          <w:color w:val="000000"/>
        </w:rPr>
        <w:t>) for use in combination with standard-of-care anti-VEGF-A therapies to improve</w:t>
      </w:r>
      <w:r>
        <w:rPr>
          <w:rFonts w:ascii="Arial" w:cs="Arial" w:eastAsia="Arial" w:hAnsi="Arial"/>
          <w:sz w:val="20"/>
          <w:szCs w:val="20"/>
          <w:color w:val="0563C1"/>
        </w:rPr>
        <w:t xml:space="preserve"> </w:t>
      </w:r>
      <w:r>
        <w:rPr>
          <w:rFonts w:ascii="Arial" w:cs="Arial" w:eastAsia="Arial" w:hAnsi="Arial"/>
          <w:sz w:val="20"/>
          <w:szCs w:val="20"/>
          <w:color w:val="000000"/>
        </w:rPr>
        <w:t>overall efficacy and deliver superior vision gains compared to standard-of-care anti-VEGF-A agents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 xml:space="preserve">To learn more, visit our website at </w:t>
      </w:r>
      <w:r>
        <w:rPr>
          <w:rFonts w:ascii="Arial" w:cs="Arial" w:eastAsia="Arial" w:hAnsi="Arial"/>
          <w:sz w:val="20"/>
          <w:szCs w:val="20"/>
          <w:u w:val="single" w:color="auto"/>
          <w:color w:val="auto"/>
        </w:rPr>
        <w:t>www.opthea.com</w:t>
      </w:r>
      <w:r>
        <w:rPr>
          <w:rFonts w:ascii="Arial" w:cs="Arial" w:eastAsia="Arial" w:hAnsi="Arial"/>
          <w:sz w:val="20"/>
          <w:szCs w:val="20"/>
          <w:color w:val="auto"/>
        </w:rPr>
        <w:t xml:space="preserve"> and follow us on </w:t>
      </w:r>
      <w:r>
        <w:rPr>
          <w:rFonts w:ascii="Arial" w:cs="Arial" w:eastAsia="Arial" w:hAnsi="Arial"/>
          <w:sz w:val="20"/>
          <w:szCs w:val="20"/>
          <w:u w:val="single" w:color="auto"/>
          <w:color w:val="0563C1"/>
        </w:rPr>
        <w:t>X</w:t>
      </w:r>
      <w:r>
        <w:rPr>
          <w:rFonts w:ascii="Arial" w:cs="Arial" w:eastAsia="Arial" w:hAnsi="Arial"/>
          <w:sz w:val="20"/>
          <w:szCs w:val="20"/>
          <w:color w:val="auto"/>
        </w:rPr>
        <w:t xml:space="preserve"> and </w:t>
      </w:r>
      <w:r>
        <w:rPr>
          <w:rFonts w:ascii="Arial" w:cs="Arial" w:eastAsia="Arial" w:hAnsi="Arial"/>
          <w:sz w:val="20"/>
          <w:szCs w:val="20"/>
          <w:u w:val="single" w:color="auto"/>
          <w:color w:val="0563C1"/>
        </w:rPr>
        <w:t>LinkedIn</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risks of Investment in Biotechnology Companies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announcement contains certain forward-looking statements, including within the meaning of the U.S. Private Securities Litigation Reform Act of 1995. The words “expect”, “believe”, “should”, “could”, “may”, “will”, “plan” and other similar expressions are intended to identify forward-looking statements. Forward-looking statements in this announcement include statements regarding the anticipated sozinibercept topline data timing for the two Phase 3 pivotal trials in wet AMD, the potential for sozinibercept to achieve anticipated results for patients, and the Company’s continued efforts to advance its Biological License Application (BLA) preparations for FDA approval and prepare for commercial readiness. Forward-looking statements, opinions and estimates provided in this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future capital requirements, the development, testing, production, marketing and sale of drug treatments, regulatory risk and potential loss of regulatory approvals, ongoing clinical studies to demonstrate sozinibercept’s potential safety, tolerability and therapeutic efficacy, clinical research organization and labor costs, intellectual property protections, and other factors that are of a general nature which may affect the future operating and financial performance of the Company including risk factors set forth in Opthea’s Annual Report on Form 20-F filed with the U.S. Securities and Exchange Commission (the “SEC”) on August 30, 2024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announcement to reflect any change in expectations in relation to any forward-looking statements or any change in events, conditions or circumstances on which any such statement is based,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auto"/>
        </w:rPr>
        <w:t>Authorized for release to ASX by Frederic Guerard, PharmD, Chief Executive Officer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6"/>
          </w:tcPr>
          <w:p>
            <w:pPr>
              <w:ind w:left="20"/>
              <w:spacing w:after="0"/>
              <w:rPr>
                <w:sz w:val="20"/>
                <w:szCs w:val="20"/>
                <w:color w:val="auto"/>
              </w:rPr>
            </w:pPr>
            <w:r>
              <w:rPr>
                <w:rFonts w:ascii="Arial" w:cs="Arial" w:eastAsia="Arial" w:hAnsi="Arial"/>
                <w:sz w:val="20"/>
                <w:szCs w:val="20"/>
                <w:b w:val="1"/>
                <w:bCs w:val="1"/>
                <w:color w:val="auto"/>
              </w:rPr>
              <w:t>Investor Inquiries</w:t>
            </w:r>
          </w:p>
        </w:tc>
        <w:tc>
          <w:tcPr>
            <w:tcW w:w="6540" w:type="dxa"/>
            <w:vAlign w:val="bottom"/>
          </w:tcPr>
          <w:p>
            <w:pPr>
              <w:ind w:left="1420"/>
              <w:spacing w:after="0"/>
              <w:rPr>
                <w:sz w:val="20"/>
                <w:szCs w:val="20"/>
                <w:color w:val="auto"/>
              </w:rPr>
            </w:pPr>
            <w:r>
              <w:rPr>
                <w:rFonts w:ascii="Arial" w:cs="Arial" w:eastAsia="Arial" w:hAnsi="Arial"/>
                <w:sz w:val="20"/>
                <w:szCs w:val="20"/>
                <w:b w:val="1"/>
                <w:bCs w:val="1"/>
                <w:i w:val="1"/>
                <w:iCs w:val="1"/>
                <w:color w:val="auto"/>
              </w:rPr>
              <w:t>Join  our  email  database  to  receive  program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540" w:type="dxa"/>
            <w:vAlign w:val="bottom"/>
          </w:tcPr>
          <w:p>
            <w:pPr>
              <w:ind w:left="1420"/>
              <w:spacing w:after="0"/>
              <w:rPr>
                <w:sz w:val="20"/>
                <w:szCs w:val="20"/>
                <w:color w:val="auto"/>
              </w:rPr>
            </w:pPr>
            <w:r>
              <w:rPr>
                <w:rFonts w:ascii="Arial" w:cs="Arial" w:eastAsia="Arial" w:hAnsi="Arial"/>
                <w:sz w:val="20"/>
                <w:szCs w:val="20"/>
                <w:b w:val="1"/>
                <w:bCs w:val="1"/>
                <w:i w:val="1"/>
                <w:iCs w:val="1"/>
                <w:color w:val="auto"/>
              </w:rPr>
              <w:t>updates:</w:t>
            </w:r>
          </w:p>
        </w:tc>
        <w:tc>
          <w:tcPr>
            <w:tcW w:w="0" w:type="dxa"/>
            <w:vAlign w:val="bottom"/>
          </w:tcPr>
          <w:p>
            <w:pPr>
              <w:spacing w:after="0"/>
              <w:rPr>
                <w:sz w:val="1"/>
                <w:szCs w:val="1"/>
                <w:color w:val="auto"/>
              </w:rPr>
            </w:pPr>
          </w:p>
        </w:tc>
      </w:tr>
      <w:tr>
        <w:trPr>
          <w:trHeight w:val="216"/>
        </w:trPr>
        <w:tc>
          <w:tcPr>
            <w:tcW w:w="4700" w:type="dxa"/>
            <w:vAlign w:val="bottom"/>
            <w:gridSpan w:val="6"/>
          </w:tcPr>
          <w:p>
            <w:pPr>
              <w:ind w:left="20"/>
              <w:spacing w:after="0" w:line="216" w:lineRule="exact"/>
              <w:rPr>
                <w:sz w:val="20"/>
                <w:szCs w:val="20"/>
                <w:color w:val="auto"/>
              </w:rPr>
            </w:pPr>
            <w:r>
              <w:rPr>
                <w:rFonts w:ascii="Arial" w:cs="Arial" w:eastAsia="Arial" w:hAnsi="Arial"/>
                <w:sz w:val="20"/>
                <w:szCs w:val="20"/>
                <w:color w:val="auto"/>
              </w:rPr>
              <w:t>PJ Kelleher</w:t>
            </w:r>
          </w:p>
        </w:tc>
        <w:tc>
          <w:tcPr>
            <w:tcW w:w="6540" w:type="dxa"/>
            <w:vAlign w:val="bottom"/>
          </w:tcPr>
          <w:p>
            <w:pPr>
              <w:ind w:left="1420"/>
              <w:spacing w:after="0" w:line="216" w:lineRule="exact"/>
              <w:rPr>
                <w:sz w:val="20"/>
                <w:szCs w:val="20"/>
                <w:color w:val="auto"/>
              </w:rPr>
            </w:pPr>
            <w:r>
              <w:rPr>
                <w:rFonts w:ascii="Arial" w:cs="Arial" w:eastAsia="Arial" w:hAnsi="Arial"/>
                <w:sz w:val="20"/>
                <w:szCs w:val="20"/>
                <w:color w:val="auto"/>
              </w:rPr>
              <w:t>Tel: +61 (0) 3 9826 0399</w:t>
            </w:r>
          </w:p>
        </w:tc>
        <w:tc>
          <w:tcPr>
            <w:tcW w:w="0" w:type="dxa"/>
            <w:vAlign w:val="bottom"/>
          </w:tcPr>
          <w:p>
            <w:pPr>
              <w:spacing w:after="0"/>
              <w:rPr>
                <w:sz w:val="1"/>
                <w:szCs w:val="1"/>
                <w:color w:val="auto"/>
              </w:rPr>
            </w:pPr>
          </w:p>
        </w:tc>
      </w:tr>
      <w:tr>
        <w:trPr>
          <w:trHeight w:val="216"/>
        </w:trPr>
        <w:tc>
          <w:tcPr>
            <w:tcW w:w="4700" w:type="dxa"/>
            <w:vAlign w:val="bottom"/>
            <w:gridSpan w:val="6"/>
          </w:tcPr>
          <w:p>
            <w:pPr>
              <w:ind w:left="20"/>
              <w:spacing w:after="0" w:line="216" w:lineRule="exact"/>
              <w:rPr>
                <w:sz w:val="20"/>
                <w:szCs w:val="20"/>
                <w:color w:val="auto"/>
              </w:rPr>
            </w:pPr>
            <w:r>
              <w:rPr>
                <w:rFonts w:ascii="Arial" w:cs="Arial" w:eastAsia="Arial" w:hAnsi="Arial"/>
                <w:sz w:val="20"/>
                <w:szCs w:val="20"/>
                <w:color w:val="auto"/>
              </w:rPr>
              <w:t>LifeSci Advisors LLC</w:t>
            </w:r>
          </w:p>
        </w:tc>
        <w:tc>
          <w:tcPr>
            <w:tcW w:w="6540" w:type="dxa"/>
            <w:vAlign w:val="bottom"/>
          </w:tcPr>
          <w:p>
            <w:pPr>
              <w:ind w:left="1420"/>
              <w:spacing w:after="0" w:line="216" w:lineRule="exact"/>
              <w:rPr>
                <w:sz w:val="20"/>
                <w:szCs w:val="20"/>
                <w:color w:val="auto"/>
              </w:rPr>
            </w:pPr>
            <w:r>
              <w:rPr>
                <w:rFonts w:ascii="Arial" w:cs="Arial" w:eastAsia="Arial" w:hAnsi="Arial"/>
                <w:sz w:val="20"/>
                <w:szCs w:val="20"/>
                <w:color w:val="auto"/>
              </w:rPr>
              <w:t>Email: info@opthea.com</w:t>
            </w:r>
          </w:p>
        </w:tc>
        <w:tc>
          <w:tcPr>
            <w:tcW w:w="0" w:type="dxa"/>
            <w:vAlign w:val="bottom"/>
          </w:tcPr>
          <w:p>
            <w:pPr>
              <w:spacing w:after="0"/>
              <w:rPr>
                <w:sz w:val="1"/>
                <w:szCs w:val="1"/>
                <w:color w:val="auto"/>
              </w:rPr>
            </w:pPr>
          </w:p>
        </w:tc>
      </w:tr>
      <w:tr>
        <w:trPr>
          <w:trHeight w:val="211"/>
        </w:trPr>
        <w:tc>
          <w:tcPr>
            <w:tcW w:w="4700" w:type="dxa"/>
            <w:vAlign w:val="bottom"/>
            <w:gridSpan w:val="6"/>
          </w:tcPr>
          <w:p>
            <w:pPr>
              <w:ind w:left="20"/>
              <w:spacing w:after="0" w:line="210" w:lineRule="exact"/>
              <w:rPr>
                <w:sz w:val="20"/>
                <w:szCs w:val="20"/>
                <w:color w:val="auto"/>
              </w:rPr>
            </w:pPr>
            <w:r>
              <w:rPr>
                <w:rFonts w:ascii="Arial" w:cs="Arial" w:eastAsia="Arial" w:hAnsi="Arial"/>
                <w:sz w:val="20"/>
                <w:szCs w:val="20"/>
                <w:color w:val="auto"/>
              </w:rPr>
              <w:t>Email: pkelleher@lifesciadvisors.com</w:t>
            </w:r>
          </w:p>
        </w:tc>
        <w:tc>
          <w:tcPr>
            <w:tcW w:w="6540" w:type="dxa"/>
            <w:vAlign w:val="bottom"/>
          </w:tcPr>
          <w:p>
            <w:pPr>
              <w:ind w:left="1420"/>
              <w:spacing w:after="0" w:line="210" w:lineRule="exact"/>
              <w:rPr>
                <w:sz w:val="20"/>
                <w:szCs w:val="20"/>
                <w:color w:val="auto"/>
              </w:rPr>
            </w:pPr>
            <w:r>
              <w:rPr>
                <w:rFonts w:ascii="Arial" w:cs="Arial" w:eastAsia="Arial" w:hAnsi="Arial"/>
                <w:sz w:val="20"/>
                <w:szCs w:val="20"/>
                <w:color w:val="auto"/>
              </w:rPr>
              <w:t>Web: www.opthea.com</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20"/>
                <w:szCs w:val="20"/>
                <w:color w:val="auto"/>
                <w:w w:val="91"/>
              </w:rPr>
              <w:t>Phone:</w:t>
            </w:r>
          </w:p>
        </w:tc>
        <w:tc>
          <w:tcPr>
            <w:tcW w:w="2660" w:type="dxa"/>
            <w:vAlign w:val="bottom"/>
            <w:tcBorders>
              <w:top w:val="single" w:sz="8" w:color="auto"/>
            </w:tcBorders>
            <w:gridSpan w:val="3"/>
          </w:tcPr>
          <w:p>
            <w:pPr>
              <w:jc w:val="right"/>
              <w:ind w:right="1360"/>
              <w:spacing w:after="0" w:line="196" w:lineRule="exact"/>
              <w:rPr>
                <w:sz w:val="20"/>
                <w:szCs w:val="20"/>
                <w:color w:val="auto"/>
              </w:rPr>
            </w:pPr>
            <w:r>
              <w:rPr>
                <w:rFonts w:ascii="Arial" w:cs="Arial" w:eastAsia="Arial" w:hAnsi="Arial"/>
                <w:sz w:val="20"/>
                <w:szCs w:val="20"/>
                <w:color w:val="auto"/>
              </w:rPr>
              <w:t>617-430 7579</w:t>
            </w:r>
          </w:p>
        </w:tc>
        <w:tc>
          <w:tcPr>
            <w:tcW w:w="14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900" w:type="dxa"/>
            <w:vAlign w:val="bottom"/>
            <w:tcBorders>
              <w:top w:val="single" w:sz="8" w:color="auto"/>
            </w:tcBorders>
            <w:gridSpan w:val="3"/>
          </w:tcPr>
          <w:p>
            <w:pPr>
              <w:spacing w:after="0"/>
              <w:rPr>
                <w:sz w:val="20"/>
                <w:szCs w:val="20"/>
                <w:color w:val="auto"/>
              </w:rPr>
            </w:pPr>
            <w:r>
              <w:rPr>
                <w:rFonts w:ascii="Arial" w:cs="Arial" w:eastAsia="Arial" w:hAnsi="Arial"/>
                <w:sz w:val="20"/>
                <w:szCs w:val="20"/>
                <w:b w:val="1"/>
                <w:bCs w:val="1"/>
                <w:color w:val="auto"/>
              </w:rPr>
              <w:t>Media Inquiries</w:t>
            </w:r>
          </w:p>
        </w:tc>
        <w:tc>
          <w:tcPr>
            <w:tcW w:w="2780" w:type="dxa"/>
            <w:vAlign w:val="bottom"/>
            <w:gridSpan w:val="2"/>
          </w:tcPr>
          <w:p>
            <w:pPr>
              <w:spacing w:after="0"/>
              <w:rPr>
                <w:sz w:val="24"/>
                <w:szCs w:val="24"/>
                <w:color w:val="auto"/>
              </w:rPr>
            </w:pP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700" w:type="dxa"/>
            <w:vAlign w:val="bottom"/>
            <w:gridSpan w:val="6"/>
          </w:tcPr>
          <w:p>
            <w:pPr>
              <w:ind w:left="20"/>
              <w:spacing w:after="0"/>
              <w:rPr>
                <w:sz w:val="20"/>
                <w:szCs w:val="20"/>
                <w:color w:val="auto"/>
              </w:rPr>
            </w:pPr>
            <w:r>
              <w:rPr>
                <w:rFonts w:ascii="Arial" w:cs="Arial" w:eastAsia="Arial" w:hAnsi="Arial"/>
                <w:sz w:val="20"/>
                <w:szCs w:val="20"/>
                <w:color w:val="auto"/>
              </w:rPr>
              <w:t>Silvana Guerci-Lena</w:t>
            </w: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gridSpan w:val="6"/>
          </w:tcPr>
          <w:p>
            <w:pPr>
              <w:ind w:left="20"/>
              <w:spacing w:after="0" w:line="216" w:lineRule="exact"/>
              <w:rPr>
                <w:sz w:val="20"/>
                <w:szCs w:val="20"/>
                <w:color w:val="auto"/>
              </w:rPr>
            </w:pPr>
            <w:r>
              <w:rPr>
                <w:rFonts w:ascii="Arial" w:cs="Arial" w:eastAsia="Arial" w:hAnsi="Arial"/>
                <w:sz w:val="20"/>
                <w:szCs w:val="20"/>
                <w:color w:val="auto"/>
              </w:rPr>
              <w:t>NorthStream Global Partners</w:t>
            </w:r>
          </w:p>
        </w:tc>
        <w:tc>
          <w:tcPr>
            <w:tcW w:w="6540" w:type="dxa"/>
            <w:vAlign w:val="bottom"/>
            <w:vMerge w:val="restart"/>
          </w:tcPr>
          <w:p>
            <w:pPr>
              <w:ind w:left="1420"/>
              <w:spacing w:after="0"/>
              <w:rPr>
                <w:sz w:val="20"/>
                <w:szCs w:val="20"/>
                <w:color w:val="auto"/>
              </w:rPr>
            </w:pPr>
            <w:r>
              <w:rPr>
                <w:rFonts w:ascii="Arial" w:cs="Arial" w:eastAsia="Arial" w:hAnsi="Arial"/>
                <w:sz w:val="20"/>
                <w:szCs w:val="20"/>
                <w:b w:val="1"/>
                <w:bCs w:val="1"/>
                <w:color w:val="auto"/>
              </w:rPr>
              <w:t>Source: Opthea Limited</w:t>
            </w:r>
          </w:p>
        </w:tc>
        <w:tc>
          <w:tcPr>
            <w:tcW w:w="0" w:type="dxa"/>
            <w:vAlign w:val="bottom"/>
          </w:tcPr>
          <w:p>
            <w:pPr>
              <w:spacing w:after="0"/>
              <w:rPr>
                <w:sz w:val="1"/>
                <w:szCs w:val="1"/>
                <w:color w:val="auto"/>
              </w:rPr>
            </w:pPr>
          </w:p>
        </w:tc>
      </w:tr>
      <w:tr>
        <w:trPr>
          <w:trHeight w:val="211"/>
        </w:trPr>
        <w:tc>
          <w:tcPr>
            <w:tcW w:w="4700" w:type="dxa"/>
            <w:vAlign w:val="bottom"/>
            <w:gridSpan w:val="6"/>
          </w:tcPr>
          <w:p>
            <w:pPr>
              <w:ind w:left="20"/>
              <w:spacing w:after="0" w:line="210" w:lineRule="exact"/>
              <w:rPr>
                <w:sz w:val="20"/>
                <w:szCs w:val="20"/>
                <w:color w:val="auto"/>
              </w:rPr>
            </w:pPr>
            <w:r>
              <w:rPr>
                <w:rFonts w:ascii="Arial" w:cs="Arial" w:eastAsia="Arial" w:hAnsi="Arial"/>
                <w:sz w:val="20"/>
                <w:szCs w:val="20"/>
                <w:color w:val="auto"/>
              </w:rPr>
              <w:t>silvana@nsgpllc.com</w:t>
            </w:r>
          </w:p>
        </w:tc>
        <w:tc>
          <w:tcPr>
            <w:tcW w:w="6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ASX, Nasdaq and Media Release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Market Announcements Office Australian Securities Exchange Limited 20 Bridge Street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SYDNEY NSW 2000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Dear Ms.,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2024 Annual General Meeting Opthea Limited(ASX: OPT)</w:t>
      </w:r>
    </w:p>
    <w:p>
      <w:pPr>
        <w:spacing w:after="0" w:line="96" w:lineRule="exact"/>
        <w:rPr>
          <w:sz w:val="20"/>
          <w:szCs w:val="20"/>
          <w:color w:val="auto"/>
        </w:rPr>
      </w:pPr>
    </w:p>
    <w:p>
      <w:pPr>
        <w:ind w:right="320"/>
        <w:spacing w:after="0" w:line="257" w:lineRule="auto"/>
        <w:rPr>
          <w:sz w:val="20"/>
          <w:szCs w:val="20"/>
          <w:color w:val="auto"/>
        </w:rPr>
      </w:pPr>
      <w:r>
        <w:rPr>
          <w:rFonts w:ascii="Arial" w:cs="Arial" w:eastAsia="Arial" w:hAnsi="Arial"/>
          <w:sz w:val="20"/>
          <w:szCs w:val="20"/>
          <w:color w:val="auto"/>
        </w:rPr>
        <w:t>In accordance with Listing Rule 3.13.2 and section 251AA of the Corporations Act, we advise details of the resolutions and the proxies received in respect of each resolution are set out in the attached proxy summary.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Karen Adams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Karen Adams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5364480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980"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Opthea Limited</w:t>
      </w:r>
    </w:p>
    <w:p>
      <w:pPr>
        <w:spacing w:after="0" w:line="231" w:lineRule="auto"/>
        <w:rPr>
          <w:sz w:val="20"/>
          <w:szCs w:val="20"/>
          <w:color w:val="auto"/>
        </w:rPr>
      </w:pPr>
      <w:r>
        <w:rPr>
          <w:rFonts w:ascii="Arial" w:cs="Arial" w:eastAsia="Arial" w:hAnsi="Arial"/>
          <w:sz w:val="20"/>
          <w:szCs w:val="20"/>
          <w:b w:val="1"/>
          <w:bCs w:val="1"/>
          <w:color w:val="808080"/>
        </w:rPr>
        <w:t>Annual General Meeting Friday, 15 November2024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93186B"/>
        </w:rPr>
        <w:t>Results of Meeting</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color w:val="333333"/>
        </w:rPr>
        <w:t>The following information is provided in accordance with section 251AA(2)of the Corporations Act 2001 (Cth) and ASX Listing Rule 3.13.2.</w:t>
      </w:r>
    </w:p>
    <w:p>
      <w:pPr>
        <w:spacing w:after="0" w:line="221" w:lineRule="exact"/>
        <w:rPr>
          <w:sz w:val="20"/>
          <w:szCs w:val="20"/>
          <w:color w:val="auto"/>
        </w:rPr>
      </w:pPr>
    </w:p>
    <w:tbl>
      <w:tblPr>
        <w:tblLayout w:type="fixed"/>
        <w:tblInd w:w="150" w:type="dxa"/>
        <w:tblCellMar>
          <w:top w:w="0" w:type="dxa"/>
          <w:left w:w="0" w:type="dxa"/>
          <w:bottom w:w="0" w:type="dxa"/>
          <w:right w:w="0" w:type="dxa"/>
        </w:tblCellMar>
      </w:tblPr>
      <w:tr>
        <w:trPr>
          <w:trHeight w:val="218"/>
        </w:trPr>
        <w:tc>
          <w:tcPr>
            <w:tcW w:w="140" w:type="dxa"/>
            <w:vAlign w:val="bottom"/>
            <w:tcBorders>
              <w:top w:val="single" w:sz="8" w:color="auto"/>
              <w:left w:val="single" w:sz="8" w:color="auto"/>
            </w:tcBorders>
            <w:shd w:val="clear" w:color="auto" w:fill="D8D8D8"/>
          </w:tcPr>
          <w:p>
            <w:pPr>
              <w:spacing w:after="0"/>
              <w:rPr>
                <w:sz w:val="18"/>
                <w:szCs w:val="18"/>
                <w:color w:val="auto"/>
              </w:rPr>
            </w:pPr>
          </w:p>
        </w:tc>
        <w:tc>
          <w:tcPr>
            <w:tcW w:w="1960" w:type="dxa"/>
            <w:vAlign w:val="bottom"/>
            <w:tcBorders>
              <w:top w:val="single" w:sz="8" w:color="auto"/>
            </w:tcBorders>
            <w:gridSpan w:val="3"/>
            <w:vMerge w:val="restart"/>
            <w:shd w:val="clear" w:color="auto" w:fill="D8D8D8"/>
          </w:tcPr>
          <w:p>
            <w:pPr>
              <w:ind w:left="780"/>
              <w:spacing w:after="0"/>
              <w:rPr>
                <w:sz w:val="20"/>
                <w:szCs w:val="20"/>
                <w:color w:val="auto"/>
              </w:rPr>
            </w:pPr>
            <w:r>
              <w:rPr>
                <w:rFonts w:ascii="Arial" w:cs="Arial" w:eastAsia="Arial" w:hAnsi="Arial"/>
                <w:sz w:val="13"/>
                <w:szCs w:val="13"/>
                <w:b w:val="1"/>
                <w:bCs w:val="1"/>
                <w:color w:val="333333"/>
              </w:rPr>
              <w:t>Resolution details</w:t>
            </w:r>
          </w:p>
        </w:tc>
        <w:tc>
          <w:tcPr>
            <w:tcW w:w="900" w:type="dxa"/>
            <w:vAlign w:val="bottom"/>
            <w:tcBorders>
              <w:top w:val="single" w:sz="8" w:color="auto"/>
              <w:right w:val="single" w:sz="8" w:color="auto"/>
            </w:tcBorders>
            <w:shd w:val="clear" w:color="auto" w:fill="D8D8D8"/>
          </w:tcPr>
          <w:p>
            <w:pPr>
              <w:spacing w:after="0"/>
              <w:rPr>
                <w:sz w:val="18"/>
                <w:szCs w:val="18"/>
                <w:color w:val="auto"/>
              </w:rPr>
            </w:pPr>
          </w:p>
        </w:tc>
        <w:tc>
          <w:tcPr>
            <w:tcW w:w="4020" w:type="dxa"/>
            <w:vAlign w:val="bottom"/>
            <w:tcBorders>
              <w:top w:val="single" w:sz="8" w:color="auto"/>
              <w:right w:val="single" w:sz="8" w:color="auto"/>
            </w:tcBorders>
            <w:gridSpan w:val="5"/>
            <w:shd w:val="clear" w:color="auto" w:fill="D8D8D8"/>
          </w:tcPr>
          <w:p>
            <w:pPr>
              <w:jc w:val="center"/>
              <w:spacing w:after="0"/>
              <w:rPr>
                <w:sz w:val="20"/>
                <w:szCs w:val="20"/>
                <w:color w:val="auto"/>
              </w:rPr>
            </w:pPr>
            <w:r>
              <w:rPr>
                <w:rFonts w:ascii="Arial" w:cs="Arial" w:eastAsia="Arial" w:hAnsi="Arial"/>
                <w:sz w:val="13"/>
                <w:szCs w:val="13"/>
                <w:b w:val="1"/>
                <w:bCs w:val="1"/>
                <w:color w:val="333333"/>
              </w:rPr>
              <w:t>Instructions given to validly appointed proxies</w:t>
            </w:r>
          </w:p>
        </w:tc>
        <w:tc>
          <w:tcPr>
            <w:tcW w:w="2960" w:type="dxa"/>
            <w:vAlign w:val="bottom"/>
            <w:tcBorders>
              <w:top w:val="single" w:sz="8" w:color="auto"/>
              <w:right w:val="single" w:sz="8" w:color="auto"/>
            </w:tcBorders>
            <w:gridSpan w:val="4"/>
            <w:shd w:val="clear" w:color="auto" w:fill="D8D8D8"/>
          </w:tcPr>
          <w:p>
            <w:pPr>
              <w:jc w:val="center"/>
              <w:spacing w:after="0"/>
              <w:rPr>
                <w:sz w:val="20"/>
                <w:szCs w:val="20"/>
                <w:color w:val="auto"/>
              </w:rPr>
            </w:pPr>
            <w:r>
              <w:rPr>
                <w:rFonts w:ascii="Arial" w:cs="Arial" w:eastAsia="Arial" w:hAnsi="Arial"/>
                <w:sz w:val="13"/>
                <w:szCs w:val="13"/>
                <w:b w:val="1"/>
                <w:bCs w:val="1"/>
                <w:color w:val="333333"/>
              </w:rPr>
              <w:t>Number of votes cast on the poll</w:t>
            </w:r>
          </w:p>
        </w:tc>
        <w:tc>
          <w:tcPr>
            <w:tcW w:w="104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3"/>
                <w:szCs w:val="13"/>
                <w:b w:val="1"/>
                <w:bCs w:val="1"/>
                <w:color w:val="333333"/>
              </w:rPr>
              <w:t>Resolution</w:t>
            </w:r>
          </w:p>
        </w:tc>
        <w:tc>
          <w:tcPr>
            <w:tcW w:w="0" w:type="dxa"/>
            <w:vAlign w:val="bottom"/>
          </w:tcPr>
          <w:p>
            <w:pPr>
              <w:spacing w:after="0"/>
              <w:rPr>
                <w:sz w:val="1"/>
                <w:szCs w:val="1"/>
                <w:color w:val="auto"/>
              </w:rPr>
            </w:pPr>
          </w:p>
        </w:tc>
      </w:tr>
      <w:tr>
        <w:trPr>
          <w:trHeight w:val="261"/>
        </w:trPr>
        <w:tc>
          <w:tcPr>
            <w:tcW w:w="140" w:type="dxa"/>
            <w:vAlign w:val="bottom"/>
            <w:tcBorders>
              <w:left w:val="single" w:sz="8" w:color="auto"/>
              <w:bottom w:val="single" w:sz="8" w:color="D8D8D8"/>
            </w:tcBorders>
            <w:shd w:val="clear" w:color="auto" w:fill="D8D8D8"/>
          </w:tcPr>
          <w:p>
            <w:pPr>
              <w:spacing w:after="0"/>
              <w:rPr>
                <w:sz w:val="22"/>
                <w:szCs w:val="22"/>
                <w:color w:val="auto"/>
              </w:rPr>
            </w:pPr>
          </w:p>
        </w:tc>
        <w:tc>
          <w:tcPr>
            <w:tcW w:w="1960" w:type="dxa"/>
            <w:vAlign w:val="bottom"/>
            <w:tcBorders>
              <w:bottom w:val="single" w:sz="8" w:color="D8D8D8"/>
            </w:tcBorders>
            <w:gridSpan w:val="3"/>
            <w:vMerge w:val="continue"/>
            <w:shd w:val="clear" w:color="auto" w:fill="D8D8D8"/>
          </w:tcPr>
          <w:p>
            <w:pPr>
              <w:spacing w:after="0"/>
              <w:rPr>
                <w:sz w:val="22"/>
                <w:szCs w:val="22"/>
                <w:color w:val="auto"/>
              </w:rPr>
            </w:pPr>
          </w:p>
        </w:tc>
        <w:tc>
          <w:tcPr>
            <w:tcW w:w="900" w:type="dxa"/>
            <w:vAlign w:val="bottom"/>
            <w:tcBorders>
              <w:bottom w:val="single" w:sz="8" w:color="D8D8D8"/>
              <w:right w:val="single" w:sz="8" w:color="auto"/>
            </w:tcBorders>
            <w:shd w:val="clear" w:color="auto" w:fill="D8D8D8"/>
          </w:tcPr>
          <w:p>
            <w:pPr>
              <w:spacing w:after="0"/>
              <w:rPr>
                <w:sz w:val="22"/>
                <w:szCs w:val="22"/>
                <w:color w:val="auto"/>
              </w:rPr>
            </w:pPr>
          </w:p>
        </w:tc>
        <w:tc>
          <w:tcPr>
            <w:tcW w:w="1020" w:type="dxa"/>
            <w:vAlign w:val="bottom"/>
            <w:tcBorders>
              <w:bottom w:val="single" w:sz="8" w:color="D8D8D8"/>
            </w:tcBorders>
            <w:shd w:val="clear" w:color="auto" w:fill="D8D8D8"/>
          </w:tcPr>
          <w:p>
            <w:pPr>
              <w:spacing w:after="0"/>
              <w:rPr>
                <w:sz w:val="22"/>
                <w:szCs w:val="22"/>
                <w:color w:val="auto"/>
              </w:rPr>
            </w:pPr>
          </w:p>
        </w:tc>
        <w:tc>
          <w:tcPr>
            <w:tcW w:w="20" w:type="dxa"/>
            <w:vAlign w:val="bottom"/>
            <w:tcBorders>
              <w:bottom w:val="single" w:sz="8" w:color="D8D8D8"/>
            </w:tcBorders>
            <w:shd w:val="clear" w:color="auto" w:fill="D8D8D8"/>
          </w:tcPr>
          <w:p>
            <w:pPr>
              <w:spacing w:after="0"/>
              <w:rPr>
                <w:sz w:val="22"/>
                <w:szCs w:val="22"/>
                <w:color w:val="auto"/>
              </w:rPr>
            </w:pPr>
          </w:p>
        </w:tc>
        <w:tc>
          <w:tcPr>
            <w:tcW w:w="2100" w:type="dxa"/>
            <w:vAlign w:val="bottom"/>
            <w:tcBorders>
              <w:bottom w:val="single" w:sz="8" w:color="D8D8D8"/>
              <w:right w:val="single" w:sz="8" w:color="D8D8D8"/>
            </w:tcBorders>
            <w:gridSpan w:val="2"/>
            <w:shd w:val="clear" w:color="auto" w:fill="D8D8D8"/>
          </w:tcPr>
          <w:p>
            <w:pPr>
              <w:jc w:val="center"/>
              <w:ind w:right="133"/>
              <w:spacing w:after="0"/>
              <w:rPr>
                <w:sz w:val="20"/>
                <w:szCs w:val="20"/>
                <w:color w:val="auto"/>
              </w:rPr>
            </w:pPr>
            <w:r>
              <w:rPr>
                <w:rFonts w:ascii="Arial" w:cs="Arial" w:eastAsia="Arial" w:hAnsi="Arial"/>
                <w:sz w:val="13"/>
                <w:szCs w:val="13"/>
                <w:b w:val="1"/>
                <w:bCs w:val="1"/>
                <w:color w:val="333333"/>
              </w:rPr>
              <w:t>(as at proxy close)</w:t>
            </w:r>
          </w:p>
        </w:tc>
        <w:tc>
          <w:tcPr>
            <w:tcW w:w="880" w:type="dxa"/>
            <w:vAlign w:val="bottom"/>
            <w:tcBorders>
              <w:bottom w:val="single" w:sz="8" w:color="D8D8D8"/>
              <w:right w:val="single" w:sz="8" w:color="auto"/>
            </w:tcBorders>
            <w:shd w:val="clear" w:color="auto" w:fill="D8D8D8"/>
          </w:tcPr>
          <w:p>
            <w:pPr>
              <w:spacing w:after="0"/>
              <w:rPr>
                <w:sz w:val="22"/>
                <w:szCs w:val="22"/>
                <w:color w:val="auto"/>
              </w:rPr>
            </w:pPr>
          </w:p>
        </w:tc>
        <w:tc>
          <w:tcPr>
            <w:tcW w:w="860" w:type="dxa"/>
            <w:vAlign w:val="bottom"/>
            <w:tcBorders>
              <w:bottom w:val="single" w:sz="8" w:color="D8D8D8"/>
            </w:tcBorders>
            <w:shd w:val="clear" w:color="auto" w:fill="D8D8D8"/>
          </w:tcPr>
          <w:p>
            <w:pPr>
              <w:spacing w:after="0"/>
              <w:rPr>
                <w:sz w:val="22"/>
                <w:szCs w:val="22"/>
                <w:color w:val="auto"/>
              </w:rPr>
            </w:pPr>
          </w:p>
        </w:tc>
        <w:tc>
          <w:tcPr>
            <w:tcW w:w="1340" w:type="dxa"/>
            <w:vAlign w:val="bottom"/>
            <w:tcBorders>
              <w:bottom w:val="single" w:sz="8" w:color="D8D8D8"/>
              <w:right w:val="single" w:sz="8" w:color="D8D8D8"/>
            </w:tcBorders>
            <w:gridSpan w:val="2"/>
            <w:shd w:val="clear" w:color="auto" w:fill="D8D8D8"/>
          </w:tcPr>
          <w:p>
            <w:pPr>
              <w:jc w:val="center"/>
              <w:ind w:right="53"/>
              <w:spacing w:after="0"/>
              <w:rPr>
                <w:sz w:val="20"/>
                <w:szCs w:val="20"/>
                <w:color w:val="auto"/>
              </w:rPr>
            </w:pPr>
            <w:r>
              <w:rPr>
                <w:rFonts w:ascii="Arial" w:cs="Arial" w:eastAsia="Arial" w:hAnsi="Arial"/>
                <w:sz w:val="13"/>
                <w:szCs w:val="13"/>
                <w:b w:val="1"/>
                <w:bCs w:val="1"/>
                <w:color w:val="333333"/>
              </w:rPr>
              <w:t>(where applicable)</w:t>
            </w:r>
          </w:p>
        </w:tc>
        <w:tc>
          <w:tcPr>
            <w:tcW w:w="760" w:type="dxa"/>
            <w:vAlign w:val="bottom"/>
            <w:tcBorders>
              <w:bottom w:val="single" w:sz="8" w:color="D8D8D8"/>
              <w:right w:val="single" w:sz="8" w:color="auto"/>
            </w:tcBorders>
            <w:shd w:val="clear" w:color="auto" w:fill="D8D8D8"/>
          </w:tcPr>
          <w:p>
            <w:pPr>
              <w:spacing w:after="0"/>
              <w:rPr>
                <w:sz w:val="22"/>
                <w:szCs w:val="22"/>
                <w:color w:val="auto"/>
              </w:rPr>
            </w:pPr>
          </w:p>
        </w:tc>
        <w:tc>
          <w:tcPr>
            <w:tcW w:w="104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3"/>
                <w:szCs w:val="13"/>
                <w:b w:val="1"/>
                <w:bCs w:val="1"/>
                <w:color w:val="333333"/>
              </w:rPr>
              <w:t>Result</w:t>
            </w:r>
          </w:p>
        </w:tc>
        <w:tc>
          <w:tcPr>
            <w:tcW w:w="0" w:type="dxa"/>
            <w:vAlign w:val="bottom"/>
          </w:tcPr>
          <w:p>
            <w:pPr>
              <w:spacing w:after="0"/>
              <w:rPr>
                <w:sz w:val="1"/>
                <w:szCs w:val="1"/>
                <w:color w:val="auto"/>
              </w:rPr>
            </w:pPr>
          </w:p>
        </w:tc>
      </w:tr>
      <w:tr>
        <w:trPr>
          <w:trHeight w:val="124"/>
        </w:trPr>
        <w:tc>
          <w:tcPr>
            <w:tcW w:w="140" w:type="dxa"/>
            <w:vAlign w:val="bottom"/>
            <w:tcBorders>
              <w:top w:val="single" w:sz="8" w:color="auto"/>
              <w:left w:val="single" w:sz="8" w:color="F2F2F2"/>
            </w:tcBorders>
            <w:shd w:val="clear" w:color="auto" w:fill="F2F2F2"/>
          </w:tcPr>
          <w:p>
            <w:pPr>
              <w:spacing w:after="0"/>
              <w:rPr>
                <w:sz w:val="10"/>
                <w:szCs w:val="10"/>
                <w:color w:val="auto"/>
              </w:rPr>
            </w:pPr>
          </w:p>
        </w:tc>
        <w:tc>
          <w:tcPr>
            <w:tcW w:w="1560" w:type="dxa"/>
            <w:vAlign w:val="bottom"/>
            <w:tcBorders>
              <w:top w:val="single" w:sz="8" w:color="auto"/>
            </w:tcBorders>
            <w:vMerge w:val="restart"/>
            <w:shd w:val="clear" w:color="auto" w:fill="F2F2F2"/>
          </w:tcPr>
          <w:p>
            <w:pPr>
              <w:ind w:left="500"/>
              <w:spacing w:after="0"/>
              <w:rPr>
                <w:sz w:val="20"/>
                <w:szCs w:val="20"/>
                <w:color w:val="auto"/>
              </w:rPr>
            </w:pPr>
            <w:r>
              <w:rPr>
                <w:rFonts w:ascii="Arial" w:cs="Arial" w:eastAsia="Arial" w:hAnsi="Arial"/>
                <w:sz w:val="13"/>
                <w:szCs w:val="13"/>
                <w:b w:val="1"/>
                <w:bCs w:val="1"/>
                <w:color w:val="333333"/>
              </w:rPr>
              <w:t>Resolution</w:t>
            </w:r>
          </w:p>
        </w:tc>
        <w:tc>
          <w:tcPr>
            <w:tcW w:w="300" w:type="dxa"/>
            <w:vAlign w:val="bottom"/>
            <w:tcBorders>
              <w:top w:val="single" w:sz="8" w:color="auto"/>
              <w:right w:val="single" w:sz="8" w:color="auto"/>
            </w:tcBorders>
            <w:shd w:val="clear" w:color="auto" w:fill="F2F2F2"/>
          </w:tcPr>
          <w:p>
            <w:pPr>
              <w:spacing w:after="0"/>
              <w:rPr>
                <w:sz w:val="10"/>
                <w:szCs w:val="10"/>
                <w:color w:val="auto"/>
              </w:rPr>
            </w:pPr>
          </w:p>
        </w:tc>
        <w:tc>
          <w:tcPr>
            <w:tcW w:w="100" w:type="dxa"/>
            <w:vAlign w:val="bottom"/>
            <w:tcBorders>
              <w:top w:val="single" w:sz="8" w:color="auto"/>
            </w:tcBorders>
            <w:shd w:val="clear" w:color="auto" w:fill="F2F2F2"/>
          </w:tcPr>
          <w:p>
            <w:pPr>
              <w:spacing w:after="0"/>
              <w:rPr>
                <w:sz w:val="10"/>
                <w:szCs w:val="10"/>
                <w:color w:val="auto"/>
              </w:rPr>
            </w:pPr>
          </w:p>
        </w:tc>
        <w:tc>
          <w:tcPr>
            <w:tcW w:w="900" w:type="dxa"/>
            <w:vAlign w:val="bottom"/>
            <w:tcBorders>
              <w:top w:val="single" w:sz="8" w:color="auto"/>
              <w:right w:val="single" w:sz="8" w:color="auto"/>
            </w:tcBorders>
            <w:shd w:val="clear" w:color="auto" w:fill="F2F2F2"/>
          </w:tcPr>
          <w:p>
            <w:pPr>
              <w:jc w:val="center"/>
              <w:ind w:right="53"/>
              <w:spacing w:after="0" w:line="124" w:lineRule="exact"/>
              <w:rPr>
                <w:sz w:val="20"/>
                <w:szCs w:val="20"/>
                <w:color w:val="auto"/>
              </w:rPr>
            </w:pPr>
            <w:r>
              <w:rPr>
                <w:rFonts w:ascii="Arial" w:cs="Arial" w:eastAsia="Arial" w:hAnsi="Arial"/>
                <w:sz w:val="13"/>
                <w:szCs w:val="13"/>
                <w:b w:val="1"/>
                <w:bCs w:val="1"/>
                <w:color w:val="333333"/>
              </w:rPr>
              <w:t>Resolution</w:t>
            </w:r>
          </w:p>
        </w:tc>
        <w:tc>
          <w:tcPr>
            <w:tcW w:w="1020" w:type="dxa"/>
            <w:vAlign w:val="bottom"/>
            <w:tcBorders>
              <w:top w:val="single" w:sz="8" w:color="auto"/>
            </w:tcBorders>
            <w:vMerge w:val="restart"/>
            <w:shd w:val="clear" w:color="auto" w:fill="F2F2F2"/>
          </w:tcPr>
          <w:p>
            <w:pPr>
              <w:ind w:left="400"/>
              <w:spacing w:after="0"/>
              <w:rPr>
                <w:sz w:val="20"/>
                <w:szCs w:val="20"/>
                <w:color w:val="auto"/>
              </w:rPr>
            </w:pPr>
            <w:r>
              <w:rPr>
                <w:rFonts w:ascii="Arial" w:cs="Arial" w:eastAsia="Arial" w:hAnsi="Arial"/>
                <w:sz w:val="13"/>
                <w:szCs w:val="13"/>
                <w:b w:val="1"/>
                <w:bCs w:val="1"/>
                <w:color w:val="333333"/>
              </w:rPr>
              <w:t>For</w:t>
            </w:r>
          </w:p>
        </w:tc>
        <w:tc>
          <w:tcPr>
            <w:tcW w:w="20" w:type="dxa"/>
            <w:vAlign w:val="bottom"/>
            <w:tcBorders>
              <w:top w:val="single" w:sz="8" w:color="auto"/>
            </w:tcBorders>
            <w:shd w:val="clear" w:color="auto" w:fill="000000"/>
          </w:tcPr>
          <w:p>
            <w:pPr>
              <w:spacing w:after="0"/>
              <w:rPr>
                <w:sz w:val="10"/>
                <w:szCs w:val="10"/>
                <w:color w:val="auto"/>
              </w:rPr>
            </w:pPr>
          </w:p>
        </w:tc>
        <w:tc>
          <w:tcPr>
            <w:tcW w:w="1000" w:type="dxa"/>
            <w:vAlign w:val="bottom"/>
            <w:tcBorders>
              <w:top w:val="single" w:sz="8" w:color="auto"/>
              <w:right w:val="single" w:sz="8" w:color="auto"/>
            </w:tcBorders>
            <w:vMerge w:val="restart"/>
            <w:shd w:val="clear" w:color="auto" w:fill="F2F2F2"/>
          </w:tcPr>
          <w:p>
            <w:pPr>
              <w:ind w:left="240"/>
              <w:spacing w:after="0"/>
              <w:rPr>
                <w:sz w:val="20"/>
                <w:szCs w:val="20"/>
                <w:color w:val="auto"/>
              </w:rPr>
            </w:pPr>
            <w:r>
              <w:rPr>
                <w:rFonts w:ascii="Arial" w:cs="Arial" w:eastAsia="Arial" w:hAnsi="Arial"/>
                <w:sz w:val="13"/>
                <w:szCs w:val="13"/>
                <w:b w:val="1"/>
                <w:bCs w:val="1"/>
                <w:color w:val="333333"/>
              </w:rPr>
              <w:t>Against</w:t>
            </w:r>
          </w:p>
        </w:tc>
        <w:tc>
          <w:tcPr>
            <w:tcW w:w="1100" w:type="dxa"/>
            <w:vAlign w:val="bottom"/>
            <w:tcBorders>
              <w:top w:val="single" w:sz="8" w:color="auto"/>
              <w:right w:val="single" w:sz="8" w:color="auto"/>
            </w:tcBorders>
            <w:shd w:val="clear" w:color="auto" w:fill="F2F2F2"/>
          </w:tcPr>
          <w:p>
            <w:pPr>
              <w:jc w:val="center"/>
              <w:spacing w:after="0" w:line="124" w:lineRule="exact"/>
              <w:rPr>
                <w:sz w:val="20"/>
                <w:szCs w:val="20"/>
                <w:color w:val="auto"/>
              </w:rPr>
            </w:pPr>
            <w:r>
              <w:rPr>
                <w:rFonts w:ascii="Arial" w:cs="Arial" w:eastAsia="Arial" w:hAnsi="Arial"/>
                <w:sz w:val="13"/>
                <w:szCs w:val="13"/>
                <w:b w:val="1"/>
                <w:bCs w:val="1"/>
                <w:color w:val="333333"/>
              </w:rPr>
              <w:t>Proxy's</w:t>
            </w:r>
          </w:p>
        </w:tc>
        <w:tc>
          <w:tcPr>
            <w:tcW w:w="880" w:type="dxa"/>
            <w:vAlign w:val="bottom"/>
            <w:tcBorders>
              <w:top w:val="single" w:sz="8" w:color="auto"/>
              <w:right w:val="single" w:sz="8" w:color="auto"/>
            </w:tcBorders>
            <w:vMerge w:val="restart"/>
            <w:shd w:val="clear" w:color="auto" w:fill="F2F2F2"/>
          </w:tcPr>
          <w:p>
            <w:pPr>
              <w:ind w:left="180"/>
              <w:spacing w:after="0"/>
              <w:rPr>
                <w:sz w:val="20"/>
                <w:szCs w:val="20"/>
                <w:color w:val="auto"/>
              </w:rPr>
            </w:pPr>
            <w:r>
              <w:rPr>
                <w:rFonts w:ascii="Arial" w:cs="Arial" w:eastAsia="Arial" w:hAnsi="Arial"/>
                <w:sz w:val="13"/>
                <w:szCs w:val="13"/>
                <w:b w:val="1"/>
                <w:bCs w:val="1"/>
                <w:color w:val="333333"/>
              </w:rPr>
              <w:t>Abstain</w:t>
            </w:r>
          </w:p>
        </w:tc>
        <w:tc>
          <w:tcPr>
            <w:tcW w:w="860" w:type="dxa"/>
            <w:vAlign w:val="bottom"/>
            <w:tcBorders>
              <w:top w:val="single" w:sz="8" w:color="auto"/>
            </w:tcBorders>
            <w:vMerge w:val="restart"/>
            <w:shd w:val="clear" w:color="auto" w:fill="F2F2F2"/>
          </w:tcPr>
          <w:p>
            <w:pPr>
              <w:ind w:left="380"/>
              <w:spacing w:after="0"/>
              <w:rPr>
                <w:sz w:val="20"/>
                <w:szCs w:val="20"/>
                <w:color w:val="auto"/>
              </w:rPr>
            </w:pPr>
            <w:r>
              <w:rPr>
                <w:rFonts w:ascii="Arial" w:cs="Arial" w:eastAsia="Arial" w:hAnsi="Arial"/>
                <w:sz w:val="13"/>
                <w:szCs w:val="13"/>
                <w:b w:val="1"/>
                <w:bCs w:val="1"/>
                <w:color w:val="333333"/>
              </w:rPr>
              <w:t>For</w:t>
            </w:r>
          </w:p>
        </w:tc>
        <w:tc>
          <w:tcPr>
            <w:tcW w:w="140" w:type="dxa"/>
            <w:vAlign w:val="bottom"/>
            <w:tcBorders>
              <w:top w:val="single" w:sz="8" w:color="auto"/>
              <w:right w:val="single" w:sz="8" w:color="auto"/>
            </w:tcBorders>
            <w:shd w:val="clear" w:color="auto" w:fill="F2F2F2"/>
          </w:tcPr>
          <w:p>
            <w:pPr>
              <w:spacing w:after="0"/>
              <w:rPr>
                <w:sz w:val="10"/>
                <w:szCs w:val="10"/>
                <w:color w:val="auto"/>
              </w:rPr>
            </w:pPr>
          </w:p>
        </w:tc>
        <w:tc>
          <w:tcPr>
            <w:tcW w:w="1200" w:type="dxa"/>
            <w:vAlign w:val="bottom"/>
            <w:tcBorders>
              <w:top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3"/>
                <w:szCs w:val="13"/>
                <w:b w:val="1"/>
                <w:bCs w:val="1"/>
                <w:color w:val="333333"/>
              </w:rPr>
              <w:t>Against</w:t>
            </w:r>
          </w:p>
        </w:tc>
        <w:tc>
          <w:tcPr>
            <w:tcW w:w="760" w:type="dxa"/>
            <w:vAlign w:val="bottom"/>
            <w:tcBorders>
              <w:top w:val="single" w:sz="8" w:color="auto"/>
              <w:right w:val="single" w:sz="8" w:color="auto"/>
            </w:tcBorders>
            <w:vMerge w:val="restart"/>
            <w:shd w:val="clear" w:color="auto" w:fill="F2F2F2"/>
          </w:tcPr>
          <w:p>
            <w:pPr>
              <w:ind w:left="100"/>
              <w:spacing w:after="0"/>
              <w:rPr>
                <w:sz w:val="20"/>
                <w:szCs w:val="20"/>
                <w:color w:val="auto"/>
              </w:rPr>
            </w:pPr>
            <w:r>
              <w:rPr>
                <w:rFonts w:ascii="Arial" w:cs="Arial" w:eastAsia="Arial" w:hAnsi="Arial"/>
                <w:sz w:val="13"/>
                <w:szCs w:val="13"/>
                <w:b w:val="1"/>
                <w:bCs w:val="1"/>
                <w:color w:val="333333"/>
              </w:rPr>
              <w:t>Abstain*</w:t>
            </w:r>
          </w:p>
        </w:tc>
        <w:tc>
          <w:tcPr>
            <w:tcW w:w="1040" w:type="dxa"/>
            <w:vAlign w:val="bottom"/>
            <w:tcBorders>
              <w:top w:val="single" w:sz="8" w:color="auto"/>
              <w:right w:val="single" w:sz="8" w:color="auto"/>
            </w:tcBorders>
            <w:shd w:val="clear" w:color="auto" w:fill="F2F2F2"/>
          </w:tcPr>
          <w:p>
            <w:pPr>
              <w:jc w:val="center"/>
              <w:spacing w:after="0" w:line="124" w:lineRule="exact"/>
              <w:rPr>
                <w:sz w:val="20"/>
                <w:szCs w:val="20"/>
                <w:color w:val="auto"/>
              </w:rPr>
            </w:pPr>
            <w:r>
              <w:rPr>
                <w:rFonts w:ascii="Arial" w:cs="Arial" w:eastAsia="Arial" w:hAnsi="Arial"/>
                <w:sz w:val="13"/>
                <w:szCs w:val="13"/>
                <w:b w:val="1"/>
                <w:bCs w:val="1"/>
                <w:color w:val="333333"/>
              </w:rPr>
              <w:t>Carried/</w:t>
            </w:r>
          </w:p>
        </w:tc>
        <w:tc>
          <w:tcPr>
            <w:tcW w:w="0" w:type="dxa"/>
            <w:vAlign w:val="bottom"/>
          </w:tcPr>
          <w:p>
            <w:pPr>
              <w:spacing w:after="0"/>
              <w:rPr>
                <w:sz w:val="1"/>
                <w:szCs w:val="1"/>
                <w:color w:val="auto"/>
              </w:rPr>
            </w:pPr>
          </w:p>
        </w:tc>
      </w:tr>
      <w:tr>
        <w:trPr>
          <w:trHeight w:val="231"/>
        </w:trPr>
        <w:tc>
          <w:tcPr>
            <w:tcW w:w="140" w:type="dxa"/>
            <w:vAlign w:val="bottom"/>
            <w:tcBorders>
              <w:left w:val="single" w:sz="8" w:color="F2F2F2"/>
              <w:bottom w:val="single" w:sz="8" w:color="F2F2F2"/>
            </w:tcBorders>
            <w:shd w:val="clear" w:color="auto" w:fill="F2F2F2"/>
          </w:tcPr>
          <w:p>
            <w:pPr>
              <w:spacing w:after="0"/>
              <w:rPr>
                <w:sz w:val="20"/>
                <w:szCs w:val="20"/>
                <w:color w:val="auto"/>
              </w:rPr>
            </w:pPr>
          </w:p>
        </w:tc>
        <w:tc>
          <w:tcPr>
            <w:tcW w:w="1560" w:type="dxa"/>
            <w:vAlign w:val="bottom"/>
            <w:tcBorders>
              <w:bottom w:val="single" w:sz="8" w:color="F2F2F2"/>
            </w:tcBorders>
            <w:vMerge w:val="continue"/>
            <w:shd w:val="clear" w:color="auto" w:fill="F2F2F2"/>
          </w:tcPr>
          <w:p>
            <w:pPr>
              <w:spacing w:after="0"/>
              <w:rPr>
                <w:sz w:val="20"/>
                <w:szCs w:val="20"/>
                <w:color w:val="auto"/>
              </w:rPr>
            </w:pPr>
          </w:p>
        </w:tc>
        <w:tc>
          <w:tcPr>
            <w:tcW w:w="300" w:type="dxa"/>
            <w:vAlign w:val="bottom"/>
            <w:tcBorders>
              <w:bottom w:val="single" w:sz="8" w:color="F2F2F2"/>
              <w:right w:val="single" w:sz="8" w:color="auto"/>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900" w:type="dxa"/>
            <w:vAlign w:val="bottom"/>
            <w:tcBorders>
              <w:bottom w:val="single" w:sz="8" w:color="F2F2F2"/>
              <w:right w:val="single" w:sz="8" w:color="auto"/>
            </w:tcBorders>
            <w:shd w:val="clear" w:color="auto" w:fill="F2F2F2"/>
          </w:tcPr>
          <w:p>
            <w:pPr>
              <w:jc w:val="center"/>
              <w:ind w:right="73"/>
              <w:spacing w:after="0"/>
              <w:rPr>
                <w:sz w:val="20"/>
                <w:szCs w:val="20"/>
                <w:color w:val="auto"/>
              </w:rPr>
            </w:pPr>
            <w:r>
              <w:rPr>
                <w:rFonts w:ascii="Arial" w:cs="Arial" w:eastAsia="Arial" w:hAnsi="Arial"/>
                <w:sz w:val="13"/>
                <w:szCs w:val="13"/>
                <w:b w:val="1"/>
                <w:bCs w:val="1"/>
                <w:color w:val="333333"/>
              </w:rPr>
              <w:t>Type</w:t>
            </w:r>
          </w:p>
        </w:tc>
        <w:tc>
          <w:tcPr>
            <w:tcW w:w="1020" w:type="dxa"/>
            <w:vAlign w:val="bottom"/>
            <w:tcBorders>
              <w:bottom w:val="single" w:sz="8" w:color="F2F2F2"/>
            </w:tcBorders>
            <w:vMerge w:val="continue"/>
            <w:shd w:val="clear" w:color="auto" w:fill="F2F2F2"/>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0" w:type="dxa"/>
            <w:vAlign w:val="bottom"/>
            <w:tcBorders>
              <w:bottom w:val="single" w:sz="8" w:color="F2F2F2"/>
              <w:right w:val="single" w:sz="8" w:color="auto"/>
            </w:tcBorders>
            <w:vMerge w:val="continue"/>
            <w:shd w:val="clear" w:color="auto" w:fill="F2F2F2"/>
          </w:tcPr>
          <w:p>
            <w:pPr>
              <w:spacing w:after="0"/>
              <w:rPr>
                <w:sz w:val="20"/>
                <w:szCs w:val="20"/>
                <w:color w:val="auto"/>
              </w:rPr>
            </w:pPr>
          </w:p>
        </w:tc>
        <w:tc>
          <w:tcPr>
            <w:tcW w:w="110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333333"/>
              </w:rPr>
              <w:t>Discretion</w:t>
            </w:r>
          </w:p>
        </w:tc>
        <w:tc>
          <w:tcPr>
            <w:tcW w:w="880" w:type="dxa"/>
            <w:vAlign w:val="bottom"/>
            <w:tcBorders>
              <w:bottom w:val="single" w:sz="8" w:color="F2F2F2"/>
              <w:right w:val="single" w:sz="8" w:color="auto"/>
            </w:tcBorders>
            <w:vMerge w:val="continue"/>
            <w:shd w:val="clear" w:color="auto" w:fill="F2F2F2"/>
          </w:tcPr>
          <w:p>
            <w:pPr>
              <w:spacing w:after="0"/>
              <w:rPr>
                <w:sz w:val="20"/>
                <w:szCs w:val="20"/>
                <w:color w:val="auto"/>
              </w:rPr>
            </w:pPr>
          </w:p>
        </w:tc>
        <w:tc>
          <w:tcPr>
            <w:tcW w:w="860" w:type="dxa"/>
            <w:vAlign w:val="bottom"/>
            <w:tcBorders>
              <w:bottom w:val="single" w:sz="8" w:color="F2F2F2"/>
            </w:tcBorders>
            <w:vMerge w:val="continue"/>
            <w:shd w:val="clear" w:color="auto" w:fill="F2F2F2"/>
          </w:tcPr>
          <w:p>
            <w:pPr>
              <w:spacing w:after="0"/>
              <w:rPr>
                <w:sz w:val="20"/>
                <w:szCs w:val="20"/>
                <w:color w:val="auto"/>
              </w:rPr>
            </w:pPr>
          </w:p>
        </w:tc>
        <w:tc>
          <w:tcPr>
            <w:tcW w:w="140" w:type="dxa"/>
            <w:vAlign w:val="bottom"/>
            <w:tcBorders>
              <w:bottom w:val="single" w:sz="8" w:color="F2F2F2"/>
              <w:right w:val="single" w:sz="8" w:color="auto"/>
            </w:tcBorders>
            <w:shd w:val="clear" w:color="auto" w:fill="F2F2F2"/>
          </w:tcPr>
          <w:p>
            <w:pPr>
              <w:spacing w:after="0"/>
              <w:rPr>
                <w:sz w:val="20"/>
                <w:szCs w:val="20"/>
                <w:color w:val="auto"/>
              </w:rPr>
            </w:pPr>
          </w:p>
        </w:tc>
        <w:tc>
          <w:tcPr>
            <w:tcW w:w="1200" w:type="dxa"/>
            <w:vAlign w:val="bottom"/>
            <w:tcBorders>
              <w:bottom w:val="single" w:sz="8" w:color="F2F2F2"/>
              <w:right w:val="single" w:sz="8" w:color="auto"/>
            </w:tcBorders>
            <w:vMerge w:val="continue"/>
            <w:shd w:val="clear" w:color="auto" w:fill="F2F2F2"/>
          </w:tcPr>
          <w:p>
            <w:pPr>
              <w:spacing w:after="0"/>
              <w:rPr>
                <w:sz w:val="20"/>
                <w:szCs w:val="20"/>
                <w:color w:val="auto"/>
              </w:rPr>
            </w:pPr>
          </w:p>
        </w:tc>
        <w:tc>
          <w:tcPr>
            <w:tcW w:w="760" w:type="dxa"/>
            <w:vAlign w:val="bottom"/>
            <w:tcBorders>
              <w:bottom w:val="single" w:sz="8" w:color="F2F2F2"/>
              <w:right w:val="single" w:sz="8" w:color="auto"/>
            </w:tcBorders>
            <w:vMerge w:val="continue"/>
            <w:shd w:val="clear" w:color="auto" w:fill="F2F2F2"/>
          </w:tcPr>
          <w:p>
            <w:pPr>
              <w:spacing w:after="0"/>
              <w:rPr>
                <w:sz w:val="20"/>
                <w:szCs w:val="20"/>
                <w:color w:val="auto"/>
              </w:rPr>
            </w:pPr>
          </w:p>
        </w:tc>
        <w:tc>
          <w:tcPr>
            <w:tcW w:w="1040" w:type="dxa"/>
            <w:vAlign w:val="bottom"/>
            <w:tcBorders>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3"/>
                <w:szCs w:val="13"/>
                <w:b w:val="1"/>
                <w:bCs w:val="1"/>
                <w:color w:val="333333"/>
              </w:rPr>
              <w:t>Not Carried</w:t>
            </w:r>
          </w:p>
        </w:tc>
        <w:tc>
          <w:tcPr>
            <w:tcW w:w="0" w:type="dxa"/>
            <w:vAlign w:val="bottom"/>
          </w:tcPr>
          <w:p>
            <w:pPr>
              <w:spacing w:after="0"/>
              <w:rPr>
                <w:sz w:val="1"/>
                <w:szCs w:val="1"/>
                <w:color w:val="auto"/>
              </w:rPr>
            </w:pPr>
          </w:p>
        </w:tc>
      </w:tr>
      <w:tr>
        <w:trPr>
          <w:trHeight w:val="170"/>
        </w:trPr>
        <w:tc>
          <w:tcPr>
            <w:tcW w:w="14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333333"/>
              </w:rPr>
              <w:t>1</w:t>
            </w:r>
          </w:p>
        </w:tc>
        <w:tc>
          <w:tcPr>
            <w:tcW w:w="18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3"/>
                <w:szCs w:val="13"/>
                <w:color w:val="333333"/>
              </w:rPr>
              <w:t>Re-Election of Director - Mr.</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333333"/>
              </w:rPr>
              <w:t>487,490,317</w:t>
            </w:r>
          </w:p>
        </w:tc>
        <w:tc>
          <w:tcPr>
            <w:tcW w:w="20" w:type="dxa"/>
            <w:vAlign w:val="bottom"/>
            <w:tcBorders>
              <w:top w:val="single" w:sz="8" w:color="auto"/>
            </w:tcBorders>
            <w:shd w:val="clear" w:color="auto" w:fill="000000"/>
          </w:tcPr>
          <w:p>
            <w:pPr>
              <w:spacing w:after="0"/>
              <w:rPr>
                <w:sz w:val="14"/>
                <w:szCs w:val="14"/>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129,072,173</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616,9170.10%</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334,800</w:t>
            </w:r>
          </w:p>
        </w:tc>
        <w:tc>
          <w:tcPr>
            <w:tcW w:w="860" w:type="dxa"/>
            <w:vAlign w:val="bottom"/>
            <w:tcBorders>
              <w:top w:val="single" w:sz="8" w:color="auto"/>
            </w:tcBorders>
          </w:tcPr>
          <w:p>
            <w:pPr>
              <w:jc w:val="center"/>
              <w:ind w:left="33"/>
              <w:spacing w:after="0"/>
              <w:rPr>
                <w:sz w:val="20"/>
                <w:szCs w:val="20"/>
                <w:color w:val="auto"/>
              </w:rPr>
            </w:pPr>
            <w:r>
              <w:rPr>
                <w:rFonts w:ascii="Arial" w:cs="Arial" w:eastAsia="Arial" w:hAnsi="Arial"/>
                <w:sz w:val="13"/>
                <w:szCs w:val="13"/>
                <w:color w:val="333333"/>
              </w:rPr>
              <w:t>488,298,744</w:t>
            </w:r>
          </w:p>
        </w:tc>
        <w:tc>
          <w:tcPr>
            <w:tcW w:w="14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129,088,628</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334,800</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Lawrence Gozlan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78.99%</w:t>
            </w: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20.91%</w:t>
            </w: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jc w:val="center"/>
              <w:ind w:left="33"/>
              <w:spacing w:after="0"/>
              <w:rPr>
                <w:sz w:val="20"/>
                <w:szCs w:val="20"/>
                <w:color w:val="auto"/>
              </w:rPr>
            </w:pPr>
            <w:r>
              <w:rPr>
                <w:rFonts w:ascii="Arial" w:cs="Arial" w:eastAsia="Arial" w:hAnsi="Arial"/>
                <w:sz w:val="13"/>
                <w:szCs w:val="13"/>
                <w:color w:val="333333"/>
                <w:w w:val="99"/>
              </w:rPr>
              <w:t>79.09%</w:t>
            </w: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20.91%</w:t>
            </w: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0" w:type="dxa"/>
            <w:vAlign w:val="bottom"/>
            <w:tcBorders>
              <w:bottom w:val="single" w:sz="8" w:color="auto"/>
            </w:tcBorders>
          </w:tcPr>
          <w:p>
            <w:pPr>
              <w:spacing w:after="0"/>
              <w:rPr>
                <w:sz w:val="8"/>
                <w:szCs w:val="8"/>
                <w:color w:val="auto"/>
              </w:rPr>
            </w:pPr>
          </w:p>
        </w:tc>
        <w:tc>
          <w:tcPr>
            <w:tcW w:w="1860" w:type="dxa"/>
            <w:vAlign w:val="bottom"/>
            <w:tcBorders>
              <w:bottom w:val="single" w:sz="8" w:color="auto"/>
              <w:right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2</w:t>
            </w:r>
          </w:p>
        </w:tc>
        <w:tc>
          <w:tcPr>
            <w:tcW w:w="18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333333"/>
              </w:rPr>
              <w:t>Re-Election of Director - Mr.</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615,034,434</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1,025,137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616,669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837,967</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615,842,613</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1,041,592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837,967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Sujal Shah</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99.73%</w:t>
            </w: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0.17%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0.10%</w:t>
            </w:r>
          </w:p>
        </w:tc>
        <w:tc>
          <w:tcPr>
            <w:tcW w:w="880" w:type="dxa"/>
            <w:vAlign w:val="bottom"/>
            <w:tcBorders>
              <w:right w:val="single" w:sz="8" w:color="auto"/>
            </w:tcBorders>
          </w:tcPr>
          <w:p>
            <w:pPr>
              <w:spacing w:after="0"/>
              <w:rPr>
                <w:sz w:val="15"/>
                <w:szCs w:val="15"/>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99.83%</w:t>
            </w: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0.17%</w:t>
            </w: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3</w:t>
            </w:r>
          </w:p>
        </w:tc>
        <w:tc>
          <w:tcPr>
            <w:tcW w:w="1560" w:type="dxa"/>
            <w:vAlign w:val="bottom"/>
          </w:tcPr>
          <w:p>
            <w:pPr>
              <w:ind w:left="20"/>
              <w:spacing w:after="0"/>
              <w:rPr>
                <w:sz w:val="20"/>
                <w:szCs w:val="20"/>
                <w:color w:val="auto"/>
              </w:rPr>
            </w:pPr>
            <w:r>
              <w:rPr>
                <w:rFonts w:ascii="Arial" w:cs="Arial" w:eastAsia="Arial" w:hAnsi="Arial"/>
                <w:sz w:val="13"/>
                <w:szCs w:val="13"/>
                <w:color w:val="333333"/>
              </w:rPr>
              <w:t>Adoption of remuneration</w:t>
            </w: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478,370,820</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color w:val="333333"/>
              </w:rPr>
              <w:t>136,422,892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711,552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131,586</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479,237,372</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136,439,347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163,586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53"/>
        </w:trPr>
        <w:tc>
          <w:tcPr>
            <w:tcW w:w="1700" w:type="dxa"/>
            <w:vAlign w:val="bottom"/>
            <w:gridSpan w:val="2"/>
            <w:vMerge w:val="restart"/>
          </w:tcPr>
          <w:p>
            <w:pPr>
              <w:ind w:left="40"/>
              <w:spacing w:after="0"/>
              <w:rPr>
                <w:sz w:val="20"/>
                <w:szCs w:val="20"/>
                <w:color w:val="auto"/>
              </w:rPr>
            </w:pPr>
            <w:r>
              <w:rPr>
                <w:rFonts w:ascii="Arial" w:cs="Arial" w:eastAsia="Arial" w:hAnsi="Arial"/>
                <w:sz w:val="13"/>
                <w:szCs w:val="13"/>
                <w:color w:val="333333"/>
              </w:rPr>
              <w:t>report</w:t>
            </w:r>
          </w:p>
        </w:tc>
        <w:tc>
          <w:tcPr>
            <w:tcW w:w="3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333333"/>
              </w:rPr>
              <w:t>77.72%</w:t>
            </w:r>
          </w:p>
        </w:tc>
        <w:tc>
          <w:tcPr>
            <w:tcW w:w="20" w:type="dxa"/>
            <w:vAlign w:val="bottom"/>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rPr>
              <w:t>22.16%</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rPr>
              <w:t>0.12%</w:t>
            </w:r>
          </w:p>
        </w:tc>
        <w:tc>
          <w:tcPr>
            <w:tcW w:w="880" w:type="dxa"/>
            <w:vAlign w:val="bottom"/>
            <w:tcBorders>
              <w:right w:val="single" w:sz="8" w:color="auto"/>
            </w:tcBorders>
          </w:tcPr>
          <w:p>
            <w:pPr>
              <w:spacing w:after="0"/>
              <w:rPr>
                <w:sz w:val="4"/>
                <w:szCs w:val="4"/>
                <w:color w:val="auto"/>
              </w:rPr>
            </w:pPr>
          </w:p>
        </w:tc>
        <w:tc>
          <w:tcPr>
            <w:tcW w:w="860" w:type="dxa"/>
            <w:vAlign w:val="bottom"/>
            <w:vMerge w:val="restart"/>
          </w:tcPr>
          <w:p>
            <w:pPr>
              <w:jc w:val="center"/>
              <w:ind w:left="53"/>
              <w:spacing w:after="0"/>
              <w:rPr>
                <w:sz w:val="20"/>
                <w:szCs w:val="20"/>
                <w:color w:val="auto"/>
              </w:rPr>
            </w:pPr>
            <w:r>
              <w:rPr>
                <w:rFonts w:ascii="Arial" w:cs="Arial" w:eastAsia="Arial" w:hAnsi="Arial"/>
                <w:sz w:val="13"/>
                <w:szCs w:val="13"/>
                <w:color w:val="333333"/>
              </w:rPr>
              <w:t>77.84%</w:t>
            </w:r>
          </w:p>
        </w:tc>
        <w:tc>
          <w:tcPr>
            <w:tcW w:w="1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w w:val="99"/>
              </w:rPr>
              <w:t>22.16%</w:t>
            </w:r>
          </w:p>
        </w:tc>
        <w:tc>
          <w:tcPr>
            <w:tcW w:w="76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70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40" w:type="dxa"/>
            <w:vAlign w:val="bottom"/>
          </w:tcPr>
          <w:p>
            <w:pPr>
              <w:ind w:left="40"/>
              <w:spacing w:after="0"/>
              <w:rPr>
                <w:sz w:val="20"/>
                <w:szCs w:val="20"/>
                <w:color w:val="auto"/>
              </w:rPr>
            </w:pPr>
            <w:r>
              <w:rPr>
                <w:rFonts w:ascii="Arial" w:cs="Arial" w:eastAsia="Arial" w:hAnsi="Arial"/>
                <w:sz w:val="13"/>
                <w:szCs w:val="13"/>
                <w:color w:val="333333"/>
              </w:rPr>
              <w:t>4</w:t>
            </w:r>
          </w:p>
        </w:tc>
        <w:tc>
          <w:tcPr>
            <w:tcW w:w="18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333333"/>
              </w:rPr>
              <w:t>Issue of options to Dr. Jeremy</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488,046,315</w:t>
            </w: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128,688,968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671,087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107,837</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488,904,402</w:t>
            </w: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128,705,423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107,837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Levin under the NED share and</w:t>
            </w: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79.05%</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79.16%</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20.84%</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5</w:t>
            </w:r>
          </w:p>
        </w:tc>
        <w:tc>
          <w:tcPr>
            <w:tcW w:w="1560" w:type="dxa"/>
            <w:vAlign w:val="bottom"/>
          </w:tcPr>
          <w:p>
            <w:pPr>
              <w:ind w:left="20"/>
              <w:spacing w:after="0"/>
              <w:rPr>
                <w:sz w:val="20"/>
                <w:szCs w:val="20"/>
                <w:color w:val="auto"/>
              </w:rPr>
            </w:pPr>
            <w:r>
              <w:rPr>
                <w:rFonts w:ascii="Arial" w:cs="Arial" w:eastAsia="Arial" w:hAnsi="Arial"/>
                <w:sz w:val="13"/>
                <w:szCs w:val="13"/>
                <w:color w:val="333333"/>
              </w:rPr>
              <w:t>Issue of options to Mr.</w:t>
            </w: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486,057,661</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128,795,698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666,087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117,404</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486,910,748</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128,812,153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117,404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Lawrence Gozlan under the</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78.97%</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20.92%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79.08%</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20.92%</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NED share and 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right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6</w:t>
            </w:r>
          </w:p>
        </w:tc>
        <w:tc>
          <w:tcPr>
            <w:tcW w:w="18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333333"/>
              </w:rPr>
              <w:t>Issue of options to Dr. Julia</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488,035,913</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128,697,578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669,712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111,004</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488,892,625</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128,714,033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111,004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Haller under the NED share</w:t>
            </w:r>
          </w:p>
        </w:tc>
        <w:tc>
          <w:tcPr>
            <w:tcW w:w="3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79.05%</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79.16%</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20.84%</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and 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4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7</w:t>
            </w:r>
          </w:p>
        </w:tc>
        <w:tc>
          <w:tcPr>
            <w:tcW w:w="18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333333"/>
              </w:rPr>
              <w:t>Issue of options to Dr. Susan</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488,029,769</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128,711,722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661,712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111,004</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488,878,481</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128,728,177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111,004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Orr under the NED share and</w:t>
            </w: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79.04%</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79.16%</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20.84%</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333333"/>
              </w:rPr>
              <w:t>option plan</w:t>
            </w:r>
          </w:p>
        </w:tc>
        <w:tc>
          <w:tcPr>
            <w:tcW w:w="3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ind w:left="40"/>
              <w:spacing w:after="0"/>
              <w:rPr>
                <w:sz w:val="20"/>
                <w:szCs w:val="20"/>
                <w:color w:val="auto"/>
              </w:rPr>
            </w:pPr>
            <w:r>
              <w:rPr>
                <w:rFonts w:ascii="Arial" w:cs="Arial" w:eastAsia="Arial" w:hAnsi="Arial"/>
                <w:sz w:val="13"/>
                <w:szCs w:val="13"/>
                <w:color w:val="333333"/>
              </w:rPr>
              <w:t>8</w:t>
            </w:r>
          </w:p>
        </w:tc>
        <w:tc>
          <w:tcPr>
            <w:tcW w:w="1560" w:type="dxa"/>
            <w:vAlign w:val="bottom"/>
          </w:tcPr>
          <w:p>
            <w:pPr>
              <w:ind w:left="100"/>
              <w:spacing w:after="0"/>
              <w:rPr>
                <w:sz w:val="20"/>
                <w:szCs w:val="20"/>
                <w:color w:val="auto"/>
              </w:rPr>
            </w:pPr>
            <w:r>
              <w:rPr>
                <w:rFonts w:ascii="Arial" w:cs="Arial" w:eastAsia="Arial" w:hAnsi="Arial"/>
                <w:sz w:val="13"/>
                <w:szCs w:val="13"/>
                <w:color w:val="333333"/>
              </w:rPr>
              <w:t>Issue  of  options  to</w:t>
            </w:r>
          </w:p>
        </w:tc>
        <w:tc>
          <w:tcPr>
            <w:tcW w:w="300" w:type="dxa"/>
            <w:vAlign w:val="bottom"/>
            <w:tcBorders>
              <w:right w:val="single" w:sz="8" w:color="auto"/>
            </w:tcBorders>
          </w:tcPr>
          <w:p>
            <w:pPr>
              <w:spacing w:after="0"/>
              <w:rPr>
                <w:sz w:val="20"/>
                <w:szCs w:val="20"/>
                <w:color w:val="auto"/>
              </w:rPr>
            </w:pPr>
            <w:r>
              <w:rPr>
                <w:rFonts w:ascii="Arial" w:cs="Arial" w:eastAsia="Arial" w:hAnsi="Arial"/>
                <w:sz w:val="13"/>
                <w:szCs w:val="13"/>
                <w:color w:val="333333"/>
              </w:rPr>
              <w:t>Mr.</w:t>
            </w:r>
          </w:p>
        </w:tc>
        <w:tc>
          <w:tcPr>
            <w:tcW w:w="100" w:type="dxa"/>
            <w:vAlign w:val="bottom"/>
          </w:tcPr>
          <w:p>
            <w:pPr>
              <w:spacing w:after="0"/>
              <w:rPr>
                <w:sz w:val="15"/>
                <w:szCs w:val="15"/>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487,983,310</w:t>
            </w: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128,707,322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661,712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161,863</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488,832,022</w:t>
            </w: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128,723,777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161,863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Quinton  Oswald  under</w:t>
            </w:r>
          </w:p>
        </w:tc>
        <w:tc>
          <w:tcPr>
            <w:tcW w:w="300" w:type="dxa"/>
            <w:vAlign w:val="bottom"/>
            <w:tcBorders>
              <w:right w:val="single" w:sz="8" w:color="auto"/>
            </w:tcBorders>
          </w:tcPr>
          <w:p>
            <w:pPr>
              <w:spacing w:after="0"/>
              <w:rPr>
                <w:sz w:val="20"/>
                <w:szCs w:val="20"/>
                <w:color w:val="auto"/>
              </w:rPr>
            </w:pPr>
            <w:r>
              <w:rPr>
                <w:rFonts w:ascii="Arial" w:cs="Arial" w:eastAsia="Arial" w:hAnsi="Arial"/>
                <w:sz w:val="13"/>
                <w:szCs w:val="13"/>
                <w:color w:val="333333"/>
              </w:rPr>
              <w:t>the</w:t>
            </w: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79.04%</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79.16%</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20.84%</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NED share and 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40" w:type="dxa"/>
            <w:vAlign w:val="bottom"/>
            <w:tcBorders>
              <w:bottom w:val="single" w:sz="8" w:color="auto"/>
            </w:tcBorders>
          </w:tcPr>
          <w:p>
            <w:pPr>
              <w:spacing w:after="0"/>
              <w:rPr>
                <w:sz w:val="6"/>
                <w:szCs w:val="6"/>
                <w:color w:val="auto"/>
              </w:rPr>
            </w:pPr>
          </w:p>
        </w:tc>
        <w:tc>
          <w:tcPr>
            <w:tcW w:w="1860" w:type="dxa"/>
            <w:vAlign w:val="bottom"/>
            <w:tcBorders>
              <w:bottom w:val="single" w:sz="8" w:color="auto"/>
              <w:right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88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40" w:type="dxa"/>
            <w:vAlign w:val="bottom"/>
          </w:tcPr>
          <w:p>
            <w:pPr>
              <w:ind w:left="40"/>
              <w:spacing w:after="0"/>
              <w:rPr>
                <w:sz w:val="20"/>
                <w:szCs w:val="20"/>
                <w:color w:val="auto"/>
              </w:rPr>
            </w:pPr>
            <w:r>
              <w:rPr>
                <w:rFonts w:ascii="Arial" w:cs="Arial" w:eastAsia="Arial" w:hAnsi="Arial"/>
                <w:sz w:val="13"/>
                <w:szCs w:val="13"/>
                <w:color w:val="333333"/>
              </w:rPr>
              <w:t>9</w:t>
            </w:r>
          </w:p>
        </w:tc>
        <w:tc>
          <w:tcPr>
            <w:tcW w:w="186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333333"/>
              </w:rPr>
              <w:t>Issue of options to Mr. Anshul</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486,327,104</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128,786,758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2,271,776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128,569</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488,785,880</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128,803,213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128,569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8"/>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Thakral under the NED share</w:t>
            </w: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78.77%</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0.37%</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79.14%</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20.86%</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and 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00" w:type="dxa"/>
            <w:vAlign w:val="bottom"/>
            <w:tcBorders>
              <w:bottom w:val="single" w:sz="8" w:color="auto"/>
              <w:right w:val="single" w:sz="8" w:color="auto"/>
            </w:tcBorders>
            <w:gridSpan w:val="3"/>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10 Issue of options to Mr. Sujal</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487,941,087</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128,785,578</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661,712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125,830</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488,789,799</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128,802,033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125,830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49"/>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Shah under the NED share and</w:t>
            </w: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79.03%</w:t>
            </w:r>
          </w:p>
        </w:tc>
        <w:tc>
          <w:tcPr>
            <w:tcW w:w="20" w:type="dxa"/>
            <w:vAlign w:val="bottom"/>
            <w:shd w:val="clear" w:color="auto" w:fill="000000"/>
          </w:tcPr>
          <w:p>
            <w:pPr>
              <w:spacing w:after="0"/>
              <w:rPr>
                <w:sz w:val="12"/>
                <w:szCs w:val="12"/>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20.86%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2"/>
                <w:szCs w:val="12"/>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79.14%</w:t>
            </w:r>
          </w:p>
        </w:tc>
        <w:tc>
          <w:tcPr>
            <w:tcW w:w="1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9"/>
              </w:rPr>
              <w:t>20.86%</w:t>
            </w:r>
          </w:p>
        </w:tc>
        <w:tc>
          <w:tcPr>
            <w:tcW w:w="7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option plan</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00" w:type="dxa"/>
            <w:vAlign w:val="bottom"/>
            <w:tcBorders>
              <w:bottom w:val="single" w:sz="8" w:color="auto"/>
            </w:tcBorders>
            <w:gridSpan w:val="2"/>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11 Approval of the issue of</w:t>
            </w:r>
          </w:p>
        </w:tc>
        <w:tc>
          <w:tcPr>
            <w:tcW w:w="3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566,940,188</w:t>
            </w:r>
          </w:p>
        </w:tc>
        <w:tc>
          <w:tcPr>
            <w:tcW w:w="20" w:type="dxa"/>
            <w:vAlign w:val="bottom"/>
            <w:shd w:val="clear" w:color="auto" w:fill="000000"/>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49,785,317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661,712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126,990</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567,756,900</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49,801,772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158,990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Arial" w:cs="Arial" w:eastAsia="Arial" w:hAnsi="Arial"/>
                <w:sz w:val="13"/>
                <w:szCs w:val="13"/>
                <w:color w:val="333333"/>
              </w:rPr>
              <w:t>equity securities under LTIP</w:t>
            </w:r>
          </w:p>
        </w:tc>
        <w:tc>
          <w:tcPr>
            <w:tcW w:w="3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color w:val="333333"/>
              </w:rPr>
              <w:t>91.83%</w:t>
            </w:r>
          </w:p>
        </w:tc>
        <w:tc>
          <w:tcPr>
            <w:tcW w:w="20" w:type="dxa"/>
            <w:vAlign w:val="bottom"/>
            <w:shd w:val="clear" w:color="auto" w:fill="000000"/>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8.06%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15"/>
                <w:szCs w:val="15"/>
                <w:color w:val="auto"/>
              </w:rPr>
            </w:pPr>
          </w:p>
        </w:tc>
        <w:tc>
          <w:tcPr>
            <w:tcW w:w="860" w:type="dxa"/>
            <w:vAlign w:val="bottom"/>
          </w:tcPr>
          <w:p>
            <w:pPr>
              <w:jc w:val="center"/>
              <w:ind w:left="53"/>
              <w:spacing w:after="0"/>
              <w:rPr>
                <w:sz w:val="20"/>
                <w:szCs w:val="20"/>
                <w:color w:val="auto"/>
              </w:rPr>
            </w:pPr>
            <w:r>
              <w:rPr>
                <w:rFonts w:ascii="Arial" w:cs="Arial" w:eastAsia="Arial" w:hAnsi="Arial"/>
                <w:sz w:val="13"/>
                <w:szCs w:val="13"/>
                <w:color w:val="333333"/>
              </w:rPr>
              <w:t>91.94%</w:t>
            </w:r>
          </w:p>
        </w:tc>
        <w:tc>
          <w:tcPr>
            <w:tcW w:w="14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8.06%</w:t>
            </w:r>
          </w:p>
        </w:tc>
        <w:tc>
          <w:tcPr>
            <w:tcW w:w="7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00" w:type="dxa"/>
            <w:vAlign w:val="bottom"/>
            <w:tcBorders>
              <w:bottom w:val="single" w:sz="8" w:color="auto"/>
              <w:right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760" w:type="dxa"/>
            <w:vAlign w:val="bottom"/>
            <w:tcBorders>
              <w:bottom w:val="single" w:sz="8" w:color="auto"/>
              <w:right w:val="single" w:sz="8" w:color="auto"/>
            </w:tcBorders>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00" w:type="dxa"/>
            <w:vAlign w:val="bottom"/>
            <w:tcBorders>
              <w:right w:val="single" w:sz="8" w:color="auto"/>
            </w:tcBorders>
            <w:gridSpan w:val="3"/>
          </w:tcPr>
          <w:p>
            <w:pPr>
              <w:ind w:left="40"/>
              <w:spacing w:after="0"/>
              <w:rPr>
                <w:sz w:val="20"/>
                <w:szCs w:val="20"/>
                <w:color w:val="auto"/>
              </w:rPr>
            </w:pPr>
            <w:r>
              <w:rPr>
                <w:rFonts w:ascii="Arial" w:cs="Arial" w:eastAsia="Arial" w:hAnsi="Arial"/>
                <w:sz w:val="13"/>
                <w:szCs w:val="13"/>
                <w:color w:val="333333"/>
              </w:rPr>
              <w:t>12 Ratification of Shares and</w:t>
            </w:r>
          </w:p>
        </w:tc>
        <w:tc>
          <w:tcPr>
            <w:tcW w:w="100" w:type="dxa"/>
            <w:vAlign w:val="bottom"/>
          </w:tcPr>
          <w:p>
            <w:pPr>
              <w:spacing w:after="0"/>
              <w:rPr>
                <w:sz w:val="14"/>
                <w:szCs w:val="14"/>
                <w:color w:val="auto"/>
              </w:rPr>
            </w:pPr>
          </w:p>
        </w:tc>
        <w:tc>
          <w:tcPr>
            <w:tcW w:w="900" w:type="dxa"/>
            <w:vAlign w:val="bottom"/>
            <w:tcBorders>
              <w:right w:val="single" w:sz="8" w:color="auto"/>
            </w:tcBorders>
          </w:tcPr>
          <w:p>
            <w:pPr>
              <w:jc w:val="center"/>
              <w:ind w:right="73"/>
              <w:spacing w:after="0"/>
              <w:rPr>
                <w:sz w:val="20"/>
                <w:szCs w:val="20"/>
                <w:color w:val="auto"/>
              </w:rPr>
            </w:pPr>
            <w:r>
              <w:rPr>
                <w:rFonts w:ascii="Arial" w:cs="Arial" w:eastAsia="Arial" w:hAnsi="Arial"/>
                <w:sz w:val="13"/>
                <w:szCs w:val="13"/>
                <w:color w:val="333333"/>
              </w:rPr>
              <w:t>Ordinary</w:t>
            </w:r>
          </w:p>
        </w:tc>
        <w:tc>
          <w:tcPr>
            <w:tcW w:w="1020" w:type="dxa"/>
            <w:vAlign w:val="bottom"/>
          </w:tcPr>
          <w:p>
            <w:pPr>
              <w:jc w:val="center"/>
              <w:spacing w:after="0"/>
              <w:rPr>
                <w:sz w:val="20"/>
                <w:szCs w:val="20"/>
                <w:color w:val="auto"/>
              </w:rPr>
            </w:pPr>
            <w:r>
              <w:rPr>
                <w:rFonts w:ascii="Arial" w:cs="Arial" w:eastAsia="Arial" w:hAnsi="Arial"/>
                <w:sz w:val="13"/>
                <w:szCs w:val="13"/>
                <w:color w:val="333333"/>
              </w:rPr>
              <w:t>601,895,009</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color w:val="333333"/>
              </w:rPr>
              <w:t>1,520,787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659,102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7,082,388</w:t>
            </w:r>
          </w:p>
        </w:tc>
        <w:tc>
          <w:tcPr>
            <w:tcW w:w="860" w:type="dxa"/>
            <w:vAlign w:val="bottom"/>
          </w:tcPr>
          <w:p>
            <w:pPr>
              <w:jc w:val="center"/>
              <w:ind w:left="33"/>
              <w:spacing w:after="0"/>
              <w:rPr>
                <w:sz w:val="20"/>
                <w:szCs w:val="20"/>
                <w:color w:val="auto"/>
              </w:rPr>
            </w:pPr>
            <w:r>
              <w:rPr>
                <w:rFonts w:ascii="Arial" w:cs="Arial" w:eastAsia="Arial" w:hAnsi="Arial"/>
                <w:sz w:val="13"/>
                <w:szCs w:val="13"/>
                <w:color w:val="333333"/>
              </w:rPr>
              <w:t>602,745,621</w:t>
            </w:r>
          </w:p>
        </w:tc>
        <w:tc>
          <w:tcPr>
            <w:tcW w:w="14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1,537,242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7,082,388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333333"/>
              </w:rPr>
              <w:t>Carried</w:t>
            </w:r>
          </w:p>
        </w:tc>
        <w:tc>
          <w:tcPr>
            <w:tcW w:w="0" w:type="dxa"/>
            <w:vAlign w:val="bottom"/>
          </w:tcPr>
          <w:p>
            <w:pPr>
              <w:spacing w:after="0"/>
              <w:rPr>
                <w:sz w:val="1"/>
                <w:szCs w:val="1"/>
                <w:color w:val="auto"/>
              </w:rPr>
            </w:pPr>
          </w:p>
        </w:tc>
      </w:tr>
      <w:tr>
        <w:trPr>
          <w:trHeight w:val="53"/>
        </w:trPr>
        <w:tc>
          <w:tcPr>
            <w:tcW w:w="1700" w:type="dxa"/>
            <w:vAlign w:val="bottom"/>
            <w:gridSpan w:val="2"/>
            <w:vMerge w:val="restart"/>
          </w:tcPr>
          <w:p>
            <w:pPr>
              <w:ind w:left="40"/>
              <w:spacing w:after="0"/>
              <w:rPr>
                <w:sz w:val="20"/>
                <w:szCs w:val="20"/>
                <w:color w:val="auto"/>
              </w:rPr>
            </w:pPr>
            <w:r>
              <w:rPr>
                <w:rFonts w:ascii="Arial" w:cs="Arial" w:eastAsia="Arial" w:hAnsi="Arial"/>
                <w:sz w:val="13"/>
                <w:szCs w:val="13"/>
                <w:color w:val="333333"/>
              </w:rPr>
              <w:t>Options</w:t>
            </w:r>
          </w:p>
        </w:tc>
        <w:tc>
          <w:tcPr>
            <w:tcW w:w="30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color w:val="333333"/>
              </w:rPr>
              <w:t>99.64%</w:t>
            </w:r>
          </w:p>
        </w:tc>
        <w:tc>
          <w:tcPr>
            <w:tcW w:w="20" w:type="dxa"/>
            <w:vAlign w:val="bottom"/>
          </w:tcPr>
          <w:p>
            <w:pPr>
              <w:spacing w:after="0"/>
              <w:rPr>
                <w:sz w:val="4"/>
                <w:szCs w:val="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rPr>
              <w:t>0.25%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w w:val="97"/>
              </w:rPr>
              <w:t>0.11%</w:t>
            </w:r>
          </w:p>
        </w:tc>
        <w:tc>
          <w:tcPr>
            <w:tcW w:w="880" w:type="dxa"/>
            <w:vAlign w:val="bottom"/>
            <w:tcBorders>
              <w:right w:val="single" w:sz="8" w:color="auto"/>
            </w:tcBorders>
          </w:tcPr>
          <w:p>
            <w:pPr>
              <w:spacing w:after="0"/>
              <w:rPr>
                <w:sz w:val="4"/>
                <w:szCs w:val="4"/>
                <w:color w:val="auto"/>
              </w:rPr>
            </w:pPr>
          </w:p>
        </w:tc>
        <w:tc>
          <w:tcPr>
            <w:tcW w:w="860" w:type="dxa"/>
            <w:vAlign w:val="bottom"/>
            <w:vMerge w:val="restart"/>
          </w:tcPr>
          <w:p>
            <w:pPr>
              <w:jc w:val="center"/>
              <w:ind w:left="53"/>
              <w:spacing w:after="0"/>
              <w:rPr>
                <w:sz w:val="20"/>
                <w:szCs w:val="20"/>
                <w:color w:val="auto"/>
              </w:rPr>
            </w:pPr>
            <w:r>
              <w:rPr>
                <w:rFonts w:ascii="Arial" w:cs="Arial" w:eastAsia="Arial" w:hAnsi="Arial"/>
                <w:sz w:val="13"/>
                <w:szCs w:val="13"/>
                <w:color w:val="333333"/>
              </w:rPr>
              <w:t>99.75%</w:t>
            </w:r>
          </w:p>
        </w:tc>
        <w:tc>
          <w:tcPr>
            <w:tcW w:w="140" w:type="dxa"/>
            <w:vAlign w:val="bottom"/>
            <w:tcBorders>
              <w:right w:val="single" w:sz="8" w:color="auto"/>
            </w:tcBorders>
          </w:tcPr>
          <w:p>
            <w:pPr>
              <w:spacing w:after="0"/>
              <w:rPr>
                <w:sz w:val="4"/>
                <w:szCs w:val="4"/>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333333"/>
              </w:rPr>
              <w:t>0.25%</w:t>
            </w:r>
          </w:p>
        </w:tc>
        <w:tc>
          <w:tcPr>
            <w:tcW w:w="76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1700" w:type="dxa"/>
            <w:vAlign w:val="bottom"/>
            <w:gridSpan w:val="2"/>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-3672840</wp:posOffset>
            </wp:positionV>
            <wp:extent cx="3429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2632710</wp:posOffset>
            </wp:positionH>
            <wp:positionV relativeFrom="paragraph">
              <wp:posOffset>-303530</wp:posOffset>
            </wp:positionV>
            <wp:extent cx="3429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333333"/>
        </w:rPr>
        <w:t>* Votes cast by a person who abstains on an item are not counted in calculating the required majority a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ASX, Nasdaq and Media Release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November 15, 2024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Opthea Receives A$15.9 Million R&amp;D Tax Incentive</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b w:val="1"/>
          <w:bCs w:val="1"/>
          <w:color w:val="auto"/>
        </w:rPr>
        <w:t xml:space="preserve">Melbourne, Australia and Princeton, NJ, US, November 15, 2024 </w:t>
      </w:r>
      <w:r>
        <w:rPr>
          <w:rFonts w:ascii="Arial" w:cs="Arial" w:eastAsia="Arial" w:hAnsi="Arial"/>
          <w:sz w:val="20"/>
          <w:szCs w:val="20"/>
          <w:color w:val="auto"/>
        </w:rPr>
        <w:t>– Opthea Limited (ASX/NASDAQ:OPT, “Opthea”,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 clinical stage biopharmaceutical company developing novel therapies to treat highly prevalent and progressive retinal diseases, including wet age-related macular degeneration (wet AMD), today announced that it has received an A$15.9 million (US$ 10.4 million) research and development (R&amp;D) tax credit from the Australian Taxation Office. The cash incentive is for research and development costs incurred in the 2023/2024 financial year, and represents the amount disclosed as a current tax receivable in the Company’s audited financial statements at 30 June 2024.</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R&amp;D tax incentive credit relates to both Australian and eligible overseas expenditure for the development of Opthea’s lead candidate, sozinibercept. The R&amp;D Tax Incentive is an Australian Federal Government program under which companies can receive cash incentives for 43.5% of eligible research and development expenditure.</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Frederic Guerard, PharmD, Chief Executive Officer of Opthea, commented: “The receipt of this A$15.9 million R&amp;D tax incentive credit further strengthens our cash position as Opthea continues to advance its Phase 3 wet AMD pivotal clinical program to anticipated topline data readouts of the COAST trial in early Q2 calendar year 2025 and the ShORe trial in mid calendar year 2025.”</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Opthea</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Opthea (ASX/NASDAQ:OPT) is a biopharmaceutical company developing novel therapies to address the unmet needs in the treatment of highly prevalent and progressive retinal diseases, including wet age-related macular degeneration (wet AMD) and diabetic macular edema (DME).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Opthea’s lead product candidate, sozinibercept, is being evaluated in two fully enrolled pivotal Phase 3 clinical trials (COAST, </w:t>
      </w:r>
      <w:r>
        <w:rPr>
          <w:rFonts w:ascii="Arial" w:cs="Arial" w:eastAsia="Arial" w:hAnsi="Arial"/>
          <w:sz w:val="20"/>
          <w:szCs w:val="20"/>
          <w:u w:val="single" w:color="auto"/>
          <w:color w:val="0563C1"/>
        </w:rPr>
        <w:t>NCT04757636</w:t>
      </w:r>
      <w:r>
        <w:rPr>
          <w:rFonts w:ascii="Arial" w:cs="Arial" w:eastAsia="Arial" w:hAnsi="Arial"/>
          <w:sz w:val="20"/>
          <w:szCs w:val="20"/>
          <w:color w:val="000000"/>
        </w:rPr>
        <w:t>, and ShORe,</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NCT04757610</w:t>
      </w:r>
      <w:r>
        <w:rPr>
          <w:rFonts w:ascii="Arial" w:cs="Arial" w:eastAsia="Arial" w:hAnsi="Arial"/>
          <w:sz w:val="20"/>
          <w:szCs w:val="20"/>
          <w:color w:val="000000"/>
        </w:rPr>
        <w:t>) for use in combination with standard-of-care anti-VEGF-A therapies to improve</w:t>
      </w:r>
      <w:r>
        <w:rPr>
          <w:rFonts w:ascii="Arial" w:cs="Arial" w:eastAsia="Arial" w:hAnsi="Arial"/>
          <w:sz w:val="20"/>
          <w:szCs w:val="20"/>
          <w:color w:val="0563C1"/>
        </w:rPr>
        <w:t xml:space="preserve"> </w:t>
      </w:r>
      <w:r>
        <w:rPr>
          <w:rFonts w:ascii="Arial" w:cs="Arial" w:eastAsia="Arial" w:hAnsi="Arial"/>
          <w:sz w:val="20"/>
          <w:szCs w:val="20"/>
          <w:color w:val="000000"/>
        </w:rPr>
        <w:t>overall efficacy and deliver superior vision gains compared to standard-of-care anti-VEGF-A agents alone.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To learn more, visit our website at </w:t>
      </w:r>
      <w:r>
        <w:rPr>
          <w:rFonts w:ascii="Arial" w:cs="Arial" w:eastAsia="Arial" w:hAnsi="Arial"/>
          <w:sz w:val="20"/>
          <w:szCs w:val="20"/>
          <w:u w:val="single" w:color="auto"/>
          <w:color w:val="auto"/>
        </w:rPr>
        <w:t>www.opthea.com</w:t>
      </w:r>
      <w:r>
        <w:rPr>
          <w:rFonts w:ascii="Arial" w:cs="Arial" w:eastAsia="Arial" w:hAnsi="Arial"/>
          <w:sz w:val="20"/>
          <w:szCs w:val="20"/>
          <w:color w:val="auto"/>
        </w:rPr>
        <w:t xml:space="preserve"> and follow us on </w:t>
      </w:r>
      <w:r>
        <w:rPr>
          <w:rFonts w:ascii="Arial" w:cs="Arial" w:eastAsia="Arial" w:hAnsi="Arial"/>
          <w:sz w:val="20"/>
          <w:szCs w:val="20"/>
          <w:u w:val="single" w:color="auto"/>
          <w:color w:val="0563C1"/>
        </w:rPr>
        <w:t>X</w:t>
      </w:r>
      <w:r>
        <w:rPr>
          <w:rFonts w:ascii="Arial" w:cs="Arial" w:eastAsia="Arial" w:hAnsi="Arial"/>
          <w:sz w:val="20"/>
          <w:szCs w:val="20"/>
          <w:color w:val="auto"/>
        </w:rPr>
        <w:t xml:space="preserve"> and </w:t>
      </w:r>
      <w:r>
        <w:rPr>
          <w:rFonts w:ascii="Arial" w:cs="Arial" w:eastAsia="Arial" w:hAnsi="Arial"/>
          <w:sz w:val="20"/>
          <w:szCs w:val="20"/>
          <w:u w:val="single" w:color="auto"/>
          <w:color w:val="0563C1"/>
        </w:rPr>
        <w:t>LinkedIn</w:t>
      </w: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risks of Investment in Biotechnology Companies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This announcement contains certain forward-looking statements, including within the meaning of the U.S. Private Securities Litigation Reform Act of 1995. The words “expect”, “believe”, “should”, “could”, “may”, “will”,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 w:name="page13"/>
    <w:bookmarkEnd w:id="12"/>
    <w:p>
      <w:pPr>
        <w:jc w:val="both"/>
        <w:spacing w:after="0" w:line="227" w:lineRule="auto"/>
        <w:rPr>
          <w:sz w:val="20"/>
          <w:szCs w:val="20"/>
          <w:color w:val="auto"/>
        </w:rPr>
      </w:pPr>
      <w:r>
        <w:rPr>
          <w:rFonts w:ascii="Arial" w:cs="Arial" w:eastAsia="Arial" w:hAnsi="Arial"/>
          <w:sz w:val="20"/>
          <w:szCs w:val="20"/>
          <w:color w:val="auto"/>
        </w:rPr>
        <w:t>other similar expressions are intended to identify forward-looking statements. Forward-looking statements in this announcement include statements regarding the anticipated sozinibercept topline data timing for the two Phase 3 pivotal trials in wet AMD, the potential for sozinibercept to achieve anticipated results for patients, and the Company’s continued efforts to advance its Biological License Application (BLA) preparations for FDA approval and prepare for commercial readiness. Forward-looking statements, opinions and estimates provided in this announcement are based on assumptions and contingencies which are subject to change without notice, as are statements about market and industry trends, which are based on interpretations of current conditions. Forward-looking statements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future capital requirements, the development, testing, production, marketing and sale of drug treatments, regulatory risk and potential loss of regulatory approvals, ongoing clinical studies to demonstrate sozinibercept’s potential safety, tolerability and therapeutic efficacy, clinical research organization and labor costs, intellectual property protections, and other factors that are of a general nature which may affect the future operating and financial performance of the Company including risk factors set forth in Opthea’s Annual Report on Form 20-F filed with the U.S. Securities and Exchange Commission (the “SEC”) on August 30, 2024 and other future filings with the SEC.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announcement to reflect any change in expectations in relation to any forward-looking statements or any change in events, conditions or circumstances on which any such statement is based, except as otherwise required by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Authorized for release to ASX by Frederic Guerard, PharmD, Chief Executive Officer</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620" w:type="dxa"/>
            <w:vAlign w:val="bottom"/>
            <w:gridSpan w:val="4"/>
          </w:tcPr>
          <w:p>
            <w:pPr>
              <w:spacing w:after="0"/>
              <w:rPr>
                <w:sz w:val="20"/>
                <w:szCs w:val="20"/>
                <w:color w:val="auto"/>
              </w:rPr>
            </w:pPr>
            <w:r>
              <w:rPr>
                <w:rFonts w:ascii="Arial" w:cs="Arial" w:eastAsia="Arial" w:hAnsi="Arial"/>
                <w:sz w:val="20"/>
                <w:szCs w:val="20"/>
                <w:b w:val="1"/>
                <w:bCs w:val="1"/>
                <w:color w:val="auto"/>
              </w:rPr>
              <w:t>Investor Inquiries</w:t>
            </w:r>
          </w:p>
        </w:tc>
        <w:tc>
          <w:tcPr>
            <w:tcW w:w="5420" w:type="dxa"/>
            <w:vAlign w:val="bottom"/>
          </w:tcPr>
          <w:p>
            <w:pPr>
              <w:ind w:left="1340"/>
              <w:spacing w:after="0"/>
              <w:rPr>
                <w:sz w:val="20"/>
                <w:szCs w:val="20"/>
                <w:color w:val="auto"/>
              </w:rPr>
            </w:pPr>
            <w:r>
              <w:rPr>
                <w:rFonts w:ascii="Arial" w:cs="Arial" w:eastAsia="Arial" w:hAnsi="Arial"/>
                <w:sz w:val="20"/>
                <w:szCs w:val="20"/>
                <w:b w:val="1"/>
                <w:bCs w:val="1"/>
                <w:i w:val="1"/>
                <w:iCs w:val="1"/>
                <w:color w:val="auto"/>
                <w:w w:val="98"/>
              </w:rPr>
              <w:t>Join our email database to receive program</w:t>
            </w:r>
          </w:p>
        </w:tc>
      </w:tr>
      <w:tr>
        <w:trPr>
          <w:trHeight w:val="271"/>
        </w:trPr>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420" w:type="dxa"/>
            <w:vAlign w:val="bottom"/>
          </w:tcPr>
          <w:p>
            <w:pPr>
              <w:ind w:left="1340"/>
              <w:spacing w:after="0"/>
              <w:rPr>
                <w:sz w:val="20"/>
                <w:szCs w:val="20"/>
                <w:color w:val="auto"/>
              </w:rPr>
            </w:pPr>
            <w:r>
              <w:rPr>
                <w:rFonts w:ascii="Arial" w:cs="Arial" w:eastAsia="Arial" w:hAnsi="Arial"/>
                <w:sz w:val="20"/>
                <w:szCs w:val="20"/>
                <w:b w:val="1"/>
                <w:bCs w:val="1"/>
                <w:i w:val="1"/>
                <w:iCs w:val="1"/>
                <w:color w:val="auto"/>
              </w:rPr>
              <w:t>updates:</w:t>
            </w:r>
          </w:p>
        </w:tc>
      </w:tr>
      <w:tr>
        <w:trPr>
          <w:trHeight w:val="255"/>
        </w:trPr>
        <w:tc>
          <w:tcPr>
            <w:tcW w:w="4620" w:type="dxa"/>
            <w:vAlign w:val="bottom"/>
            <w:gridSpan w:val="4"/>
          </w:tcPr>
          <w:p>
            <w:pPr>
              <w:spacing w:after="0"/>
              <w:rPr>
                <w:sz w:val="20"/>
                <w:szCs w:val="20"/>
                <w:color w:val="auto"/>
              </w:rPr>
            </w:pPr>
            <w:r>
              <w:rPr>
                <w:rFonts w:ascii="Arial" w:cs="Arial" w:eastAsia="Arial" w:hAnsi="Arial"/>
                <w:sz w:val="20"/>
                <w:szCs w:val="20"/>
                <w:color w:val="auto"/>
              </w:rPr>
              <w:t>PJ Kelleher</w:t>
            </w:r>
          </w:p>
        </w:tc>
        <w:tc>
          <w:tcPr>
            <w:tcW w:w="5420" w:type="dxa"/>
            <w:vAlign w:val="bottom"/>
          </w:tcPr>
          <w:p>
            <w:pPr>
              <w:ind w:left="1340"/>
              <w:spacing w:after="0"/>
              <w:rPr>
                <w:sz w:val="20"/>
                <w:szCs w:val="20"/>
                <w:color w:val="auto"/>
              </w:rPr>
            </w:pPr>
            <w:r>
              <w:rPr>
                <w:rFonts w:ascii="Arial" w:cs="Arial" w:eastAsia="Arial" w:hAnsi="Arial"/>
                <w:sz w:val="20"/>
                <w:szCs w:val="20"/>
                <w:color w:val="auto"/>
              </w:rPr>
              <w:t>Tel: +61 (0) 3 9826 0399</w:t>
            </w:r>
          </w:p>
        </w:tc>
      </w:tr>
      <w:tr>
        <w:trPr>
          <w:trHeight w:val="216"/>
        </w:trPr>
        <w:tc>
          <w:tcPr>
            <w:tcW w:w="4620" w:type="dxa"/>
            <w:vAlign w:val="bottom"/>
            <w:gridSpan w:val="4"/>
          </w:tcPr>
          <w:p>
            <w:pPr>
              <w:spacing w:after="0" w:line="216" w:lineRule="exact"/>
              <w:rPr>
                <w:sz w:val="20"/>
                <w:szCs w:val="20"/>
                <w:color w:val="auto"/>
              </w:rPr>
            </w:pPr>
            <w:r>
              <w:rPr>
                <w:rFonts w:ascii="Arial" w:cs="Arial" w:eastAsia="Arial" w:hAnsi="Arial"/>
                <w:sz w:val="20"/>
                <w:szCs w:val="20"/>
                <w:color w:val="auto"/>
              </w:rPr>
              <w:t>LifeSci Advisors LLC</w:t>
            </w:r>
          </w:p>
        </w:tc>
        <w:tc>
          <w:tcPr>
            <w:tcW w:w="5420" w:type="dxa"/>
            <w:vAlign w:val="bottom"/>
          </w:tcPr>
          <w:p>
            <w:pPr>
              <w:ind w:left="1340"/>
              <w:spacing w:after="0" w:line="216" w:lineRule="exact"/>
              <w:rPr>
                <w:sz w:val="20"/>
                <w:szCs w:val="20"/>
                <w:color w:val="auto"/>
              </w:rPr>
            </w:pPr>
            <w:r>
              <w:rPr>
                <w:rFonts w:ascii="Arial" w:cs="Arial" w:eastAsia="Arial" w:hAnsi="Arial"/>
                <w:sz w:val="20"/>
                <w:szCs w:val="20"/>
                <w:color w:val="auto"/>
              </w:rPr>
              <w:t>Email: info@opthea.com</w:t>
            </w:r>
          </w:p>
        </w:tc>
      </w:tr>
      <w:tr>
        <w:trPr>
          <w:trHeight w:val="211"/>
        </w:trPr>
        <w:tc>
          <w:tcPr>
            <w:tcW w:w="4620" w:type="dxa"/>
            <w:vAlign w:val="bottom"/>
            <w:gridSpan w:val="4"/>
          </w:tcPr>
          <w:p>
            <w:pPr>
              <w:spacing w:after="0" w:line="210" w:lineRule="exact"/>
              <w:rPr>
                <w:sz w:val="20"/>
                <w:szCs w:val="20"/>
                <w:color w:val="auto"/>
              </w:rPr>
            </w:pPr>
            <w:r>
              <w:rPr>
                <w:rFonts w:ascii="Arial" w:cs="Arial" w:eastAsia="Arial" w:hAnsi="Arial"/>
                <w:sz w:val="20"/>
                <w:szCs w:val="20"/>
                <w:color w:val="auto"/>
              </w:rPr>
              <w:t>Email: pkelleher@lifesciadvisors.com</w:t>
            </w:r>
          </w:p>
        </w:tc>
        <w:tc>
          <w:tcPr>
            <w:tcW w:w="5420" w:type="dxa"/>
            <w:vAlign w:val="bottom"/>
          </w:tcPr>
          <w:p>
            <w:pPr>
              <w:ind w:left="1340"/>
              <w:spacing w:after="0" w:line="210" w:lineRule="exact"/>
              <w:rPr>
                <w:sz w:val="20"/>
                <w:szCs w:val="20"/>
                <w:color w:val="auto"/>
              </w:rPr>
            </w:pPr>
            <w:r>
              <w:rPr>
                <w:rFonts w:ascii="Arial" w:cs="Arial" w:eastAsia="Arial" w:hAnsi="Arial"/>
                <w:sz w:val="20"/>
                <w:szCs w:val="20"/>
                <w:color w:val="auto"/>
              </w:rPr>
              <w:t>Web: www.opthea.com</w:t>
            </w:r>
          </w:p>
        </w:tc>
      </w:tr>
      <w:tr>
        <w:trPr>
          <w:trHeight w:val="196"/>
        </w:trPr>
        <w:tc>
          <w:tcPr>
            <w:tcW w:w="600" w:type="dxa"/>
            <w:vAlign w:val="bottom"/>
            <w:tcBorders>
              <w:bottom w:val="single" w:sz="8" w:color="auto"/>
            </w:tcBorders>
          </w:tcPr>
          <w:p>
            <w:pPr>
              <w:spacing w:after="0" w:line="196" w:lineRule="exact"/>
              <w:rPr>
                <w:sz w:val="20"/>
                <w:szCs w:val="20"/>
                <w:color w:val="auto"/>
              </w:rPr>
            </w:pPr>
            <w:r>
              <w:rPr>
                <w:rFonts w:ascii="Arial" w:cs="Arial" w:eastAsia="Arial" w:hAnsi="Arial"/>
                <w:sz w:val="20"/>
                <w:szCs w:val="20"/>
                <w:color w:val="auto"/>
                <w:w w:val="91"/>
              </w:rPr>
              <w:t>Phone:</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617-430 7579</w:t>
            </w:r>
          </w:p>
        </w:tc>
        <w:tc>
          <w:tcPr>
            <w:tcW w:w="136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5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80"/>
        <w:spacing w:after="0"/>
        <w:rPr>
          <w:sz w:val="20"/>
          <w:szCs w:val="20"/>
          <w:color w:val="auto"/>
        </w:rPr>
      </w:pPr>
      <w:r>
        <w:rPr>
          <w:rFonts w:ascii="Arial" w:cs="Arial" w:eastAsia="Arial" w:hAnsi="Arial"/>
          <w:sz w:val="20"/>
          <w:szCs w:val="20"/>
          <w:b w:val="1"/>
          <w:bCs w:val="1"/>
          <w:color w:val="auto"/>
        </w:rPr>
        <w:t>Source: Opthea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2024-11-15T05:22:24Z</dcterms:created>
  <dcterms:modified xsi:type="dcterms:W3CDTF">2024-11-15T05:22:24Z</dcterms:modified>
</cp:coreProperties>
</file>