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60325</wp:posOffset>
            </wp:positionV>
            <wp:extent cx="1903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03"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FORM 20-F/A</w:t>
      </w:r>
    </w:p>
    <w:p>
      <w:pPr>
        <w:spacing w:after="0" w:line="40"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20"/>
          <w:szCs w:val="20"/>
          <w:b w:val="1"/>
          <w:bCs w:val="1"/>
          <w:color w:val="auto"/>
        </w:rPr>
        <w:t>(Amendment No. 1)</w:t>
      </w:r>
    </w:p>
    <w:p>
      <w:pPr>
        <w:spacing w:after="0" w:line="123" w:lineRule="exact"/>
        <w:rPr>
          <w:sz w:val="24"/>
          <w:szCs w:val="24"/>
          <w:color w:val="auto"/>
        </w:rPr>
      </w:pPr>
    </w:p>
    <w:p>
      <w:pPr>
        <w:ind w:left="5520" w:right="3080" w:hanging="5512"/>
        <w:spacing w:after="0" w:line="292" w:lineRule="auto"/>
        <w:tabs>
          <w:tab w:leader="none" w:pos="332"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REGISTRATION STATEMENT PURSUANT TO SECTION 12(b) OR (g) OF THE SECURITIES EXCHANGE ACT OF 1934 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-258445</wp:posOffset>
            </wp:positionV>
            <wp:extent cx="1903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ind w:left="4420" w:right="3880" w:hanging="4412"/>
        <w:spacing w:after="0" w:line="283" w:lineRule="auto"/>
        <w:tabs>
          <w:tab w:leader="none" w:pos="318"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 xml:space="preserve">ANNUAL REPORT PURSUANT TO SECTION 13 OR 15(d) OF THE SECURITIES EXCHANGE ACT OF 1934 For the fiscal year ended </w:t>
      </w:r>
      <w:r>
        <w:rPr>
          <w:rFonts w:ascii="Times New Roman" w:cs="Times New Roman" w:eastAsia="Times New Roman" w:hAnsi="Times New Roman"/>
          <w:sz w:val="14"/>
          <w:szCs w:val="14"/>
          <w:b w:val="1"/>
          <w:bCs w:val="1"/>
          <w:u w:val="single" w:color="auto"/>
          <w:color w:val="auto"/>
        </w:rPr>
        <w:t>June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1" w:lineRule="exact"/>
        <w:rPr>
          <w:sz w:val="24"/>
          <w:szCs w:val="24"/>
          <w:color w:val="auto"/>
        </w:rPr>
      </w:pPr>
    </w:p>
    <w:p>
      <w:pPr>
        <w:ind w:left="5520" w:right="3600" w:hanging="5512"/>
        <w:spacing w:after="0" w:line="282" w:lineRule="auto"/>
        <w:tabs>
          <w:tab w:leader="none" w:pos="332" w:val="left"/>
        </w:tabs>
        <w:numPr>
          <w:ilvl w:val="0"/>
          <w:numId w:val="3"/>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OR</w:t>
      </w:r>
    </w:p>
    <w:p>
      <w:pPr>
        <w:spacing w:after="0" w:line="13" w:lineRule="exact"/>
        <w:rPr>
          <w:rFonts w:ascii="MS PGothic" w:cs="MS PGothic" w:eastAsia="MS PGothic" w:hAnsi="MS PGothic"/>
          <w:sz w:val="14"/>
          <w:szCs w:val="14"/>
          <w:color w:val="auto"/>
          <w:highlight w:val="black"/>
        </w:rPr>
      </w:pPr>
    </w:p>
    <w:p>
      <w:pPr>
        <w:ind w:left="320" w:hanging="312"/>
        <w:spacing w:after="0"/>
        <w:tabs>
          <w:tab w:leader="none" w:pos="320" w:val="left"/>
        </w:tabs>
        <w:numPr>
          <w:ilvl w:val="0"/>
          <w:numId w:val="3"/>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SHELL COMPANY REPORT PURSUANT TO SECTION 13 OR 15(d) OF THE SECURITIES EXCHANGE ACT OF 1934</w:t>
      </w:r>
    </w:p>
    <w:p>
      <w:pPr>
        <w:spacing w:after="0" w:line="51" w:lineRule="exact"/>
        <w:rPr>
          <w:rFonts w:ascii="MS PGothic" w:cs="MS PGothic" w:eastAsia="MS PGothic" w:hAnsi="MS PGothic"/>
          <w:sz w:val="14"/>
          <w:szCs w:val="14"/>
          <w:color w:val="auto"/>
          <w:highlight w:val="black"/>
        </w:rPr>
      </w:pPr>
    </w:p>
    <w:p>
      <w:pPr>
        <w:ind w:left="384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3"/>
          <w:szCs w:val="13"/>
          <w:b w:val="1"/>
          <w:bCs w:val="1"/>
          <w:color w:val="auto"/>
        </w:rPr>
        <w:t>Date of event requiring this shell company report ______________</w:t>
      </w:r>
    </w:p>
    <w:p>
      <w:pPr>
        <w:spacing w:after="0" w:line="11" w:lineRule="exact"/>
        <w:rPr>
          <w:rFonts w:ascii="MS PGothic" w:cs="MS PGothic" w:eastAsia="MS PGothic" w:hAnsi="MS PGothic"/>
          <w:sz w:val="14"/>
          <w:szCs w:val="14"/>
          <w:color w:val="auto"/>
          <w:highlight w:val="black"/>
        </w:rPr>
      </w:pPr>
    </w:p>
    <w:p>
      <w:pPr>
        <w:ind w:left="382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3"/>
          <w:szCs w:val="13"/>
          <w:b w:val="1"/>
          <w:bCs w:val="1"/>
          <w:color w:val="auto"/>
        </w:rPr>
        <w:t>For the transition period from ______________ to ______________</w:t>
      </w:r>
    </w:p>
    <w:p>
      <w:pPr>
        <w:spacing w:after="0" w:line="21" w:lineRule="exact"/>
        <w:rPr>
          <w:rFonts w:ascii="MS PGothic" w:cs="MS PGothic" w:eastAsia="MS PGothic" w:hAnsi="MS PGothic"/>
          <w:sz w:val="14"/>
          <w:szCs w:val="14"/>
          <w:color w:val="auto"/>
          <w:highlight w:val="black"/>
        </w:rPr>
      </w:pPr>
    </w:p>
    <w:p>
      <w:pPr>
        <w:ind w:left="466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3"/>
          <w:szCs w:val="13"/>
          <w:b w:val="1"/>
          <w:bCs w:val="1"/>
          <w:color w:val="auto"/>
        </w:rPr>
        <w:t>Commission file number: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55245</wp:posOffset>
            </wp:positionV>
            <wp:extent cx="1903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OPTHEA LIMITED</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27940</wp:posOffset>
            </wp:positionV>
            <wp:extent cx="1903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61"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4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3"/>
          <w:szCs w:val="13"/>
          <w:b w:val="1"/>
          <w:bCs w:val="1"/>
          <w:color w:val="auto"/>
        </w:rPr>
        <w:t>(Translation of Registrant’s name into English)</w:t>
      </w:r>
    </w:p>
    <w:p>
      <w:pPr>
        <w:spacing w:after="0" w:line="29"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AUSTRALIA</w:t>
      </w:r>
    </w:p>
    <w:p>
      <w:pPr>
        <w:spacing w:after="0" w:line="3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3"/>
          <w:szCs w:val="13"/>
          <w:b w:val="1"/>
          <w:bCs w:val="1"/>
          <w:color w:val="auto"/>
        </w:rPr>
        <w:t>(Jurisdiction of incorporation or organization)</w:t>
      </w:r>
    </w:p>
    <w:p>
      <w:pPr>
        <w:spacing w:after="0" w:line="40" w:lineRule="exact"/>
        <w:rPr>
          <w:sz w:val="24"/>
          <w:szCs w:val="24"/>
          <w:color w:val="auto"/>
        </w:rPr>
      </w:pPr>
    </w:p>
    <w:p>
      <w:pPr>
        <w:ind w:left="5420"/>
        <w:spacing w:after="0"/>
        <w:rPr>
          <w:sz w:val="20"/>
          <w:szCs w:val="20"/>
          <w:color w:val="auto"/>
        </w:rPr>
      </w:pPr>
      <w:r>
        <w:rPr>
          <w:rFonts w:ascii="Times New Roman" w:cs="Times New Roman" w:eastAsia="Times New Roman" w:hAnsi="Times New Roman"/>
          <w:sz w:val="13"/>
          <w:szCs w:val="13"/>
          <w:b w:val="1"/>
          <w:bCs w:val="1"/>
          <w:color w:val="auto"/>
        </w:rPr>
        <w:t>Level 4</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650 Chapel Street</w:t>
      </w:r>
    </w:p>
    <w:p>
      <w:pPr>
        <w:jc w:val="center"/>
        <w:spacing w:after="0"/>
        <w:rPr>
          <w:sz w:val="20"/>
          <w:szCs w:val="20"/>
          <w:color w:val="auto"/>
        </w:rPr>
      </w:pPr>
      <w:r>
        <w:rPr>
          <w:rFonts w:ascii="Times New Roman" w:cs="Times New Roman" w:eastAsia="Times New Roman" w:hAnsi="Times New Roman"/>
          <w:sz w:val="13"/>
          <w:szCs w:val="13"/>
          <w:b w:val="1"/>
          <w:bCs w:val="1"/>
          <w:color w:val="auto"/>
        </w:rPr>
        <w:t>South Yarra, Victoria 3141</w:t>
      </w:r>
    </w:p>
    <w:p>
      <w:pPr>
        <w:jc w:val="center"/>
        <w:spacing w:after="0"/>
        <w:rPr>
          <w:sz w:val="20"/>
          <w:szCs w:val="20"/>
          <w:color w:val="auto"/>
        </w:rPr>
      </w:pPr>
      <w:r>
        <w:rPr>
          <w:rFonts w:ascii="Times New Roman" w:cs="Times New Roman" w:eastAsia="Times New Roman" w:hAnsi="Times New Roman"/>
          <w:sz w:val="13"/>
          <w:szCs w:val="13"/>
          <w:b w:val="1"/>
          <w:bCs w:val="1"/>
          <w:color w:val="auto"/>
        </w:rPr>
        <w:t>Australia</w:t>
      </w:r>
    </w:p>
    <w:p>
      <w:pPr>
        <w:jc w:val="center"/>
        <w:spacing w:after="0"/>
        <w:rPr>
          <w:sz w:val="20"/>
          <w:szCs w:val="20"/>
          <w:color w:val="auto"/>
        </w:rPr>
      </w:pPr>
      <w:r>
        <w:rPr>
          <w:rFonts w:ascii="Times New Roman" w:cs="Times New Roman" w:eastAsia="Times New Roman" w:hAnsi="Times New Roman"/>
          <w:sz w:val="13"/>
          <w:szCs w:val="13"/>
          <w:b w:val="1"/>
          <w:bCs w:val="1"/>
          <w:color w:val="auto"/>
        </w:rPr>
        <w:t>+ 61 3 9826 0399</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Frederic Guerard</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Chief Executive Officer</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+61 3 9826 0399</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info@opthea.com</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Level 4</w:t>
      </w:r>
    </w:p>
    <w:p>
      <w:pPr>
        <w:spacing w:after="0" w:line="29"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3"/>
          <w:szCs w:val="13"/>
          <w:b w:val="1"/>
          <w:bCs w:val="1"/>
          <w:color w:val="auto"/>
        </w:rPr>
        <w:t>650 Chapel Street</w:t>
      </w:r>
    </w:p>
    <w:p>
      <w:pPr>
        <w:spacing w:after="0" w:line="37"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3"/>
          <w:szCs w:val="13"/>
          <w:b w:val="1"/>
          <w:bCs w:val="1"/>
          <w:color w:val="auto"/>
        </w:rPr>
        <w:t>South Yarra, Victoria 3141</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Australia</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(Name, Telephone, E-mail and/or Facsimile number and Address of Company Contact Person)</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78"/>
        </w:trPr>
        <w:tc>
          <w:tcPr>
            <w:tcW w:w="7860" w:type="dxa"/>
            <w:vAlign w:val="bottom"/>
            <w:gridSpan w:val="5"/>
          </w:tcPr>
          <w:p>
            <w:pPr>
              <w:ind w:left="3420"/>
              <w:spacing w:after="0"/>
              <w:rPr>
                <w:sz w:val="20"/>
                <w:szCs w:val="20"/>
                <w:color w:val="auto"/>
              </w:rPr>
            </w:pPr>
            <w:r>
              <w:rPr>
                <w:rFonts w:ascii="Times New Roman" w:cs="Times New Roman" w:eastAsia="Times New Roman" w:hAnsi="Times New Roman"/>
                <w:sz w:val="13"/>
                <w:szCs w:val="13"/>
                <w:b w:val="1"/>
                <w:bCs w:val="1"/>
                <w:color w:val="auto"/>
              </w:rPr>
              <w:t>Securities registered or to be registered pursuant to Section 12(b) of the Act.</w:t>
            </w:r>
          </w:p>
        </w:tc>
        <w:tc>
          <w:tcPr>
            <w:tcW w:w="3340" w:type="dxa"/>
            <w:vAlign w:val="bottom"/>
          </w:tcPr>
          <w:p>
            <w:pPr>
              <w:spacing w:after="0"/>
              <w:rPr>
                <w:sz w:val="15"/>
                <w:szCs w:val="15"/>
                <w:color w:val="auto"/>
              </w:rPr>
            </w:pPr>
          </w:p>
        </w:tc>
      </w:tr>
      <w:tr>
        <w:trPr>
          <w:trHeight w:val="210"/>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40" w:type="dxa"/>
            <w:vAlign w:val="bottom"/>
          </w:tcPr>
          <w:p>
            <w:pPr>
              <w:spacing w:after="0"/>
              <w:rPr>
                <w:sz w:val="18"/>
                <w:szCs w:val="18"/>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 Symbol</w:t>
            </w:r>
          </w:p>
        </w:tc>
        <w:tc>
          <w:tcPr>
            <w:tcW w:w="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jc w:val="center"/>
              <w:ind w:right="633"/>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75"/>
        </w:trPr>
        <w:tc>
          <w:tcPr>
            <w:tcW w:w="4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American Depositary Shares, each representing eight ordinary shares</w:t>
            </w:r>
          </w:p>
        </w:tc>
        <w:tc>
          <w:tcPr>
            <w:tcW w:w="40" w:type="dxa"/>
            <w:vAlign w:val="bottom"/>
          </w:tcPr>
          <w:p>
            <w:pPr>
              <w:spacing w:after="0"/>
              <w:rPr>
                <w:sz w:val="15"/>
                <w:szCs w:val="15"/>
                <w:color w:val="auto"/>
              </w:rPr>
            </w:pPr>
          </w:p>
        </w:tc>
        <w:tc>
          <w:tcPr>
            <w:tcW w:w="3020" w:type="dxa"/>
            <w:vAlign w:val="bottom"/>
            <w:gridSpan w:val="3"/>
          </w:tcPr>
          <w:p>
            <w:pPr>
              <w:jc w:val="center"/>
              <w:ind w:right="740"/>
              <w:spacing w:after="0"/>
              <w:rPr>
                <w:sz w:val="20"/>
                <w:szCs w:val="20"/>
                <w:color w:val="auto"/>
              </w:rPr>
            </w:pPr>
            <w:r>
              <w:rPr>
                <w:rFonts w:ascii="Times New Roman" w:cs="Times New Roman" w:eastAsia="Times New Roman" w:hAnsi="Times New Roman"/>
                <w:sz w:val="13"/>
                <w:szCs w:val="13"/>
                <w:color w:val="auto"/>
                <w:w w:val="97"/>
              </w:rPr>
              <w:t>OPT</w:t>
            </w:r>
          </w:p>
        </w:tc>
        <w:tc>
          <w:tcPr>
            <w:tcW w:w="3340" w:type="dxa"/>
            <w:vAlign w:val="bottom"/>
          </w:tcPr>
          <w:p>
            <w:pPr>
              <w:jc w:val="center"/>
              <w:ind w:right="633"/>
              <w:spacing w:after="0"/>
              <w:rPr>
                <w:sz w:val="20"/>
                <w:szCs w:val="20"/>
                <w:color w:val="auto"/>
              </w:rPr>
            </w:pPr>
            <w:r>
              <w:rPr>
                <w:rFonts w:ascii="Times New Roman" w:cs="Times New Roman" w:eastAsia="Times New Roman" w:hAnsi="Times New Roman"/>
                <w:sz w:val="13"/>
                <w:szCs w:val="13"/>
                <w:color w:val="auto"/>
              </w:rPr>
              <w:t>The Nasdaq Global Select Market</w:t>
            </w:r>
          </w:p>
        </w:tc>
      </w:tr>
      <w:tr>
        <w:trPr>
          <w:trHeight w:val="175"/>
        </w:trPr>
        <w:tc>
          <w:tcPr>
            <w:tcW w:w="4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Ordinary shares, no par value*</w:t>
            </w: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340" w:type="dxa"/>
            <w:vAlign w:val="bottom"/>
          </w:tcPr>
          <w:p>
            <w:pPr>
              <w:jc w:val="center"/>
              <w:ind w:right="633"/>
              <w:spacing w:after="0"/>
              <w:rPr>
                <w:sz w:val="20"/>
                <w:szCs w:val="20"/>
                <w:color w:val="auto"/>
              </w:rPr>
            </w:pPr>
            <w:r>
              <w:rPr>
                <w:rFonts w:ascii="Times New Roman" w:cs="Times New Roman" w:eastAsia="Times New Roman" w:hAnsi="Times New Roman"/>
                <w:sz w:val="13"/>
                <w:szCs w:val="13"/>
                <w:color w:val="auto"/>
              </w:rPr>
              <w:t>The Nasdaq Global Select Market*</w:t>
            </w:r>
          </w:p>
        </w:tc>
      </w:tr>
    </w:tbl>
    <w:p>
      <w:pPr>
        <w:ind w:left="400" w:hanging="101"/>
        <w:spacing w:after="0"/>
        <w:tabs>
          <w:tab w:leader="none" w:pos="400"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Not for trading, but only in connection with the registration of the American</w:t>
      </w:r>
    </w:p>
    <w:p>
      <w:pPr>
        <w:spacing w:after="0" w:line="14" w:lineRule="exact"/>
        <w:rPr>
          <w:rFonts w:ascii="Times New Roman" w:cs="Times New Roman" w:eastAsia="Times New Roman" w:hAnsi="Times New Roman"/>
          <w:sz w:val="13"/>
          <w:szCs w:val="13"/>
          <w:i w:val="1"/>
          <w:iCs w:val="1"/>
          <w:color w:val="auto"/>
        </w:rPr>
      </w:pPr>
    </w:p>
    <w:p>
      <w:pPr>
        <w:ind w:left="1900"/>
        <w:spacing w:after="0"/>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Depositary Shares.</w:t>
      </w:r>
    </w:p>
    <w:p>
      <w:pPr>
        <w:spacing w:after="0" w:line="76"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3"/>
          <w:szCs w:val="13"/>
          <w:b w:val="1"/>
          <w:bCs w:val="1"/>
          <w:color w:val="auto"/>
        </w:rPr>
        <w:t>Securities registered or to be registered pursuant to Section 12(g) of the Act.</w:t>
      </w:r>
    </w:p>
    <w:p>
      <w:pPr>
        <w:spacing w:after="0" w:line="40"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for which there is a reporting obligation pursuant to Section 15(d) of the Act:</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18415</wp:posOffset>
            </wp:positionV>
            <wp:extent cx="1903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47" w:lineRule="exact"/>
        <w:rPr>
          <w:sz w:val="24"/>
          <w:szCs w:val="24"/>
          <w:color w:val="auto"/>
        </w:rPr>
      </w:pPr>
    </w:p>
    <w:p>
      <w:pPr>
        <w:ind w:right="20"/>
        <w:spacing w:after="0" w:line="270" w:lineRule="auto"/>
        <w:rPr>
          <w:sz w:val="20"/>
          <w:szCs w:val="20"/>
          <w:color w:val="auto"/>
        </w:rPr>
      </w:pPr>
      <w:r>
        <w:rPr>
          <w:rFonts w:ascii="Times New Roman" w:cs="Times New Roman" w:eastAsia="Times New Roman" w:hAnsi="Times New Roman"/>
          <w:sz w:val="13"/>
          <w:szCs w:val="13"/>
          <w:color w:val="auto"/>
        </w:rPr>
        <w:t xml:space="preserve">Indicate the number of outstanding shares of each of the issuer’s classes of capital or common stock as of the close of the period covered by the annual report. 1,091,466,771 </w:t>
      </w:r>
      <w:r>
        <w:rPr>
          <w:rFonts w:ascii="Times New Roman" w:cs="Times New Roman" w:eastAsia="Times New Roman" w:hAnsi="Times New Roman"/>
          <w:sz w:val="13"/>
          <w:szCs w:val="13"/>
          <w:b w:val="1"/>
          <w:bCs w:val="1"/>
          <w:color w:val="auto"/>
        </w:rPr>
        <w:t>Ordinary Shares (including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shares underlying American Depositary Shares). 11,558,534 American Depositary Shares.</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80"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98"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21"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34" w:lineRule="exact"/>
        <w:rPr>
          <w:sz w:val="24"/>
          <w:szCs w:val="24"/>
          <w:color w:val="auto"/>
        </w:rPr>
      </w:pPr>
    </w:p>
    <w:p>
      <w:pPr>
        <w:spacing w:after="0" w:line="25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or a non-accelerated filer, or an emerging growth company. See definition of “large accelerated filer,” “accelerated filer,” and “emerging growth company” in Rule 12b-2 of the Exchange Act. (Check one):</w:t>
      </w:r>
    </w:p>
    <w:p>
      <w:pPr>
        <w:ind w:left="720"/>
        <w:spacing w:after="0" w:line="150" w:lineRule="exact"/>
        <w:tabs>
          <w:tab w:leader="none" w:pos="3680" w:val="left"/>
          <w:tab w:leader="none" w:pos="6380" w:val="left"/>
          <w:tab w:leader="none" w:pos="9000" w:val="left"/>
        </w:tabs>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08"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1"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3"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1"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which basis of accounting the registrant has used to prepare the financial statements included in this filing:</w:t>
      </w:r>
    </w:p>
    <w:p>
      <w:pPr>
        <w:spacing w:after="0" w:line="53"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3"/>
          <w:szCs w:val="13"/>
          <w:color w:val="auto"/>
        </w:rPr>
        <w:t>International Financial Reporting Standards as issued by the International</w:t>
      </w:r>
    </w:p>
    <w:p>
      <w:pPr>
        <w:spacing w:after="0" w:line="25" w:lineRule="exact"/>
        <w:rPr>
          <w:sz w:val="24"/>
          <w:szCs w:val="24"/>
          <w:color w:val="auto"/>
        </w:rPr>
      </w:pPr>
    </w:p>
    <w:p>
      <w:pPr>
        <w:ind w:left="20"/>
        <w:spacing w:after="0" w:line="150" w:lineRule="exact"/>
        <w:tabs>
          <w:tab w:leader="none" w:pos="1020" w:val="left"/>
          <w:tab w:leader="none" w:pos="2560" w:val="left"/>
          <w:tab w:leader="none" w:pos="7400" w:val="left"/>
          <w:tab w:leader="none" w:pos="9280" w:val="left"/>
          <w:tab w:leader="none" w:pos="9860" w:val="left"/>
        </w:tabs>
        <w:rPr>
          <w:sz w:val="20"/>
          <w:szCs w:val="20"/>
          <w:color w:val="auto"/>
        </w:rPr>
      </w:pPr>
      <w:r>
        <w:rPr>
          <w:rFonts w:ascii="Times New Roman" w:cs="Times New Roman" w:eastAsia="Times New Roman" w:hAnsi="Times New Roman"/>
          <w:sz w:val="13"/>
          <w:szCs w:val="13"/>
          <w:color w:val="auto"/>
        </w:rPr>
        <w:t>U.S. GAAP</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3"/>
          <w:szCs w:val="13"/>
          <w:color w:val="auto"/>
        </w:rPr>
        <w:t>Accounting Standards Board</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3"/>
          <w:szCs w:val="13"/>
          <w:color w:val="auto"/>
        </w:rPr>
        <w:t>Other</w:t>
      </w:r>
      <w:r>
        <w:rPr>
          <w:sz w:val="20"/>
          <w:szCs w:val="20"/>
          <w:color w:val="auto"/>
        </w:rPr>
        <w:tab/>
      </w:r>
      <w:r>
        <w:rPr>
          <w:rFonts w:ascii="MS PGothic" w:cs="MS PGothic" w:eastAsia="MS PGothic" w:hAnsi="MS PGothic"/>
          <w:sz w:val="9"/>
          <w:szCs w:val="9"/>
          <w:color w:val="auto"/>
        </w:rPr>
        <w:t>☐</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If “Other” has been checked in response to the previous question, indicate by check mark which financial statement item the registrant has elected to follow.</w:t>
      </w:r>
    </w:p>
    <w:p>
      <w:pPr>
        <w:spacing w:after="0" w:line="41" w:lineRule="exact"/>
        <w:rPr>
          <w:sz w:val="24"/>
          <w:szCs w:val="24"/>
          <w:color w:val="auto"/>
        </w:rPr>
      </w:pPr>
    </w:p>
    <w:p>
      <w:pPr>
        <w:spacing w:after="0" w:line="150" w:lineRule="exact"/>
        <w:tabs>
          <w:tab w:leader="none" w:pos="800" w:val="left"/>
        </w:tabs>
        <w:rPr>
          <w:sz w:val="20"/>
          <w:szCs w:val="20"/>
          <w:color w:val="auto"/>
        </w:rPr>
      </w:pPr>
      <w:r>
        <w:rPr>
          <w:rFonts w:ascii="Times New Roman" w:cs="Times New Roman" w:eastAsia="Times New Roman" w:hAnsi="Times New Roman"/>
          <w:sz w:val="13"/>
          <w:szCs w:val="13"/>
          <w:color w:val="auto"/>
        </w:rPr>
        <w:t xml:space="preserve">Item 17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Item 18 </w:t>
      </w:r>
      <w:r>
        <w:rPr>
          <w:rFonts w:ascii="MS PGothic" w:cs="MS PGothic" w:eastAsia="MS PGothic" w:hAnsi="MS PGothic"/>
          <w:sz w:val="12"/>
          <w:szCs w:val="12"/>
          <w:color w:val="auto"/>
        </w:rPr>
        <w:t>☐</w:t>
      </w:r>
    </w:p>
    <w:p>
      <w:pPr>
        <w:spacing w:after="0" w:line="73"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If this is an annual report, indicate by check mark whether the registrant is a shell company (as defined in Rule 12b-2 of the Exchange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350520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113" w:gutter="0" w:footer="0" w:header="0"/>
        </w:sectPr>
      </w:pPr>
    </w:p>
    <w:bookmarkStart w:id="1" w:name="page2"/>
    <w:bookmarkEnd w:id="1"/>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Amendment No. 1 on Form 20-F/A (this “Amendment”) is being filed by Opthea Limited (the “Company”) to amend its Annual Report on Form 20-F for the fiscal year ended June 30, 2024, originally filed with the U.S. Securities Exchange Commission (the “SEC”) on August 30, 2024 (the “Original Filing”). All references in this Amendment to the “annual report on Form 20-F” or “annual report” shall be deemed to refer to this Amendment. The Company is filing this Amendment solely to (a) amend the Report of Independent Registered Public Accounting Firm contained in the Original Filing which inadvertently omitted the signature of Deloitte Touche Tohmatsu, the Company’s independent registered public accounting firm (“Deloitte”); (b) amend Exhibit 15.1 Consent of Deloitte Touche Tohmatsu, independent registered public accounting firm, filed with the Original Filing which inadvertently omitted the signature of Deloitte; (c) include new Section 302 Certifications filed as Exhibits 12.1 and 12.2, as required by Rule 12b-15 of the Securities Exchange Act of 1934, as amended (the “Exchange Act”); (d) include a new Section 906 Certification furnished as Exhibit 13.1, as required by Rule 12b-15 of the Exchange Act and (e) amend the text of the Exhibit Index contained in the Original Filing to include some footnote notations.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this Amendment includes all of the Parts, Items, information, disclosures and Exhibits contained in the Original Filing as required by the SEC’s rules, it speaks as of the filing date of the Original Filing and does not, and does not purport to, amend, modify, update, restate or change in any way any of such Parts, Items, information, disclosure or Exhibits contained in the Original Fling, including the previously reported consolidated financial statements, except as described above, nor does it reflect events occurring after the filing date of the Original Filing. Among other things, forward-looking statements made in the Original Filing have not been revised to reflect events that occurred or facts that became known to us after the filing date of the Original Filing, and such forward-looking statements should be read in their historical context. Accordingly, this Amendment should be read in conjunction with the Company's other filings made with the SEC subsequent to the filing date of the Original Filing.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gridSpan w:val="10"/>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80" w:type="dxa"/>
            <w:vAlign w:val="bottom"/>
          </w:tcPr>
          <w:p>
            <w:pPr>
              <w:spacing w:after="0"/>
              <w:rPr>
                <w:sz w:val="20"/>
                <w:szCs w:val="20"/>
                <w:color w:val="auto"/>
              </w:rPr>
            </w:pPr>
          </w:p>
        </w:tc>
      </w:tr>
      <w:tr>
        <w:trPr>
          <w:trHeight w:val="405"/>
        </w:trPr>
        <w:tc>
          <w:tcPr>
            <w:tcW w:w="902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PRESENTATION OF FINANCIAL AND OTHER INFORMATION</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60" w:type="dxa"/>
            <w:vAlign w:val="bottom"/>
            <w:tcBorders>
              <w:right w:val="single" w:sz="8" w:color="0000FF"/>
            </w:tcBorders>
            <w:gridSpan w:val="2"/>
            <w:shd w:val="clear" w:color="auto" w:fill="0000EE"/>
          </w:tcPr>
          <w:p>
            <w:pPr>
              <w:spacing w:after="0" w:line="20" w:lineRule="exact"/>
              <w:rPr>
                <w:sz w:val="1"/>
                <w:szCs w:val="1"/>
                <w:color w:val="auto"/>
              </w:rPr>
            </w:pPr>
          </w:p>
        </w:tc>
        <w:tc>
          <w:tcPr>
            <w:tcW w:w="148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tcBorders>
              <w:right w:val="single" w:sz="8" w:color="0000FF"/>
            </w:tcBorders>
            <w:gridSpan w:val="9"/>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9"/>
            <w:shd w:val="clear" w:color="auto" w:fill="0000FF"/>
          </w:tcPr>
          <w:p>
            <w:pPr>
              <w:spacing w:after="0" w:line="20" w:lineRule="exact"/>
              <w:rPr>
                <w:sz w:val="1"/>
                <w:szCs w:val="1"/>
                <w:color w:val="auto"/>
              </w:rPr>
            </w:pPr>
          </w:p>
        </w:tc>
        <w:tc>
          <w:tcPr>
            <w:tcW w:w="5940" w:type="dxa"/>
            <w:vAlign w:val="bottom"/>
            <w:gridSpan w:val="8"/>
          </w:tcPr>
          <w:p>
            <w:pPr>
              <w:spacing w:after="0" w:line="20" w:lineRule="exact"/>
              <w:rPr>
                <w:sz w:val="1"/>
                <w:szCs w:val="1"/>
                <w:color w:val="auto"/>
              </w:rPr>
            </w:pPr>
          </w:p>
        </w:tc>
      </w:tr>
      <w:tr>
        <w:trPr>
          <w:trHeight w:val="223"/>
        </w:trPr>
        <w:tc>
          <w:tcPr>
            <w:tcW w:w="902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ENFORCEMENT OF CIVIL LIABILITIES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560" w:type="dxa"/>
            <w:vAlign w:val="bottom"/>
            <w:tcBorders>
              <w:right w:val="single" w:sz="8" w:color="0000FF"/>
            </w:tcBorders>
            <w:gridSpan w:val="2"/>
            <w:shd w:val="clear" w:color="auto" w:fill="0000EE"/>
          </w:tcPr>
          <w:p>
            <w:pPr>
              <w:spacing w:after="0" w:line="20" w:lineRule="exact"/>
              <w:rPr>
                <w:sz w:val="1"/>
                <w:szCs w:val="1"/>
                <w:color w:val="auto"/>
              </w:rPr>
            </w:pPr>
          </w:p>
        </w:tc>
        <w:tc>
          <w:tcPr>
            <w:tcW w:w="148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7700" w:type="dxa"/>
            <w:vAlign w:val="bottom"/>
            <w:gridSpan w:val="27"/>
          </w:tcPr>
          <w:p>
            <w:pPr>
              <w:spacing w:after="0" w:line="20" w:lineRule="exact"/>
              <w:rPr>
                <w:sz w:val="1"/>
                <w:szCs w:val="1"/>
                <w:color w:val="auto"/>
              </w:rPr>
            </w:pPr>
          </w:p>
        </w:tc>
      </w:tr>
      <w:tr>
        <w:trPr>
          <w:trHeight w:val="223"/>
        </w:trPr>
        <w:tc>
          <w:tcPr>
            <w:tcW w:w="902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FORWARD-LOOKING STATEMENTS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560" w:type="dxa"/>
            <w:vAlign w:val="bottom"/>
            <w:tcBorders>
              <w:right w:val="single" w:sz="8" w:color="0000FF"/>
            </w:tcBorders>
            <w:gridSpan w:val="2"/>
            <w:shd w:val="clear" w:color="auto" w:fill="0000EE"/>
          </w:tcPr>
          <w:p>
            <w:pPr>
              <w:spacing w:after="0" w:line="20" w:lineRule="exact"/>
              <w:rPr>
                <w:sz w:val="1"/>
                <w:szCs w:val="1"/>
                <w:color w:val="auto"/>
              </w:rPr>
            </w:pPr>
          </w:p>
        </w:tc>
        <w:tc>
          <w:tcPr>
            <w:tcW w:w="148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940" w:type="dxa"/>
            <w:vAlign w:val="bottom"/>
            <w:gridSpan w:val="33"/>
          </w:tcPr>
          <w:p>
            <w:pPr>
              <w:spacing w:after="0" w:line="20" w:lineRule="exact"/>
              <w:rPr>
                <w:sz w:val="1"/>
                <w:szCs w:val="1"/>
                <w:color w:val="auto"/>
              </w:rPr>
            </w:pPr>
          </w:p>
        </w:tc>
      </w:tr>
      <w:tr>
        <w:trPr>
          <w:trHeight w:val="331"/>
        </w:trPr>
        <w:tc>
          <w:tcPr>
            <w:tcW w:w="902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PART I</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560" w:type="dxa"/>
            <w:vAlign w:val="bottom"/>
            <w:tcBorders>
              <w:right w:val="single" w:sz="8" w:color="0000EE"/>
            </w:tcBorders>
            <w:gridSpan w:val="2"/>
          </w:tcPr>
          <w:p>
            <w:pPr>
              <w:spacing w:after="0" w:line="20" w:lineRule="exact"/>
              <w:rPr>
                <w:sz w:val="1"/>
                <w:szCs w:val="1"/>
                <w:color w:val="auto"/>
              </w:rPr>
            </w:pPr>
          </w:p>
        </w:tc>
        <w:tc>
          <w:tcPr>
            <w:tcW w:w="10340" w:type="dxa"/>
            <w:vAlign w:val="bottom"/>
            <w:gridSpan w:val="56"/>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Identity of Directors, Senior Management and Advisers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2880" w:type="dxa"/>
            <w:vAlign w:val="bottom"/>
            <w:tcBorders>
              <w:top w:val="single" w:sz="8" w:color="0000FF"/>
              <w:bottom w:val="single" w:sz="8" w:color="0000FF"/>
            </w:tcBorders>
            <w:gridSpan w:val="43"/>
          </w:tcPr>
          <w:p>
            <w:pPr>
              <w:spacing w:after="0"/>
              <w:rPr>
                <w:sz w:val="20"/>
                <w:szCs w:val="20"/>
                <w:color w:val="auto"/>
              </w:rPr>
            </w:pPr>
            <w:r>
              <w:rPr>
                <w:rFonts w:ascii="Times New Roman" w:cs="Times New Roman" w:eastAsia="Times New Roman" w:hAnsi="Times New Roman"/>
                <w:sz w:val="18"/>
                <w:szCs w:val="18"/>
                <w:color w:val="0000FF"/>
                <w:w w:val="99"/>
              </w:rPr>
              <w:t>Offer Statistics and Expected Timetable</w:t>
            </w:r>
          </w:p>
        </w:tc>
        <w:tc>
          <w:tcPr>
            <w:tcW w:w="1120" w:type="dxa"/>
            <w:vAlign w:val="bottom"/>
            <w:tcBorders>
              <w:top w:val="single" w:sz="8" w:color="0000FF"/>
            </w:tcBorders>
            <w:gridSpan w:val="7"/>
          </w:tcPr>
          <w:p>
            <w:pPr>
              <w:spacing w:after="0"/>
              <w:rPr>
                <w:sz w:val="19"/>
                <w:szCs w:val="19"/>
                <w:color w:val="auto"/>
              </w:rPr>
            </w:pPr>
          </w:p>
        </w:tc>
        <w:tc>
          <w:tcPr>
            <w:tcW w:w="3660" w:type="dxa"/>
            <w:vAlign w:val="bottom"/>
            <w:gridSpan w:val="4"/>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3.</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Key Information</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3A.</w:t>
            </w:r>
          </w:p>
        </w:tc>
        <w:tc>
          <w:tcPr>
            <w:tcW w:w="12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Reserved</w:t>
            </w:r>
          </w:p>
        </w:tc>
        <w:tc>
          <w:tcPr>
            <w:tcW w:w="6460" w:type="dxa"/>
            <w:vAlign w:val="bottom"/>
            <w:gridSpan w:val="43"/>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3B.</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Capitalization and Indebtedness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3C.</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Reasons for the offer and use of proceeds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3D.</w:t>
            </w:r>
          </w:p>
        </w:tc>
        <w:tc>
          <w:tcPr>
            <w:tcW w:w="9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2040" w:type="dxa"/>
            <w:vAlign w:val="bottom"/>
            <w:tcBorders>
              <w:top w:val="single" w:sz="8" w:color="0000FF"/>
            </w:tcBorders>
            <w:gridSpan w:val="37"/>
          </w:tcPr>
          <w:p>
            <w:pPr>
              <w:spacing w:after="0"/>
              <w:rPr>
                <w:sz w:val="19"/>
                <w:szCs w:val="19"/>
                <w:color w:val="auto"/>
              </w:rPr>
            </w:pPr>
          </w:p>
        </w:tc>
        <w:tc>
          <w:tcPr>
            <w:tcW w:w="4680" w:type="dxa"/>
            <w:vAlign w:val="bottom"/>
            <w:gridSpan w:val="10"/>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4.</w:t>
            </w:r>
          </w:p>
        </w:tc>
        <w:tc>
          <w:tcPr>
            <w:tcW w:w="210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Information on the Company</w:t>
            </w:r>
          </w:p>
        </w:tc>
        <w:tc>
          <w:tcPr>
            <w:tcW w:w="5560" w:type="dxa"/>
            <w:vAlign w:val="bottom"/>
            <w:gridSpan w:val="21"/>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4A.</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History and Development of Opthea</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4B.</w:t>
            </w:r>
          </w:p>
        </w:tc>
        <w:tc>
          <w:tcPr>
            <w:tcW w:w="140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Business Overview</w:t>
            </w:r>
          </w:p>
        </w:tc>
        <w:tc>
          <w:tcPr>
            <w:tcW w:w="20" w:type="dxa"/>
            <w:vAlign w:val="bottom"/>
            <w:tcBorders>
              <w:top w:val="single" w:sz="8" w:color="0000FF"/>
              <w:bottom w:val="single" w:sz="8" w:color="0000EE"/>
            </w:tcBorders>
          </w:tcPr>
          <w:p>
            <w:pPr>
              <w:spacing w:after="0"/>
              <w:rPr>
                <w:sz w:val="19"/>
                <w:szCs w:val="19"/>
                <w:color w:val="auto"/>
              </w:rPr>
            </w:pPr>
          </w:p>
        </w:tc>
        <w:tc>
          <w:tcPr>
            <w:tcW w:w="1200" w:type="dxa"/>
            <w:vAlign w:val="bottom"/>
            <w:tcBorders>
              <w:top w:val="single" w:sz="8" w:color="0000FF"/>
            </w:tcBorders>
            <w:gridSpan w:val="24"/>
          </w:tcPr>
          <w:p>
            <w:pPr>
              <w:spacing w:after="0"/>
              <w:rPr>
                <w:sz w:val="19"/>
                <w:szCs w:val="19"/>
                <w:color w:val="auto"/>
              </w:rPr>
            </w:pPr>
          </w:p>
        </w:tc>
        <w:tc>
          <w:tcPr>
            <w:tcW w:w="5040" w:type="dxa"/>
            <w:vAlign w:val="bottom"/>
            <w:gridSpan w:val="12"/>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4C.</w:t>
            </w:r>
          </w:p>
        </w:tc>
        <w:tc>
          <w:tcPr>
            <w:tcW w:w="178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Organizational Structure</w:t>
            </w:r>
          </w:p>
        </w:tc>
        <w:tc>
          <w:tcPr>
            <w:tcW w:w="60" w:type="dxa"/>
            <w:vAlign w:val="bottom"/>
            <w:tcBorders>
              <w:bottom w:val="single" w:sz="8" w:color="0000EE"/>
            </w:tcBorders>
          </w:tcPr>
          <w:p>
            <w:pPr>
              <w:spacing w:after="0"/>
              <w:rPr>
                <w:sz w:val="19"/>
                <w:szCs w:val="19"/>
                <w:color w:val="auto"/>
              </w:rPr>
            </w:pPr>
          </w:p>
        </w:tc>
        <w:tc>
          <w:tcPr>
            <w:tcW w:w="5820" w:type="dxa"/>
            <w:vAlign w:val="bottom"/>
            <w:gridSpan w:val="26"/>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118</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4D.</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Property, Plants and Equipment</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118</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4A.</w:t>
            </w:r>
          </w:p>
        </w:tc>
        <w:tc>
          <w:tcPr>
            <w:tcW w:w="2060" w:type="dxa"/>
            <w:vAlign w:val="bottom"/>
            <w:tcBorders>
              <w:top w:val="single" w:sz="8" w:color="0000FF"/>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20" w:type="dxa"/>
            <w:vAlign w:val="bottom"/>
            <w:tcBorders>
              <w:top w:val="single" w:sz="8" w:color="0000FF"/>
              <w:bottom w:val="single" w:sz="8" w:color="0000EE"/>
            </w:tcBorders>
          </w:tcPr>
          <w:p>
            <w:pPr>
              <w:spacing w:after="0"/>
              <w:rPr>
                <w:sz w:val="19"/>
                <w:szCs w:val="19"/>
                <w:color w:val="auto"/>
              </w:rPr>
            </w:pPr>
          </w:p>
        </w:tc>
        <w:tc>
          <w:tcPr>
            <w:tcW w:w="220" w:type="dxa"/>
            <w:vAlign w:val="bottom"/>
            <w:tcBorders>
              <w:top w:val="single" w:sz="8" w:color="0000FF"/>
            </w:tcBorders>
            <w:gridSpan w:val="5"/>
          </w:tcPr>
          <w:p>
            <w:pPr>
              <w:spacing w:after="0"/>
              <w:rPr>
                <w:sz w:val="19"/>
                <w:szCs w:val="19"/>
                <w:color w:val="auto"/>
              </w:rPr>
            </w:pPr>
          </w:p>
        </w:tc>
        <w:tc>
          <w:tcPr>
            <w:tcW w:w="5360" w:type="dxa"/>
            <w:vAlign w:val="bottom"/>
            <w:gridSpan w:val="17"/>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118</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5.</w:t>
            </w:r>
          </w:p>
        </w:tc>
        <w:tc>
          <w:tcPr>
            <w:tcW w:w="3380" w:type="dxa"/>
            <w:vAlign w:val="bottom"/>
            <w:tcBorders>
              <w:bottom w:val="single" w:sz="8" w:color="0000FF"/>
            </w:tcBorders>
            <w:gridSpan w:val="46"/>
          </w:tcPr>
          <w:p>
            <w:pPr>
              <w:spacing w:after="0"/>
              <w:rPr>
                <w:sz w:val="20"/>
                <w:szCs w:val="20"/>
                <w:color w:val="auto"/>
              </w:rPr>
            </w:pPr>
            <w:r>
              <w:rPr>
                <w:rFonts w:ascii="Times New Roman" w:cs="Times New Roman" w:eastAsia="Times New Roman" w:hAnsi="Times New Roman"/>
                <w:sz w:val="18"/>
                <w:szCs w:val="18"/>
                <w:color w:val="0000FF"/>
                <w:w w:val="99"/>
              </w:rPr>
              <w:t>Operating and Financial Review and Prospects</w:t>
            </w:r>
          </w:p>
        </w:tc>
        <w:tc>
          <w:tcPr>
            <w:tcW w:w="4280" w:type="dxa"/>
            <w:vAlign w:val="bottom"/>
            <w:gridSpan w:val="8"/>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118</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5A.</w:t>
            </w:r>
          </w:p>
        </w:tc>
        <w:tc>
          <w:tcPr>
            <w:tcW w:w="13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Operating Results</w:t>
            </w:r>
          </w:p>
        </w:tc>
        <w:tc>
          <w:tcPr>
            <w:tcW w:w="20" w:type="dxa"/>
            <w:vAlign w:val="bottom"/>
            <w:tcBorders>
              <w:bottom w:val="single" w:sz="8" w:color="0000EE"/>
            </w:tcBorders>
          </w:tcPr>
          <w:p>
            <w:pPr>
              <w:spacing w:after="0"/>
              <w:rPr>
                <w:sz w:val="19"/>
                <w:szCs w:val="19"/>
                <w:color w:val="auto"/>
              </w:rPr>
            </w:pPr>
          </w:p>
        </w:tc>
        <w:tc>
          <w:tcPr>
            <w:tcW w:w="6340" w:type="dxa"/>
            <w:vAlign w:val="bottom"/>
            <w:gridSpan w:val="40"/>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121</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5B.</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Liquidity and Capital Resources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127</w:t>
            </w:r>
          </w:p>
        </w:tc>
      </w:tr>
      <w:tr>
        <w:trPr>
          <w:trHeight w:val="20"/>
        </w:trPr>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5C.</w:t>
            </w:r>
          </w:p>
        </w:tc>
        <w:tc>
          <w:tcPr>
            <w:tcW w:w="3600" w:type="dxa"/>
            <w:vAlign w:val="bottom"/>
            <w:tcBorders>
              <w:bottom w:val="single" w:sz="8" w:color="0000FF"/>
            </w:tcBorders>
            <w:gridSpan w:val="47"/>
          </w:tcPr>
          <w:p>
            <w:pPr>
              <w:spacing w:after="0"/>
              <w:rPr>
                <w:sz w:val="20"/>
                <w:szCs w:val="20"/>
                <w:color w:val="auto"/>
              </w:rPr>
            </w:pPr>
            <w:r>
              <w:rPr>
                <w:rFonts w:ascii="Times New Roman" w:cs="Times New Roman" w:eastAsia="Times New Roman" w:hAnsi="Times New Roman"/>
                <w:sz w:val="18"/>
                <w:szCs w:val="18"/>
                <w:color w:val="0000FF"/>
                <w:w w:val="99"/>
              </w:rPr>
              <w:t>Research and Development, Patents and Licenses</w:t>
            </w:r>
          </w:p>
        </w:tc>
        <w:tc>
          <w:tcPr>
            <w:tcW w:w="4060" w:type="dxa"/>
            <w:vAlign w:val="bottom"/>
            <w:gridSpan w:val="7"/>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133</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5D.</w:t>
            </w:r>
          </w:p>
        </w:tc>
        <w:tc>
          <w:tcPr>
            <w:tcW w:w="1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Trend Information</w:t>
            </w:r>
          </w:p>
        </w:tc>
        <w:tc>
          <w:tcPr>
            <w:tcW w:w="6300" w:type="dxa"/>
            <w:vAlign w:val="bottom"/>
            <w:gridSpan w:val="39"/>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133</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5E.</w:t>
            </w:r>
          </w:p>
        </w:tc>
        <w:tc>
          <w:tcPr>
            <w:tcW w:w="2180" w:type="dxa"/>
            <w:vAlign w:val="bottom"/>
            <w:tcBorders>
              <w:bottom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w w:val="99"/>
              </w:rPr>
              <w:t>Critical Accounting Estimates</w:t>
            </w:r>
          </w:p>
        </w:tc>
        <w:tc>
          <w:tcPr>
            <w:tcW w:w="20" w:type="dxa"/>
            <w:vAlign w:val="bottom"/>
            <w:tcBorders>
              <w:bottom w:val="single" w:sz="8" w:color="0000EE"/>
            </w:tcBorders>
          </w:tcPr>
          <w:p>
            <w:pPr>
              <w:spacing w:after="0"/>
              <w:rPr>
                <w:sz w:val="19"/>
                <w:szCs w:val="19"/>
                <w:color w:val="auto"/>
              </w:rPr>
            </w:pPr>
          </w:p>
        </w:tc>
        <w:tc>
          <w:tcPr>
            <w:tcW w:w="5460" w:type="dxa"/>
            <w:vAlign w:val="bottom"/>
            <w:gridSpan w:val="18"/>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133</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6.</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Directors, Senior Management and Employees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137</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6A.</w:t>
            </w:r>
          </w:p>
        </w:tc>
        <w:tc>
          <w:tcPr>
            <w:tcW w:w="2480" w:type="dxa"/>
            <w:vAlign w:val="bottom"/>
            <w:tcBorders>
              <w:top w:val="single" w:sz="8" w:color="0000FF"/>
              <w:bottom w:val="single" w:sz="8" w:color="0000FF"/>
            </w:tcBorders>
            <w:gridSpan w:val="39"/>
          </w:tcPr>
          <w:p>
            <w:pPr>
              <w:spacing w:after="0"/>
              <w:rPr>
                <w:sz w:val="20"/>
                <w:szCs w:val="20"/>
                <w:color w:val="auto"/>
              </w:rPr>
            </w:pPr>
            <w:r>
              <w:rPr>
                <w:rFonts w:ascii="Times New Roman" w:cs="Times New Roman" w:eastAsia="Times New Roman" w:hAnsi="Times New Roman"/>
                <w:sz w:val="18"/>
                <w:szCs w:val="18"/>
                <w:color w:val="0000FF"/>
                <w:w w:val="99"/>
              </w:rPr>
              <w:t>Directors and Senior Management</w:t>
            </w:r>
          </w:p>
        </w:tc>
        <w:tc>
          <w:tcPr>
            <w:tcW w:w="880" w:type="dxa"/>
            <w:vAlign w:val="bottom"/>
            <w:tcBorders>
              <w:top w:val="single" w:sz="8" w:color="0000FF"/>
            </w:tcBorders>
            <w:gridSpan w:val="6"/>
          </w:tcPr>
          <w:p>
            <w:pPr>
              <w:spacing w:after="0"/>
              <w:rPr>
                <w:sz w:val="19"/>
                <w:szCs w:val="19"/>
                <w:color w:val="auto"/>
              </w:rPr>
            </w:pPr>
          </w:p>
        </w:tc>
        <w:tc>
          <w:tcPr>
            <w:tcW w:w="4300" w:type="dxa"/>
            <w:vAlign w:val="bottom"/>
            <w:gridSpan w:val="9"/>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137</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6B.</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Compensation</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142</w:t>
            </w:r>
          </w:p>
        </w:tc>
      </w:tr>
      <w:tr>
        <w:trPr>
          <w:trHeight w:val="20"/>
        </w:trPr>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6C.</w:t>
            </w:r>
          </w:p>
        </w:tc>
        <w:tc>
          <w:tcPr>
            <w:tcW w:w="11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Board Practices</w:t>
            </w:r>
          </w:p>
        </w:tc>
        <w:tc>
          <w:tcPr>
            <w:tcW w:w="6520" w:type="dxa"/>
            <w:vAlign w:val="bottom"/>
            <w:gridSpan w:val="44"/>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146</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6D.</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Employees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150</w:t>
            </w:r>
          </w:p>
        </w:tc>
      </w:tr>
      <w:tr>
        <w:trPr>
          <w:trHeight w:val="20"/>
        </w:trPr>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6E.</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Share Ownership</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150</w:t>
            </w:r>
          </w:p>
        </w:tc>
      </w:tr>
      <w:tr>
        <w:trPr>
          <w:trHeight w:val="20"/>
        </w:trPr>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6F.</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Disclosure of a Registrant's Action to Recover Erroneously Awarded Compensation</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151</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7.</w:t>
            </w:r>
          </w:p>
        </w:tc>
        <w:tc>
          <w:tcPr>
            <w:tcW w:w="3720" w:type="dxa"/>
            <w:vAlign w:val="bottom"/>
            <w:tcBorders>
              <w:top w:val="single" w:sz="8" w:color="0000FF"/>
              <w:bottom w:val="single" w:sz="8" w:color="0000FF"/>
            </w:tcBorders>
            <w:gridSpan w:val="48"/>
          </w:tcPr>
          <w:p>
            <w:pPr>
              <w:spacing w:after="0"/>
              <w:rPr>
                <w:sz w:val="20"/>
                <w:szCs w:val="20"/>
                <w:color w:val="auto"/>
              </w:rPr>
            </w:pPr>
            <w:r>
              <w:rPr>
                <w:rFonts w:ascii="Times New Roman" w:cs="Times New Roman" w:eastAsia="Times New Roman" w:hAnsi="Times New Roman"/>
                <w:sz w:val="18"/>
                <w:szCs w:val="18"/>
                <w:color w:val="0000FF"/>
                <w:w w:val="99"/>
              </w:rPr>
              <w:t>Major Shareholders and Related Party Transactions</w:t>
            </w:r>
          </w:p>
        </w:tc>
        <w:tc>
          <w:tcPr>
            <w:tcW w:w="2320" w:type="dxa"/>
            <w:vAlign w:val="bottom"/>
            <w:tcBorders>
              <w:top w:val="single" w:sz="8" w:color="0000FF"/>
            </w:tcBorders>
            <w:gridSpan w:val="5"/>
          </w:tcPr>
          <w:p>
            <w:pPr>
              <w:spacing w:after="0"/>
              <w:rPr>
                <w:sz w:val="19"/>
                <w:szCs w:val="19"/>
                <w:color w:val="auto"/>
              </w:rPr>
            </w:pPr>
          </w:p>
        </w:tc>
        <w:tc>
          <w:tcPr>
            <w:tcW w:w="1620" w:type="dxa"/>
            <w:vAlign w:val="bottom"/>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151</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7A.</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Major Shareholders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151</w:t>
            </w:r>
          </w:p>
        </w:tc>
      </w:tr>
      <w:tr>
        <w:trPr>
          <w:trHeight w:val="20"/>
        </w:trPr>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7B.</w:t>
            </w:r>
          </w:p>
        </w:tc>
        <w:tc>
          <w:tcPr>
            <w:tcW w:w="194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8"/>
              </w:rPr>
              <w:t>Related Party Transactions</w:t>
            </w:r>
          </w:p>
        </w:tc>
        <w:tc>
          <w:tcPr>
            <w:tcW w:w="20" w:type="dxa"/>
            <w:vAlign w:val="bottom"/>
            <w:tcBorders>
              <w:bottom w:val="single" w:sz="8" w:color="0000EE"/>
            </w:tcBorders>
          </w:tcPr>
          <w:p>
            <w:pPr>
              <w:spacing w:after="0"/>
              <w:rPr>
                <w:sz w:val="19"/>
                <w:szCs w:val="19"/>
                <w:color w:val="auto"/>
              </w:rPr>
            </w:pPr>
          </w:p>
        </w:tc>
        <w:tc>
          <w:tcPr>
            <w:tcW w:w="5700" w:type="dxa"/>
            <w:vAlign w:val="bottom"/>
            <w:gridSpan w:val="24"/>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153</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7C.</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Interests of Experts and Counsel</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155</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8.</w:t>
            </w:r>
          </w:p>
        </w:tc>
        <w:tc>
          <w:tcPr>
            <w:tcW w:w="1600" w:type="dxa"/>
            <w:vAlign w:val="bottom"/>
            <w:tcBorders>
              <w:top w:val="single" w:sz="8" w:color="0000FF"/>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20" w:type="dxa"/>
            <w:vAlign w:val="bottom"/>
            <w:tcBorders>
              <w:top w:val="single" w:sz="8" w:color="0000FF"/>
              <w:bottom w:val="single" w:sz="8" w:color="0000EE"/>
            </w:tcBorders>
          </w:tcPr>
          <w:p>
            <w:pPr>
              <w:spacing w:after="0"/>
              <w:rPr>
                <w:sz w:val="19"/>
                <w:szCs w:val="19"/>
                <w:color w:val="auto"/>
              </w:rPr>
            </w:pPr>
          </w:p>
        </w:tc>
        <w:tc>
          <w:tcPr>
            <w:tcW w:w="720" w:type="dxa"/>
            <w:vAlign w:val="bottom"/>
            <w:tcBorders>
              <w:top w:val="single" w:sz="8" w:color="0000FF"/>
            </w:tcBorders>
            <w:gridSpan w:val="15"/>
          </w:tcPr>
          <w:p>
            <w:pPr>
              <w:spacing w:after="0"/>
              <w:rPr>
                <w:sz w:val="19"/>
                <w:szCs w:val="19"/>
                <w:color w:val="auto"/>
              </w:rPr>
            </w:pPr>
          </w:p>
        </w:tc>
        <w:tc>
          <w:tcPr>
            <w:tcW w:w="5320" w:type="dxa"/>
            <w:vAlign w:val="bottom"/>
            <w:gridSpan w:val="16"/>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156</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8A.</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Consolidated Statements and Other Financial Information</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156</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8B.</w:t>
            </w:r>
          </w:p>
        </w:tc>
        <w:tc>
          <w:tcPr>
            <w:tcW w:w="4160" w:type="dxa"/>
            <w:vAlign w:val="bottom"/>
            <w:tcBorders>
              <w:top w:val="single" w:sz="8" w:color="0000FF"/>
            </w:tcBorders>
            <w:gridSpan w:val="51"/>
          </w:tcPr>
          <w:p>
            <w:pPr>
              <w:spacing w:after="0"/>
              <w:rPr>
                <w:sz w:val="20"/>
                <w:szCs w:val="20"/>
                <w:color w:val="auto"/>
              </w:rPr>
            </w:pPr>
            <w:r>
              <w:rPr>
                <w:rFonts w:ascii="Times New Roman" w:cs="Times New Roman" w:eastAsia="Times New Roman" w:hAnsi="Times New Roman"/>
                <w:sz w:val="18"/>
                <w:szCs w:val="18"/>
                <w:color w:val="0000FF"/>
              </w:rPr>
              <w:t>Significant Changes</w:t>
            </w:r>
          </w:p>
        </w:tc>
        <w:tc>
          <w:tcPr>
            <w:tcW w:w="3500" w:type="dxa"/>
            <w:vAlign w:val="bottom"/>
            <w:gridSpan w:val="3"/>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156</w:t>
            </w:r>
          </w:p>
        </w:tc>
      </w:tr>
      <w:tr>
        <w:trPr>
          <w:trHeight w:val="20"/>
        </w:trPr>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9.</w:t>
            </w:r>
          </w:p>
        </w:tc>
        <w:tc>
          <w:tcPr>
            <w:tcW w:w="16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The Offer and Listing</w:t>
            </w:r>
          </w:p>
        </w:tc>
        <w:tc>
          <w:tcPr>
            <w:tcW w:w="6060" w:type="dxa"/>
            <w:vAlign w:val="bottom"/>
            <w:gridSpan w:val="32"/>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156</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9A.</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Offer and Listing Details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156</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9B.</w:t>
            </w:r>
          </w:p>
        </w:tc>
        <w:tc>
          <w:tcPr>
            <w:tcW w:w="146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380" w:type="dxa"/>
            <w:vAlign w:val="bottom"/>
            <w:tcBorders>
              <w:top w:val="single" w:sz="8" w:color="0000FF"/>
            </w:tcBorders>
            <w:gridSpan w:val="9"/>
          </w:tcPr>
          <w:p>
            <w:pPr>
              <w:spacing w:after="0"/>
              <w:rPr>
                <w:sz w:val="19"/>
                <w:szCs w:val="19"/>
                <w:color w:val="auto"/>
              </w:rPr>
            </w:pPr>
          </w:p>
        </w:tc>
        <w:tc>
          <w:tcPr>
            <w:tcW w:w="5820" w:type="dxa"/>
            <w:vAlign w:val="bottom"/>
            <w:gridSpan w:val="26"/>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156</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9C.</w:t>
            </w: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Markets</w:t>
            </w:r>
          </w:p>
        </w:tc>
        <w:tc>
          <w:tcPr>
            <w:tcW w:w="20" w:type="dxa"/>
            <w:vAlign w:val="bottom"/>
            <w:tcBorders>
              <w:bottom w:val="single" w:sz="8" w:color="0000EE"/>
            </w:tcBorders>
          </w:tcPr>
          <w:p>
            <w:pPr>
              <w:spacing w:after="0"/>
              <w:rPr>
                <w:sz w:val="19"/>
                <w:szCs w:val="19"/>
                <w:color w:val="auto"/>
              </w:rPr>
            </w:pPr>
          </w:p>
        </w:tc>
        <w:tc>
          <w:tcPr>
            <w:tcW w:w="7040" w:type="dxa"/>
            <w:vAlign w:val="bottom"/>
            <w:gridSpan w:val="52"/>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156</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9D.</w:t>
            </w:r>
          </w:p>
        </w:tc>
        <w:tc>
          <w:tcPr>
            <w:tcW w:w="15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8"/>
              </w:rPr>
              <w:t>Selling Shareholders</w:t>
            </w:r>
          </w:p>
        </w:tc>
        <w:tc>
          <w:tcPr>
            <w:tcW w:w="6160" w:type="dxa"/>
            <w:vAlign w:val="bottom"/>
            <w:gridSpan w:val="34"/>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156</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9E.</w:t>
            </w:r>
          </w:p>
        </w:tc>
        <w:tc>
          <w:tcPr>
            <w:tcW w:w="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Dilution</w:t>
            </w:r>
          </w:p>
        </w:tc>
        <w:tc>
          <w:tcPr>
            <w:tcW w:w="60" w:type="dxa"/>
            <w:vAlign w:val="bottom"/>
            <w:tcBorders>
              <w:bottom w:val="single" w:sz="8" w:color="0000EE"/>
            </w:tcBorders>
          </w:tcPr>
          <w:p>
            <w:pPr>
              <w:spacing w:after="0"/>
              <w:rPr>
                <w:sz w:val="19"/>
                <w:szCs w:val="19"/>
                <w:color w:val="auto"/>
              </w:rPr>
            </w:pPr>
          </w:p>
        </w:tc>
        <w:tc>
          <w:tcPr>
            <w:tcW w:w="6980" w:type="dxa"/>
            <w:vAlign w:val="bottom"/>
            <w:gridSpan w:val="51"/>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156</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9F.</w:t>
            </w:r>
          </w:p>
        </w:tc>
        <w:tc>
          <w:tcPr>
            <w:tcW w:w="15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7"/>
              </w:rPr>
              <w:t>Expenses of the Issue</w:t>
            </w:r>
          </w:p>
        </w:tc>
        <w:tc>
          <w:tcPr>
            <w:tcW w:w="40" w:type="dxa"/>
            <w:vAlign w:val="bottom"/>
            <w:tcBorders>
              <w:bottom w:val="single" w:sz="8" w:color="0000EE"/>
            </w:tcBorders>
          </w:tcPr>
          <w:p>
            <w:pPr>
              <w:spacing w:after="0"/>
              <w:rPr>
                <w:sz w:val="19"/>
                <w:szCs w:val="19"/>
                <w:color w:val="auto"/>
              </w:rPr>
            </w:pPr>
          </w:p>
        </w:tc>
        <w:tc>
          <w:tcPr>
            <w:tcW w:w="6060" w:type="dxa"/>
            <w:vAlign w:val="bottom"/>
            <w:gridSpan w:val="32"/>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156</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10.</w:t>
            </w:r>
          </w:p>
        </w:tc>
        <w:tc>
          <w:tcPr>
            <w:tcW w:w="168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Additional Information</w:t>
            </w:r>
          </w:p>
        </w:tc>
        <w:tc>
          <w:tcPr>
            <w:tcW w:w="5980" w:type="dxa"/>
            <w:vAlign w:val="bottom"/>
            <w:gridSpan w:val="29"/>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157</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10A.</w:t>
            </w:r>
          </w:p>
        </w:tc>
        <w:tc>
          <w:tcPr>
            <w:tcW w:w="10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Share Capital</w:t>
            </w:r>
          </w:p>
        </w:tc>
        <w:tc>
          <w:tcPr>
            <w:tcW w:w="6600" w:type="dxa"/>
            <w:vAlign w:val="bottom"/>
            <w:gridSpan w:val="46"/>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157</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10B.</w:t>
            </w:r>
          </w:p>
        </w:tc>
        <w:tc>
          <w:tcPr>
            <w:tcW w:w="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Constitution</w:t>
            </w:r>
          </w:p>
        </w:tc>
        <w:tc>
          <w:tcPr>
            <w:tcW w:w="20" w:type="dxa"/>
            <w:vAlign w:val="bottom"/>
            <w:tcBorders>
              <w:bottom w:val="single" w:sz="8" w:color="0000EE"/>
            </w:tcBorders>
          </w:tcPr>
          <w:p>
            <w:pPr>
              <w:spacing w:after="0"/>
              <w:rPr>
                <w:sz w:val="19"/>
                <w:szCs w:val="19"/>
                <w:color w:val="auto"/>
              </w:rPr>
            </w:pPr>
          </w:p>
        </w:tc>
        <w:tc>
          <w:tcPr>
            <w:tcW w:w="6740" w:type="dxa"/>
            <w:vAlign w:val="bottom"/>
            <w:gridSpan w:val="48"/>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157</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10C.</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Material Contracts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157</w:t>
            </w:r>
          </w:p>
        </w:tc>
      </w:tr>
      <w:tr>
        <w:trPr>
          <w:trHeight w:val="20"/>
        </w:trPr>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EE"/>
            </w:tcBorders>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10D.</w:t>
            </w:r>
          </w:p>
        </w:tc>
        <w:tc>
          <w:tcPr>
            <w:tcW w:w="13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8"/>
              </w:rPr>
              <w:t>Exchange Controls</w:t>
            </w:r>
          </w:p>
        </w:tc>
        <w:tc>
          <w:tcPr>
            <w:tcW w:w="6280" w:type="dxa"/>
            <w:vAlign w:val="bottom"/>
            <w:gridSpan w:val="38"/>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157</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10E.</w:t>
            </w:r>
          </w:p>
        </w:tc>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Taxation</w:t>
            </w:r>
          </w:p>
        </w:tc>
        <w:tc>
          <w:tcPr>
            <w:tcW w:w="6980" w:type="dxa"/>
            <w:vAlign w:val="bottom"/>
            <w:gridSpan w:val="51"/>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157</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10F.</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Dividends and Paying Agents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165</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10G.</w:t>
            </w:r>
          </w:p>
        </w:tc>
        <w:tc>
          <w:tcPr>
            <w:tcW w:w="2140" w:type="dxa"/>
            <w:vAlign w:val="bottom"/>
            <w:tcBorders>
              <w:top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rPr>
              <w:t>Statement by Experts</w:t>
            </w:r>
          </w:p>
        </w:tc>
        <w:tc>
          <w:tcPr>
            <w:tcW w:w="5520" w:type="dxa"/>
            <w:vAlign w:val="bottom"/>
            <w:gridSpan w:val="20"/>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165</w:t>
            </w:r>
          </w:p>
        </w:tc>
      </w:tr>
      <w:tr>
        <w:trPr>
          <w:trHeight w:val="20"/>
        </w:trPr>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00" w:type="dxa"/>
            <w:vAlign w:val="bottom"/>
            <w:gridSpan w:val="9"/>
            <w:shd w:val="clear" w:color="auto" w:fill="0000FF"/>
          </w:tcPr>
          <w:p>
            <w:pPr>
              <w:spacing w:after="0" w:line="20" w:lineRule="exact"/>
              <w:rPr>
                <w:sz w:val="1"/>
                <w:szCs w:val="1"/>
                <w:color w:val="auto"/>
              </w:rPr>
            </w:pPr>
          </w:p>
        </w:tc>
        <w:tc>
          <w:tcPr>
            <w:tcW w:w="360" w:type="dxa"/>
            <w:vAlign w:val="bottom"/>
            <w:tcBorders>
              <w:right w:val="single" w:sz="8" w:color="0000FF"/>
            </w:tcBorders>
            <w:gridSpan w:val="10"/>
            <w:shd w:val="clear" w:color="auto" w:fill="0000FF"/>
          </w:tcPr>
          <w:p>
            <w:pPr>
              <w:spacing w:after="0" w:line="20" w:lineRule="exact"/>
              <w:rPr>
                <w:sz w:val="1"/>
                <w:szCs w:val="1"/>
                <w:color w:val="auto"/>
              </w:rPr>
            </w:pPr>
          </w:p>
        </w:tc>
        <w:tc>
          <w:tcPr>
            <w:tcW w:w="10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2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10H.</w:t>
            </w:r>
          </w:p>
        </w:tc>
        <w:tc>
          <w:tcPr>
            <w:tcW w:w="16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Documents on Display</w:t>
            </w:r>
          </w:p>
        </w:tc>
        <w:tc>
          <w:tcPr>
            <w:tcW w:w="40" w:type="dxa"/>
            <w:vAlign w:val="bottom"/>
            <w:tcBorders>
              <w:bottom w:val="single" w:sz="8" w:color="0000EE"/>
            </w:tcBorders>
            <w:gridSpan w:val="2"/>
          </w:tcPr>
          <w:p>
            <w:pPr>
              <w:spacing w:after="0"/>
              <w:rPr>
                <w:sz w:val="19"/>
                <w:szCs w:val="19"/>
                <w:color w:val="auto"/>
              </w:rPr>
            </w:pPr>
          </w:p>
        </w:tc>
        <w:tc>
          <w:tcPr>
            <w:tcW w:w="5960" w:type="dxa"/>
            <w:vAlign w:val="bottom"/>
            <w:gridSpan w:val="28"/>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165</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10I.</w:t>
            </w:r>
          </w:p>
        </w:tc>
        <w:tc>
          <w:tcPr>
            <w:tcW w:w="168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Subsidiary Information</w:t>
            </w:r>
          </w:p>
        </w:tc>
        <w:tc>
          <w:tcPr>
            <w:tcW w:w="20" w:type="dxa"/>
            <w:vAlign w:val="bottom"/>
            <w:tcBorders>
              <w:bottom w:val="single" w:sz="8" w:color="0000EE"/>
            </w:tcBorders>
          </w:tcPr>
          <w:p>
            <w:pPr>
              <w:spacing w:after="0"/>
              <w:rPr>
                <w:sz w:val="19"/>
                <w:szCs w:val="19"/>
                <w:color w:val="auto"/>
              </w:rPr>
            </w:pPr>
          </w:p>
        </w:tc>
        <w:tc>
          <w:tcPr>
            <w:tcW w:w="5960" w:type="dxa"/>
            <w:vAlign w:val="bottom"/>
            <w:gridSpan w:val="28"/>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165</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10J.</w:t>
            </w:r>
          </w:p>
        </w:tc>
        <w:tc>
          <w:tcPr>
            <w:tcW w:w="2520" w:type="dxa"/>
            <w:vAlign w:val="bottom"/>
            <w:tcBorders>
              <w:bottom w:val="single" w:sz="8" w:color="0000FF"/>
            </w:tcBorders>
            <w:gridSpan w:val="40"/>
          </w:tcPr>
          <w:p>
            <w:pPr>
              <w:spacing w:after="0"/>
              <w:rPr>
                <w:sz w:val="20"/>
                <w:szCs w:val="20"/>
                <w:color w:val="auto"/>
              </w:rPr>
            </w:pPr>
            <w:r>
              <w:rPr>
                <w:rFonts w:ascii="Times New Roman" w:cs="Times New Roman" w:eastAsia="Times New Roman" w:hAnsi="Times New Roman"/>
                <w:sz w:val="18"/>
                <w:szCs w:val="18"/>
                <w:color w:val="0000FF"/>
                <w:w w:val="99"/>
              </w:rPr>
              <w:t>Annual Report to Security Holders</w:t>
            </w:r>
          </w:p>
        </w:tc>
        <w:tc>
          <w:tcPr>
            <w:tcW w:w="20" w:type="dxa"/>
            <w:vAlign w:val="bottom"/>
            <w:tcBorders>
              <w:bottom w:val="single" w:sz="8" w:color="0000EE"/>
            </w:tcBorders>
          </w:tcPr>
          <w:p>
            <w:pPr>
              <w:spacing w:after="0"/>
              <w:rPr>
                <w:sz w:val="19"/>
                <w:szCs w:val="19"/>
                <w:color w:val="auto"/>
              </w:rPr>
            </w:pPr>
          </w:p>
        </w:tc>
        <w:tc>
          <w:tcPr>
            <w:tcW w:w="5120" w:type="dxa"/>
            <w:vAlign w:val="bottom"/>
            <w:gridSpan w:val="13"/>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166</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11.</w:t>
            </w:r>
          </w:p>
        </w:tc>
        <w:tc>
          <w:tcPr>
            <w:tcW w:w="4320" w:type="dxa"/>
            <w:vAlign w:val="bottom"/>
            <w:tcBorders>
              <w:bottom w:val="single" w:sz="8" w:color="0000FF"/>
            </w:tcBorders>
            <w:gridSpan w:val="5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340" w:type="dxa"/>
            <w:vAlign w:val="bottom"/>
            <w:gridSpan w:val="2"/>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166</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12.</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Description of Securities Other than Equity Securities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166</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12A.</w:t>
            </w:r>
          </w:p>
        </w:tc>
        <w:tc>
          <w:tcPr>
            <w:tcW w:w="3880" w:type="dxa"/>
            <w:vAlign w:val="bottom"/>
            <w:tcBorders>
              <w:top w:val="single" w:sz="8" w:color="0000FF"/>
            </w:tcBorders>
            <w:gridSpan w:val="49"/>
          </w:tcPr>
          <w:p>
            <w:pPr>
              <w:spacing w:after="0"/>
              <w:rPr>
                <w:sz w:val="20"/>
                <w:szCs w:val="20"/>
                <w:color w:val="auto"/>
              </w:rPr>
            </w:pPr>
            <w:r>
              <w:rPr>
                <w:rFonts w:ascii="Times New Roman" w:cs="Times New Roman" w:eastAsia="Times New Roman" w:hAnsi="Times New Roman"/>
                <w:sz w:val="18"/>
                <w:szCs w:val="18"/>
                <w:color w:val="0000FF"/>
              </w:rPr>
              <w:t>Debt Securities</w:t>
            </w:r>
          </w:p>
        </w:tc>
        <w:tc>
          <w:tcPr>
            <w:tcW w:w="3780" w:type="dxa"/>
            <w:vAlign w:val="bottom"/>
            <w:gridSpan w:val="5"/>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166</w:t>
            </w:r>
          </w:p>
        </w:tc>
      </w:tr>
      <w:tr>
        <w:trPr>
          <w:trHeight w:val="20"/>
        </w:trPr>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00" w:type="dxa"/>
            <w:vAlign w:val="bottom"/>
            <w:gridSpan w:val="9"/>
            <w:shd w:val="clear" w:color="auto" w:fill="0000FF"/>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6200" w:type="dxa"/>
            <w:vAlign w:val="bottom"/>
            <w:gridSpan w:val="35"/>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12B.</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Warrants and Rights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166</w:t>
            </w:r>
          </w:p>
        </w:tc>
      </w:tr>
      <w:tr>
        <w:trPr>
          <w:trHeight w:val="46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Borders>
              <w:top w:val="single" w:sz="8" w:color="0000FF"/>
            </w:tcBorders>
            <w:gridSpan w:val="19"/>
          </w:tcPr>
          <w:p>
            <w:pPr>
              <w:spacing w:after="0"/>
              <w:rPr>
                <w:sz w:val="24"/>
                <w:szCs w:val="24"/>
                <w:color w:val="auto"/>
              </w:rPr>
            </w:pPr>
          </w:p>
        </w:tc>
        <w:tc>
          <w:tcPr>
            <w:tcW w:w="2860" w:type="dxa"/>
            <w:vAlign w:val="bottom"/>
            <w:gridSpan w:val="3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0900"/>
          </w:cols>
          <w:pgMar w:left="340" w:top="1157" w:right="659" w:bottom="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479425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80" w:type="dxa"/>
            <w:vAlign w:val="bottom"/>
            <w:gridSpan w:val="8"/>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20" w:type="dxa"/>
            <w:vAlign w:val="bottom"/>
          </w:tcPr>
          <w:p>
            <w:pPr>
              <w:spacing w:after="0"/>
              <w:rPr>
                <w:sz w:val="20"/>
                <w:szCs w:val="20"/>
                <w:color w:val="auto"/>
              </w:rPr>
            </w:pPr>
          </w:p>
        </w:tc>
      </w:tr>
      <w:tr>
        <w:trPr>
          <w:trHeight w:val="194"/>
        </w:trPr>
        <w:tc>
          <w:tcPr>
            <w:tcW w:w="20" w:type="dxa"/>
            <w:vAlign w:val="bottom"/>
          </w:tcPr>
          <w:p>
            <w:pPr>
              <w:spacing w:after="0"/>
              <w:rPr>
                <w:sz w:val="16"/>
                <w:szCs w:val="16"/>
                <w:color w:val="auto"/>
              </w:rPr>
            </w:pPr>
          </w:p>
        </w:tc>
        <w:tc>
          <w:tcPr>
            <w:tcW w:w="1360" w:type="dxa"/>
            <w:vAlign w:val="bottom"/>
            <w:gridSpan w:val="5"/>
          </w:tcPr>
          <w:p>
            <w:pPr>
              <w:ind w:left="120"/>
              <w:spacing w:after="0" w:line="194" w:lineRule="exact"/>
              <w:rPr>
                <w:sz w:val="20"/>
                <w:szCs w:val="20"/>
                <w:color w:val="auto"/>
              </w:rPr>
            </w:pPr>
            <w:r>
              <w:rPr>
                <w:rFonts w:ascii="Times New Roman" w:cs="Times New Roman" w:eastAsia="Times New Roman" w:hAnsi="Times New Roman"/>
                <w:sz w:val="18"/>
                <w:szCs w:val="18"/>
                <w:color w:val="auto"/>
              </w:rPr>
              <w:t>12C.</w:t>
            </w:r>
          </w:p>
        </w:tc>
        <w:tc>
          <w:tcPr>
            <w:tcW w:w="744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Other Securities</w:t>
            </w:r>
          </w:p>
        </w:tc>
        <w:tc>
          <w:tcPr>
            <w:tcW w:w="242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color w:val="auto"/>
              </w:rPr>
              <w:t>166</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12D.</w:t>
            </w:r>
          </w:p>
        </w:tc>
        <w:tc>
          <w:tcPr>
            <w:tcW w:w="7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American Depositary Shares</w:t>
            </w: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166</w:t>
            </w:r>
          </w:p>
        </w:tc>
      </w:tr>
      <w:tr>
        <w:trPr>
          <w:trHeight w:val="331"/>
        </w:trPr>
        <w:tc>
          <w:tcPr>
            <w:tcW w:w="20" w:type="dxa"/>
            <w:vAlign w:val="bottom"/>
          </w:tcPr>
          <w:p>
            <w:pPr>
              <w:spacing w:after="0"/>
              <w:rPr>
                <w:sz w:val="24"/>
                <w:szCs w:val="24"/>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2"/>
              </w:rPr>
              <w:t>PART II</w:t>
            </w:r>
          </w:p>
        </w:tc>
        <w:tc>
          <w:tcPr>
            <w:tcW w:w="20" w:type="dxa"/>
            <w:vAlign w:val="bottom"/>
            <w:tcBorders>
              <w:bottom w:val="single" w:sz="8" w:color="0000EE"/>
            </w:tcBorders>
          </w:tcPr>
          <w:p>
            <w:pPr>
              <w:spacing w:after="0"/>
              <w:rPr>
                <w:sz w:val="24"/>
                <w:szCs w:val="24"/>
                <w:color w:val="auto"/>
              </w:rPr>
            </w:pPr>
          </w:p>
        </w:tc>
        <w:tc>
          <w:tcPr>
            <w:tcW w:w="740" w:type="dxa"/>
            <w:vAlign w:val="bottom"/>
            <w:gridSpan w:val="3"/>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169</w:t>
            </w:r>
          </w:p>
        </w:tc>
      </w:tr>
      <w:tr>
        <w:trPr>
          <w:trHeight w:val="331"/>
        </w:trPr>
        <w:tc>
          <w:tcPr>
            <w:tcW w:w="20" w:type="dxa"/>
            <w:vAlign w:val="bottom"/>
          </w:tcPr>
          <w:p>
            <w:pPr>
              <w:spacing w:after="0"/>
              <w:rPr>
                <w:sz w:val="24"/>
                <w:szCs w:val="24"/>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7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Defaults, Dividend Arrearages and Delinquencies</w:t>
            </w: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169</w:t>
            </w: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7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Material Modifications to the Rights of Security Holders and Use of Proceeds</w:t>
            </w: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169</w:t>
            </w: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15.</w:t>
            </w:r>
          </w:p>
        </w:tc>
        <w:tc>
          <w:tcPr>
            <w:tcW w:w="17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3820" w:type="dxa"/>
            <w:vAlign w:val="bottom"/>
            <w:tcBorders>
              <w:top w:val="single" w:sz="8" w:color="0000FF"/>
            </w:tcBorders>
            <w:gridSpan w:val="10"/>
          </w:tcPr>
          <w:p>
            <w:pPr>
              <w:spacing w:after="0"/>
              <w:rPr>
                <w:sz w:val="19"/>
                <w:szCs w:val="19"/>
                <w:color w:val="auto"/>
              </w:rPr>
            </w:pPr>
          </w:p>
        </w:tc>
        <w:tc>
          <w:tcPr>
            <w:tcW w:w="1840" w:type="dxa"/>
            <w:vAlign w:val="bottom"/>
          </w:tcPr>
          <w:p>
            <w:pPr>
              <w:spacing w:after="0"/>
              <w:rPr>
                <w:sz w:val="19"/>
                <w:szCs w:val="19"/>
                <w:color w:val="auto"/>
              </w:rPr>
            </w:pP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169</w:t>
            </w: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bottom w:val="single" w:sz="8" w:color="0000EE"/>
            </w:tcBorders>
          </w:tcPr>
          <w:p>
            <w:pPr>
              <w:spacing w:after="0"/>
              <w:rPr>
                <w:sz w:val="19"/>
                <w:szCs w:val="19"/>
                <w:color w:val="auto"/>
              </w:rPr>
            </w:pPr>
          </w:p>
        </w:tc>
        <w:tc>
          <w:tcPr>
            <w:tcW w:w="6740" w:type="dxa"/>
            <w:vAlign w:val="bottom"/>
            <w:gridSpan w:val="19"/>
          </w:tcPr>
          <w:p>
            <w:pPr>
              <w:spacing w:after="0"/>
              <w:rPr>
                <w:sz w:val="19"/>
                <w:szCs w:val="19"/>
                <w:color w:val="auto"/>
              </w:rPr>
            </w:pP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16A.</w:t>
            </w:r>
          </w:p>
        </w:tc>
        <w:tc>
          <w:tcPr>
            <w:tcW w:w="25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Audit Committee Financial Expert</w:t>
            </w:r>
          </w:p>
        </w:tc>
        <w:tc>
          <w:tcPr>
            <w:tcW w:w="4940" w:type="dxa"/>
            <w:vAlign w:val="bottom"/>
            <w:gridSpan w:val="9"/>
          </w:tcPr>
          <w:p>
            <w:pPr>
              <w:spacing w:after="0"/>
              <w:rPr>
                <w:sz w:val="19"/>
                <w:szCs w:val="19"/>
                <w:color w:val="auto"/>
              </w:rPr>
            </w:pP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16B.</w:t>
            </w:r>
          </w:p>
        </w:tc>
        <w:tc>
          <w:tcPr>
            <w:tcW w:w="10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Code of Ethics</w:t>
            </w:r>
          </w:p>
        </w:tc>
        <w:tc>
          <w:tcPr>
            <w:tcW w:w="100" w:type="dxa"/>
            <w:vAlign w:val="bottom"/>
            <w:tcBorders>
              <w:bottom w:val="single" w:sz="8" w:color="0000EE"/>
            </w:tcBorders>
          </w:tcPr>
          <w:p>
            <w:pPr>
              <w:spacing w:after="0"/>
              <w:rPr>
                <w:sz w:val="19"/>
                <w:szCs w:val="19"/>
                <w:color w:val="auto"/>
              </w:rPr>
            </w:pPr>
          </w:p>
        </w:tc>
        <w:tc>
          <w:tcPr>
            <w:tcW w:w="6260" w:type="dxa"/>
            <w:vAlign w:val="bottom"/>
            <w:gridSpan w:val="16"/>
          </w:tcPr>
          <w:p>
            <w:pPr>
              <w:spacing w:after="0"/>
              <w:rPr>
                <w:sz w:val="19"/>
                <w:szCs w:val="19"/>
                <w:color w:val="auto"/>
              </w:rPr>
            </w:pP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16C.</w:t>
            </w:r>
          </w:p>
        </w:tc>
        <w:tc>
          <w:tcPr>
            <w:tcW w:w="7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170</w:t>
            </w: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16D.</w:t>
            </w:r>
          </w:p>
        </w:tc>
        <w:tc>
          <w:tcPr>
            <w:tcW w:w="4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Exemptions from the Listing Standards for Audit Committees</w:t>
            </w:r>
          </w:p>
        </w:tc>
        <w:tc>
          <w:tcPr>
            <w:tcW w:w="20" w:type="dxa"/>
            <w:vAlign w:val="bottom"/>
            <w:tcBorders>
              <w:bottom w:val="single" w:sz="8" w:color="0000EE"/>
            </w:tcBorders>
          </w:tcPr>
          <w:p>
            <w:pPr>
              <w:spacing w:after="0"/>
              <w:rPr>
                <w:sz w:val="19"/>
                <w:szCs w:val="19"/>
                <w:color w:val="auto"/>
              </w:rPr>
            </w:pPr>
          </w:p>
        </w:tc>
        <w:tc>
          <w:tcPr>
            <w:tcW w:w="2960" w:type="dxa"/>
            <w:vAlign w:val="bottom"/>
            <w:gridSpan w:val="4"/>
          </w:tcPr>
          <w:p>
            <w:pPr>
              <w:spacing w:after="0"/>
              <w:rPr>
                <w:sz w:val="19"/>
                <w:szCs w:val="19"/>
                <w:color w:val="auto"/>
              </w:rPr>
            </w:pP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16E.</w:t>
            </w:r>
          </w:p>
        </w:tc>
        <w:tc>
          <w:tcPr>
            <w:tcW w:w="50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Purchases of Equity Securities by the Issuer and Affiliated Purchasers</w:t>
            </w:r>
          </w:p>
        </w:tc>
        <w:tc>
          <w:tcPr>
            <w:tcW w:w="2400" w:type="dxa"/>
            <w:vAlign w:val="bottom"/>
            <w:gridSpan w:val="2"/>
          </w:tcPr>
          <w:p>
            <w:pPr>
              <w:spacing w:after="0"/>
              <w:rPr>
                <w:sz w:val="19"/>
                <w:szCs w:val="19"/>
                <w:color w:val="auto"/>
              </w:rPr>
            </w:pP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16F.</w:t>
            </w:r>
          </w:p>
        </w:tc>
        <w:tc>
          <w:tcPr>
            <w:tcW w:w="7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 in Registrant’s Certifying Accountant</w:t>
            </w: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16G.</w:t>
            </w:r>
          </w:p>
        </w:tc>
        <w:tc>
          <w:tcPr>
            <w:tcW w:w="164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Corporate Governance</w:t>
            </w:r>
          </w:p>
        </w:tc>
        <w:tc>
          <w:tcPr>
            <w:tcW w:w="20" w:type="dxa"/>
            <w:vAlign w:val="bottom"/>
            <w:tcBorders>
              <w:top w:val="single" w:sz="8" w:color="0000FF"/>
              <w:bottom w:val="single" w:sz="8" w:color="0000EE"/>
            </w:tcBorders>
          </w:tcPr>
          <w:p>
            <w:pPr>
              <w:spacing w:after="0"/>
              <w:rPr>
                <w:sz w:val="19"/>
                <w:szCs w:val="19"/>
                <w:color w:val="auto"/>
              </w:rPr>
            </w:pPr>
          </w:p>
        </w:tc>
        <w:tc>
          <w:tcPr>
            <w:tcW w:w="1640" w:type="dxa"/>
            <w:vAlign w:val="bottom"/>
            <w:tcBorders>
              <w:top w:val="single" w:sz="8" w:color="0000FF"/>
            </w:tcBorders>
            <w:gridSpan w:val="6"/>
          </w:tcPr>
          <w:p>
            <w:pPr>
              <w:spacing w:after="0"/>
              <w:rPr>
                <w:sz w:val="19"/>
                <w:szCs w:val="19"/>
                <w:color w:val="auto"/>
              </w:rPr>
            </w:pPr>
          </w:p>
        </w:tc>
        <w:tc>
          <w:tcPr>
            <w:tcW w:w="4140" w:type="dxa"/>
            <w:vAlign w:val="bottom"/>
            <w:gridSpan w:val="7"/>
          </w:tcPr>
          <w:p>
            <w:pPr>
              <w:spacing w:after="0"/>
              <w:rPr>
                <w:sz w:val="19"/>
                <w:szCs w:val="19"/>
                <w:color w:val="auto"/>
              </w:rPr>
            </w:pP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16H.</w:t>
            </w:r>
          </w:p>
        </w:tc>
        <w:tc>
          <w:tcPr>
            <w:tcW w:w="7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172</w:t>
            </w: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EE"/>
            </w:tcBorders>
            <w:gridSpan w:val="3"/>
            <w:shd w:val="clear" w:color="auto" w:fill="0000FF"/>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16I.</w:t>
            </w:r>
          </w:p>
        </w:tc>
        <w:tc>
          <w:tcPr>
            <w:tcW w:w="7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172</w:t>
            </w: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16J.</w:t>
            </w:r>
          </w:p>
        </w:tc>
        <w:tc>
          <w:tcPr>
            <w:tcW w:w="49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Insider Trading Policies</w:t>
            </w:r>
          </w:p>
        </w:tc>
        <w:tc>
          <w:tcPr>
            <w:tcW w:w="2540" w:type="dxa"/>
            <w:vAlign w:val="bottom"/>
            <w:gridSpan w:val="3"/>
          </w:tcPr>
          <w:p>
            <w:pPr>
              <w:spacing w:after="0"/>
              <w:rPr>
                <w:sz w:val="19"/>
                <w:szCs w:val="19"/>
                <w:color w:val="auto"/>
              </w:rPr>
            </w:pP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172</w:t>
            </w: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16K</w:t>
            </w:r>
          </w:p>
        </w:tc>
        <w:tc>
          <w:tcPr>
            <w:tcW w:w="17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5720" w:type="dxa"/>
            <w:vAlign w:val="bottom"/>
            <w:gridSpan w:val="12"/>
          </w:tcPr>
          <w:p>
            <w:pPr>
              <w:spacing w:after="0"/>
              <w:rPr>
                <w:sz w:val="19"/>
                <w:szCs w:val="19"/>
                <w:color w:val="auto"/>
              </w:rPr>
            </w:pP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172</w:t>
            </w:r>
          </w:p>
        </w:tc>
      </w:tr>
      <w:tr>
        <w:trPr>
          <w:trHeight w:val="331"/>
        </w:trPr>
        <w:tc>
          <w:tcPr>
            <w:tcW w:w="20" w:type="dxa"/>
            <w:vAlign w:val="bottom"/>
          </w:tcPr>
          <w:p>
            <w:pPr>
              <w:spacing w:after="0"/>
              <w:rPr>
                <w:sz w:val="24"/>
                <w:szCs w:val="24"/>
                <w:color w:val="auto"/>
              </w:rPr>
            </w:pPr>
          </w:p>
        </w:tc>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3"/>
              </w:rPr>
              <w:t>PART III</w:t>
            </w:r>
          </w:p>
        </w:tc>
        <w:tc>
          <w:tcPr>
            <w:tcW w:w="20" w:type="dxa"/>
            <w:vAlign w:val="bottom"/>
            <w:tcBorders>
              <w:bottom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174</w:t>
            </w:r>
          </w:p>
        </w:tc>
      </w:tr>
      <w:tr>
        <w:trPr>
          <w:trHeight w:val="331"/>
        </w:trPr>
        <w:tc>
          <w:tcPr>
            <w:tcW w:w="20" w:type="dxa"/>
            <w:vAlign w:val="bottom"/>
          </w:tcPr>
          <w:p>
            <w:pPr>
              <w:spacing w:after="0"/>
              <w:rPr>
                <w:sz w:val="24"/>
                <w:szCs w:val="24"/>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17.</w:t>
            </w:r>
          </w:p>
        </w:tc>
        <w:tc>
          <w:tcPr>
            <w:tcW w:w="7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174</w:t>
            </w:r>
          </w:p>
        </w:tc>
      </w:tr>
      <w:tr>
        <w:trPr>
          <w:trHeight w:val="20"/>
        </w:trPr>
        <w:tc>
          <w:tcPr>
            <w:tcW w:w="2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gridSpan w:val="6"/>
            <w:shd w:val="clear" w:color="auto" w:fill="0000FF"/>
          </w:tcPr>
          <w:p>
            <w:pPr>
              <w:spacing w:after="0" w:line="20" w:lineRule="exact"/>
              <w:rPr>
                <w:sz w:val="1"/>
                <w:szCs w:val="1"/>
                <w:color w:val="auto"/>
              </w:rPr>
            </w:pPr>
          </w:p>
        </w:tc>
        <w:tc>
          <w:tcPr>
            <w:tcW w:w="5920" w:type="dxa"/>
            <w:vAlign w:val="bottom"/>
            <w:gridSpan w:val="15"/>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18.</w:t>
            </w:r>
          </w:p>
        </w:tc>
        <w:tc>
          <w:tcPr>
            <w:tcW w:w="7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174</w:t>
            </w: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19.</w:t>
            </w:r>
          </w:p>
        </w:tc>
        <w:tc>
          <w:tcPr>
            <w:tcW w:w="15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Exhibits</w:t>
            </w:r>
          </w:p>
        </w:tc>
        <w:tc>
          <w:tcPr>
            <w:tcW w:w="5920" w:type="dxa"/>
            <w:vAlign w:val="bottom"/>
            <w:gridSpan w:val="15"/>
          </w:tcPr>
          <w:p>
            <w:pPr>
              <w:spacing w:after="0"/>
              <w:rPr>
                <w:sz w:val="19"/>
                <w:szCs w:val="19"/>
                <w:color w:val="auto"/>
              </w:rPr>
            </w:pP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174</w:t>
            </w:r>
          </w:p>
        </w:tc>
      </w:tr>
      <w:tr>
        <w:trPr>
          <w:trHeight w:val="46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860" w:type="dxa"/>
            <w:vAlign w:val="bottom"/>
            <w:gridSpan w:val="16"/>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reporting and functional currency is the U.S. dollar, and our financial statements included elsewhere in this Annual Report on Form 20-F, or annual report, are presented in U.S. dollars. The consolidated financial statements and related notes included elsewhere in this annual report have been prepared under the International Financial Reporting Standards, or IFRS, as issued by the International Accounting Standards Board, or IASB, which differs in certain significant respects from U.S. Generally Accepted Accounting Principles, or GAAP.</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Except where the context requires otherwise and for purposes of this annual report only:</w:t>
      </w:r>
    </w:p>
    <w:p>
      <w:pPr>
        <w:spacing w:after="0" w:line="225" w:lineRule="exact"/>
        <w:rPr>
          <w:sz w:val="20"/>
          <w:szCs w:val="20"/>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each of which represents eight of our ordinary shares, no par value, and “ADRs” refers to the American depositary receipts that evidence our ADSs.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“Opthea,” “we,” “us” "Group" or “our” refer to Opthea Limited and its subsidiaries.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or “Australian dollar” refers to the legal currency of Australia.</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refers to the International Financial Reporting Standards as issued by the International Accounting Standards Board, or IASB.</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“AIFRS” refers to the Australian equivalents to International Financial Reporting Standards as issued by the Australian Accounting Standards Board, or AASB.</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the Generally Accepted Accounting Principles in the United States.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 refers to the European Medicines Agaency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refers to the United States Food and Drug Administration.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“U.S. dollars” refers to the legal currency of the United States.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“United States” refers to the United States of America.</w:t>
      </w:r>
    </w:p>
    <w:p>
      <w:pPr>
        <w:spacing w:after="0" w:line="22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231F20"/>
        </w:rPr>
        <w:t>Except with respect to U.S. dollar amounts presented as contractual terms, amounts denominated in U.S. dollars when received or paid and unless otherwise indicated, certain Australian dollar amounts contained in this annual report have been translated into U.S. dollars at the rate published by the Reserve Bank of Australia as of June 30, 2024. These translations should not be considered representations that any such amounts have been, could have been or could be converted into U.S. dollars or Australian dollars at that or any other exchange rate as of that or any other rate. We have made rounding adjustments to some of the figures included in this annual report. Accordingly, numerical figures shown as totals in some tables may not be an arithmetic aggregation of the figures that precede them.</w:t>
      </w:r>
    </w:p>
    <w:p>
      <w:pPr>
        <w:spacing w:after="0" w:line="1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This annual report includes trademarks, tradenames and service marks, certain of which belong to us and others that are the property of other organizations. Solely for convenience, trademarks and tradenames referred to in this annual report appear without the ® and ™ symbols, but the absence of those references is not intended to indicate, in any way, that we will not assert our rights or that the applicable owner will not assert its rights to these trademarks and tradenames to the fullest extent under applicable law. We do not intend our use or display of other parties’ trademarks, trade names or service marks to imply, and such use or display should not be construed to imply, a relationship with, or endorsement or sponsorship of us by, these other parties.</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July 2023, Opthea announced “sozinibercept” as the non-proprietary drug name for OPT-302. The American Medical Association’s United States Adopted Names (USAN) Council, in consultation with the World Health Organization’s International Non-proprietary Names (INN) Expert Committee, approved and adopted the non-proprietary drug name. Opthea will use the name sozinibercept in upcoming publications, public statements, and in corporate materials moving forward.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This annual report contains estimates and information concerning our industry and our business, including estimated market size and projected growth rates of the markets for our product candidates. Unless otherwise expressly stated, we obtained this industry, business, market, medical and other information from reports, research surveys, studies and similar data prepared by third parties, industry, medical and general publications, government data and similar sources.</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This information involves a number of assumptions and limitations. Although we are responsible for all of the disclosure contained in this annual report and we believe the third-party market position, market opportunity and market size data included in this annual report are reliable, we have not independently verified the accuracy or completeness of this third-party data. In addition, projections, assumptions and estimates of our future performance and the future performance of the industry in which we operate are necessarily subject to a high degree of uncertainty and risk due to a variety of factors, including those described in “Risk Factors” and in “Forward-Looking Statements.” These and other factors could cause results to differ materially from those expressed in the estimates made by the independent parties and by 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Australian Disclosure Requirements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 xml:space="preserve">Our ordinary shares are primarily quoted on the Australian Securities Exchange (“ASX”) in addition to our listing of our ADSs on the Nasdaq Global Select Market, or Nasdaq. As part of our ASX listing, we are required to comply with various disclosure requirements as set out under the Australian </w:t>
      </w:r>
      <w:r>
        <w:rPr>
          <w:rFonts w:ascii="Times New Roman" w:cs="Times New Roman" w:eastAsia="Times New Roman" w:hAnsi="Times New Roman"/>
          <w:sz w:val="18"/>
          <w:szCs w:val="18"/>
          <w:i w:val="1"/>
          <w:iCs w:val="1"/>
          <w:color w:val="auto"/>
        </w:rPr>
        <w:t xml:space="preserve">Corporations Act 2001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ASX Listing Rules</w:t>
      </w:r>
      <w:r>
        <w:rPr>
          <w:rFonts w:ascii="Times New Roman" w:cs="Times New Roman" w:eastAsia="Times New Roman" w:hAnsi="Times New Roman"/>
          <w:sz w:val="18"/>
          <w:szCs w:val="18"/>
          <w:color w:val="auto"/>
        </w:rPr>
        <w:t>. Information furnished under the sub-heading “Australian Disclosure Requirements” is intended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comply with ASX listing and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disclosure requirements and is not intended to fulfill information required by this annual report.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We are a public limited company incorporated under the laws of Australia. Certain of our directors are non-residents of the United States and substantially all of their assets are located outside the United States. As a result, it may not be possible or practicable for you to:</w:t>
      </w:r>
    </w:p>
    <w:p>
      <w:pPr>
        <w:spacing w:after="0" w:line="162"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service of process within the United States upon our non-U.S. resident directors or on us;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in U.S. courts judgments obtained against our non-U.S. resident directors or us in the United States courts in any action, including actions under the civil liability provisions of U.S. securities laws;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in U.S. courts judgments obtained against our non-U.S. resident directors or us in courts of jurisdictions outside the United States in any action, including actions under the civil liability provisions of U.S. securities laws; or</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an original action in an Australian court to enforce liabilities against our non-U.S. resident directors or us based solely upon U.S. securities laws.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You may also have difficulties enforcing in courts outside the United States judgments that are obtained in U.S. courts against any of our non-U.S.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 directors or us, including actions under the civil liability provisions of the U.S. securities laws.</w:t>
      </w:r>
    </w:p>
    <w:p>
      <w:pPr>
        <w:spacing w:after="0" w:line="20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With that noted, there are no treaties between Australia and the United States that would affect the recognition or enforcement of foreign judgments in Australia. We also note that investors may be able to bring an original action in an Australian court against us to enforce liabilities based in part upon U.S. federal securities laws. The disclosure in this section is not based on the opinion of counsel.</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have appointed Corporation Service Company, located at 1180 Avenue of the Americas, Suite 210 New York,NY 10036 as our agent to receive service of process with respect to any action brought against us under the federal securities laws of the United States.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This annual report contains forward-looking statements about us and our industry that involve substantial risks and uncertainties. All statements other than statements of historical facts contained in this annual report, including statements regarding our future results of operations,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known and unknown risks, uncertainties, other factors and assumptions, including the risks described in “Risk Factors” and elsewhere in this annual report, regarding, among other things:</w:t>
      </w:r>
    </w:p>
    <w:p>
      <w:pPr>
        <w:spacing w:after="0" w:line="180" w:lineRule="exact"/>
        <w:rPr>
          <w:sz w:val="20"/>
          <w:szCs w:val="20"/>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development activities and clinical trials, including our estimates for the release of the top-line data from our Phase 3 clinical trials in a timely fashion;</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our expected cash runway, expenses, future revenue, capital requirements and needs for additional financing;</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top-line data based on masked pooled data;</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the timing or likelihood of achieving regulatory approval and the cost of our development programs, including our clinical trials;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success of sozinibercept (formerly known as "OPT-302") as our only product candidate;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further development and commercialization of our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approved and future agreements with third parties in connection with the commercialization of our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protect and enforce our intellectual property portfolio;</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infringing, misappropriating or otherwise violating the intellectual property rights of third parties;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collaborators with development, regulatory and commercialization expertise;</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or delays affecting the patient enrollment, development and operation of our clinical trials, including as a result of a public health emergency, macroeconomic conditions, such as inflationary pressure and supply chain disruptions or acts of war, including geopolitical conflicts;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Australia, Europe and other jurisdictions;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 on a timely and cost effective basis;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spacing w:after="0" w:line="194"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clinical development or management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qualify as an emerging growth company under the JOBS Act;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trading price of the ADSs and impact of securities analysts’ reports on these prices;</w:t>
      </w:r>
    </w:p>
    <w:p>
      <w:pPr>
        <w:spacing w:after="0" w:line="225" w:lineRule="exact"/>
        <w:rPr>
          <w:rFonts w:ascii="Times New Roman" w:cs="Times New Roman" w:eastAsia="Times New Roman" w:hAnsi="Times New Roman"/>
          <w:sz w:val="18"/>
          <w:szCs w:val="18"/>
          <w:color w:val="auto"/>
        </w:rPr>
      </w:pPr>
    </w:p>
    <w:p>
      <w:pPr>
        <w:jc w:val="both"/>
        <w:ind w:left="760" w:right="20" w:hanging="378"/>
        <w:spacing w:after="0" w:line="26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terms and conditions under the Development Funding Agreement or "Funding Agreement" or "DFA" with Ocelot SPV LP ("Ocelot") and the other investors (collectively, the "Investors"), entered into with Ocelot in August 2022 and amended and restated in December 2023 with a new co-Investor, specifically as it relates to the timelines for development, and provisions relating to the minimum cash and cash equivalents balances; and</w:t>
      </w:r>
    </w:p>
    <w:p>
      <w:pPr>
        <w:spacing w:after="0" w:line="17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“Risk Factors.”</w:t>
      </w:r>
    </w:p>
    <w:p>
      <w:pPr>
        <w:spacing w:after="0" w:line="22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These risks are not exhaustive. Other sections of this annual report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annual report primarily on our current expectations and projections about future events and trends that we believe may affect our business, financial condition and operating results. We undertake no obligation to update any forward-looking statements made in this annual report to reflect events or circumstances after the date of this annual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annual report.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and have filed as exhibits to this annual report with the understanding that our actual future results, levels of activity, performance and achievements may be different from what we expect. We qualify all of our forward-looking statements by these cautionary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Identity of Directors, Senior Management and Advisers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Offer Statistics and Expected Timetable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Key Information</w:t>
            </w: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3A.</w:t>
            </w:r>
          </w:p>
        </w:tc>
        <w:tc>
          <w:tcPr>
            <w:tcW w:w="2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Reserved</w:t>
            </w: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3B.</w:t>
            </w:r>
          </w:p>
        </w:tc>
        <w:tc>
          <w:tcPr>
            <w:tcW w:w="2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Capitalization and Indebtedness</w:t>
            </w: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3C.</w:t>
      </w:r>
      <w:r>
        <w:rPr>
          <w:sz w:val="20"/>
          <w:szCs w:val="20"/>
          <w:color w:val="auto"/>
        </w:rPr>
        <w:tab/>
      </w:r>
      <w:r>
        <w:rPr>
          <w:rFonts w:ascii="Times New Roman" w:cs="Times New Roman" w:eastAsia="Times New Roman" w:hAnsi="Times New Roman"/>
          <w:sz w:val="18"/>
          <w:szCs w:val="18"/>
          <w:b w:val="1"/>
          <w:bCs w:val="1"/>
          <w:color w:val="auto"/>
        </w:rPr>
        <w:t>Reasons for the offer and 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3D.</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consider and read carefully all of the risks and uncertainties described below, as well as other information included in this annual report, including our consolidated financial statements and related notes included elsewhere in this annual report, before making an investment decision. If any of the following risks actually occur, it could harm our business, prospects, results of operations and financial condition. In such event, the trading price of the ADSs could decline and you might lose all or part of your investment. You should not interpret our disclosure of any of the following risks to imply that such risks have not already materialized.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at-length below in this summary. These risks include, among others,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Position, Need for Capital and the Funding Agreement</w:t>
      </w:r>
    </w:p>
    <w:p>
      <w:pPr>
        <w:spacing w:after="0" w:line="229" w:lineRule="exact"/>
        <w:rPr>
          <w:sz w:val="20"/>
          <w:szCs w:val="20"/>
          <w:color w:val="auto"/>
        </w:rPr>
      </w:pPr>
    </w:p>
    <w:p>
      <w:pPr>
        <w:jc w:val="both"/>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received approval for any product candidate for commercial sale and, as a result, we have never generated any revenue from products, have incurred significant financial losses and expect to continue to incur significant financial losses in the future, which makes it difficult to assess our future viability.</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in the future, including funding to complete the efficacy and safety stages of the trials, which may not be available to us on commercially favorable terms, or at all. Our ability to continue our development activities as a going concern may be dependent on raising such additional capital. Raising additional capital may cause dilution to holders of our ordinary shares and ADSs.</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Funding Agreement contains terms that require us to maintain a minimum cash and cash equivalents balance of US$60 million, or the “Minimum Amount,” and to provide a notice to the Investors if our cash and cash equivalents balance drops below US$50 million. Following such notice, we need to use our reasonable best efforts to consummate a public offering of private placement of equity securities to make up the shortfall of the Minimum Amount within one month thereafter. If we are unable to consummate such financing within such period, or separately if we will be unable to fund our payment obligations in the upcoming six months or reasonably expect to include a “Going Concern” opinion in our financial statements, each Investor has the right, but not the obligation, to increase funding under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Funding Agreement to make up for such shortfall which would increase our payment obligations under the funding agreement.</w:t>
      </w:r>
    </w:p>
    <w:p>
      <w:pPr>
        <w:spacing w:after="0" w:line="225" w:lineRule="exact"/>
        <w:rPr>
          <w:sz w:val="20"/>
          <w:szCs w:val="20"/>
          <w:color w:val="auto"/>
        </w:rPr>
      </w:pPr>
    </w:p>
    <w:p>
      <w:pPr>
        <w:jc w:val="both"/>
        <w:ind w:left="760" w:hanging="378"/>
        <w:spacing w:after="0" w:line="25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termination provisions in the Funding Agreement </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u w:val="single" w:color="auto"/>
          <w:color w:val="auto"/>
        </w:rPr>
        <w:t>on the</w:t>
      </w:r>
      <w:r>
        <w:rPr>
          <w:rFonts w:ascii="Times New Roman" w:cs="Times New Roman" w:eastAsia="Times New Roman" w:hAnsi="Times New Roman"/>
          <w:sz w:val="18"/>
          <w:szCs w:val="18"/>
          <w:color w:val="auto"/>
        </w:rPr>
        <w:t xml:space="preserve"> part of the Investors are extensive and give the Investors a wide range of conditions to terminate the agreement. In the event of termination, unless mutual or for breach by the Investors, amounts owed by us will be multiples of the invested capital to date. </w:t>
      </w:r>
      <w:r>
        <w:rPr>
          <w:rFonts w:ascii="Times New Roman" w:cs="Times New Roman" w:eastAsia="Times New Roman" w:hAnsi="Times New Roman"/>
          <w:sz w:val="18"/>
          <w:szCs w:val="18"/>
          <w:color w:val="414042"/>
        </w:rPr>
        <w:t>Each termination trigger has a corresponding percentage to be paid, with possible outcomes requiring us to repay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414042"/>
        </w:rPr>
        <w:t xml:space="preserve">amount equal to 0%, 135%, 150%, 275% or 400% of the initial amounts paid to us under the DFA. This is equivalent to potential repayments of $nil, $229.5 million, $255.0 million, $467.5 million or $680.0 million if a termination event is to occur. </w:t>
      </w:r>
      <w:r>
        <w:rPr>
          <w:rFonts w:ascii="Times New Roman" w:cs="Times New Roman" w:eastAsia="Times New Roman" w:hAnsi="Times New Roman"/>
          <w:sz w:val="18"/>
          <w:szCs w:val="18"/>
          <w:color w:val="000000"/>
        </w:rPr>
        <w:t>As of June 30, 2024, the Investors have</w:t>
      </w:r>
      <w:r>
        <w:rPr>
          <w:rFonts w:ascii="Times New Roman" w:cs="Times New Roman" w:eastAsia="Times New Roman" w:hAnsi="Times New Roman"/>
          <w:sz w:val="18"/>
          <w:szCs w:val="18"/>
          <w:color w:val="414042"/>
        </w:rPr>
        <w:t xml:space="preserve"> </w:t>
      </w:r>
      <w:r>
        <w:rPr>
          <w:rFonts w:ascii="Times New Roman" w:cs="Times New Roman" w:eastAsia="Times New Roman" w:hAnsi="Times New Roman"/>
          <w:sz w:val="18"/>
          <w:szCs w:val="18"/>
          <w:color w:val="000000"/>
        </w:rPr>
        <w:t>invested US$170 million.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Development and Commercialization of Our Product Candidate</w:t>
      </w:r>
    </w:p>
    <w:p>
      <w:pPr>
        <w:spacing w:after="0" w:line="229" w:lineRule="exact"/>
        <w:rPr>
          <w:sz w:val="20"/>
          <w:szCs w:val="20"/>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being conducted to test our product candidate, sozinibercept, have been delayed and are more costly than anticipated. Future delays and increasing costs may occur. The trials may not obtain the desired safety and efficacy results.</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Sozinibercept may be shown to cause undesirable side effects or other adverse events that could delay or prevent its regulatory approval, limit its commercial profile or result in significant negative consequences following regulatory approval, if such approval is granted. Data from completed clinical trials indicates the safety and tolerability profile of sozinibercept is consistent with approved standard of care anti VEGF-A treatments for wet AMD based on trial results to date. There is no assurance that the safety and tolerability profile of sozinibercept will remain as observed to date.</w:t>
      </w:r>
    </w:p>
    <w:p>
      <w:pPr>
        <w:spacing w:after="0" w:line="18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Funding Agreement contains several terms that restrict our flexibility in conducting the study including governance by a Joint Steering Committee (“JSC”) for changes in the original protocols, study design or timelines. Modifications require JSC approval and it will be difficult for us to make modifications on our own.</w:t>
      </w:r>
    </w:p>
    <w:p>
      <w:pPr>
        <w:sectPr>
          <w:pgSz w:w="11900" w:h="16838" w:orient="portrait"/>
          <w:cols w:equalWidth="0" w:num="1">
            <w:col w:w="11240"/>
          </w:cols>
          <w:pgMar w:left="320" w:top="1440" w:right="339" w:bottom="1440" w:gutter="0" w:footer="0" w:header="0"/>
        </w:sectPr>
      </w:pP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marketing approval process is expensive, time-consuming and uncertain, and even if sozinibercept receives marketing approval, we may not be successful in our commercialization efforts and sozinibercept may fail to achieve the degree of market acceptance by physicians, patients, healthcare payors and others in the medical community necessary for commercial success.</w:t>
      </w:r>
    </w:p>
    <w:p>
      <w:pPr>
        <w:spacing w:after="0" w:line="176" w:lineRule="exact"/>
        <w:rPr>
          <w:sz w:val="20"/>
          <w:szCs w:val="20"/>
          <w:color w:val="auto"/>
        </w:rPr>
      </w:pPr>
    </w:p>
    <w:p>
      <w:pPr>
        <w:sectPr>
          <w:pgSz w:w="11900" w:h="16838" w:orient="portrait"/>
          <w:cols w:equalWidth="0" w:num="2">
            <w:col w:w="440" w:space="320"/>
            <w:col w:w="10480"/>
          </w:cols>
          <w:pgMar w:left="320" w:top="1440" w:right="339" w:bottom="1440" w:gutter="0" w:footer="0" w:header="0"/>
          <w:type w:val="continuous"/>
        </w:sectPr>
      </w:pPr>
    </w:p>
    <w:p>
      <w:pPr>
        <w:jc w:val="both"/>
        <w:ind w:left="760" w:hanging="378"/>
        <w:spacing w:after="0" w:line="258"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approval requires completion of Process Performance Qualification (“PPQ”) which typically involves the production of a minimum number of drug substance and drug product batches. PPQ batches will require extensive lead time, the purchase of raw materials and the reservation of production slots at our Contract Development Manufacturing Organization (“CDMO”). We are working with our CDMOs to produce these PPQ batches. Delays in the successful production itself may cause a delay in the filing for marketing and the receipt of marketing approval.</w:t>
      </w:r>
    </w:p>
    <w:p>
      <w:pPr>
        <w:spacing w:after="0" w:line="18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encountered difficulties in enrolling patients in our clinical trials and may experience difficulties in the future. Patient enrollment for the COAST trial was completed in February 2024 and enrollment for the ShORe trial was completed in May 2024.</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substantial competition, which may result in others discovering, developing or commercializing competing products before or more successfully than us.</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negatively affected by the effects of health epidemics, in regions where we or third parties on which we rely have significant manufacturing facilities, concentrations of clinical trial sites or other business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Legal and Regulatory Compliance Matters</w:t>
      </w:r>
    </w:p>
    <w:p>
      <w:pPr>
        <w:spacing w:after="0" w:line="229"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could delay or prevent new products from being developed, approved or commercialized.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healthcare law may impact our business in ways that we cannot currently predict.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 w:name="page13"/>
    <w:bookmarkEnd w:id="12"/>
    <w:p>
      <w:pPr>
        <w:spacing w:after="0" w:line="194"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economic, political, regulatory and other risks associated with international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Reliance on Third Parties</w:t>
      </w:r>
    </w:p>
    <w:p>
      <w:pPr>
        <w:sectPr>
          <w:pgSz w:w="11900" w:h="16838" w:orient="portrait"/>
          <w:cols w:equalWidth="0" w:num="1">
            <w:col w:w="11240"/>
          </w:cols>
          <w:pgMar w:left="320" w:top="1440" w:right="339" w:bottom="1440" w:gutter="0" w:footer="0" w:header="0"/>
        </w:sectPr>
      </w:pP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third-party manufacturers to produce sozinibercept or any future product candidates. If such manufacturers do not produce acceptable product candidates, this could have a material adverse effect on our business. The manufacturers we use for production are sole source and currently no backup manufacturers exist in the event of failure at the current manufacturers.</w:t>
      </w:r>
    </w:p>
    <w:p>
      <w:pPr>
        <w:spacing w:after="0" w:line="176" w:lineRule="exact"/>
        <w:rPr>
          <w:sz w:val="20"/>
          <w:szCs w:val="20"/>
          <w:color w:val="auto"/>
        </w:rPr>
      </w:pPr>
    </w:p>
    <w:p>
      <w:pPr>
        <w:sectPr>
          <w:pgSz w:w="11900" w:h="16838" w:orient="portrait"/>
          <w:cols w:equalWidth="0" w:num="2">
            <w:col w:w="440" w:space="320"/>
            <w:col w:w="10480"/>
          </w:cols>
          <w:pgMar w:left="320" w:top="1440" w:right="339" w:bottom="1440" w:gutter="0" w:footer="0" w:header="0"/>
          <w:type w:val="continuous"/>
        </w:sectPr>
      </w:pPr>
    </w:p>
    <w:p>
      <w:pPr>
        <w:jc w:val="both"/>
        <w:ind w:left="76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dependent on third parties to conduct clinical trials and some aspects of our research and development activities. Such third parties may not perform satisfactorily, including failing to meet deadlines for completion of such trial, research or testing transition of certain of these third parties could cause delay or disruption in the clinical trials and result in higher than expected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Employee Matters and Managing Our Growth</w:t>
      </w:r>
    </w:p>
    <w:p>
      <w:pPr>
        <w:spacing w:after="0" w:line="229"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attract, integrate, manage and retain qualified personnel or key employees.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increasing and expect to continue increasing the size of our organization. If we are unable to effectively manage the anticipated growth, our business, results of operations, cash flows, financial condition and/or prospects will be negatively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Intellectual Property</w:t>
      </w:r>
    </w:p>
    <w:p>
      <w:pPr>
        <w:spacing w:after="0" w:line="229" w:lineRule="exact"/>
        <w:rPr>
          <w:sz w:val="20"/>
          <w:szCs w:val="20"/>
          <w:color w:val="auto"/>
        </w:rPr>
      </w:pPr>
    </w:p>
    <w:p>
      <w:pPr>
        <w:ind w:left="760" w:right="2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intellectual property protection for our products and technologies, or if we are unable to protect our intellectual property rights, we may not be able to compete effectively in our markets.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lawsuits to protect or enforce our intellectual property, or third parties may initiate legal proceedings against us alleging that we infringe their intellectual property rights.</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intellectual property portfolio may not prove to be sufficient to protect our competitive advantage. Additional competitors could enter the market, including with biosimilar products, and sales of affected products may decline materially.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the ADSs</w:t>
      </w:r>
    </w:p>
    <w:p>
      <w:pPr>
        <w:spacing w:after="0" w:line="229"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our shareholders may be different from the rights of shareholders in companies governed by the laws of U.S. jurisdictions.</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foreign private issuer and as permitted by the listing requirements of Nasdaq, we will rely on certain home country corporate governance practices rather than the corporate governance requirements of Nasdaq. We may lose our foreign private issuer status in the future, which could result in significant additional costs and expenses.</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for U.S. public companies under the Dodd-Frank Wall Street Reform and Consumer Protection Act of 2010. Even if we no longer qualify as an emerging growth company, so long as we remain a foreign private issuer, we will continue to be exempt from such compensation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no products approved for commercial sale. We have incurred net losses since our inception, we expect to incur significant losses and increasing operating losses for the foreseeable future, and we may never be profitable.</w:t>
      </w:r>
    </w:p>
    <w:p>
      <w:pPr>
        <w:spacing w:after="0" w:line="15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with no products approved for commercial sale. To date, our operations have been limited to organizing and staffing our company, business planning, raising capital,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1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developing our lead product candidate, sozinibercept, and licensing certain related technology, conducting research and development activities, including preclinical studies and clinical trials, and providing general and administrative support for these operations. Investment in biopharmaceutical product development is highly speculative because it entails substantial upfront capital expenditures and significant risk that any potential product candidate will fail to demonstrate adequate effect and/or an acceptable safety profile, gain regulatory approval and become commercially viable. We have not generated any revenue from product sales to date, and we continue to incur significant research and development and other expenses related to our ongoing operations. We are not profitable and have incurred net losses since our inception. Our total comprehensive losses were US$142.4 million and US$220.2 million for the years ended June 30, 2023 and 2024. As of June 30, 2024, we had an accumulated loss of US$579.7 million. We have spent, and expect to continue to spend, significant resources to fund research and development of, and seek regulatory approvals for, sozinibercept and other future product candidates. The pivotal phase 3 trials for sozinibercept, COAST and ShORe have been delayed and the cost to complete the trials is higher than anticipated. In August 2023, Opthea announced a non-underwritten institutional placement (“2023 Placement”) and fully underwritten accelerated non-renounceable entitlement offering (“2023 ANREO”) of A$90.0 million (approximately US$58.2 million). We received net proceeds of approximately A$82.6 million (approximately US$54.4 million) from the 2023 Placement and 2023 ANREO (together, the "2023 Equity Offering"). In December 2023, we received US$35.0 million from Ocelot for the third tranche of funding under the Funding Agreement. In addition, we received additional funding of US$50.0 million from a new co-Investor, bringing the total funding received under the Funding Agreement to US$170.0 million, the maximum amount allowed under the terms of the Funding Agreement. As such, we no longer have any committed external source of funds. In June 2024, Opthea announced a non-underwritten institutional placement (“2024 Placement”) and partially underwritten accelerated non-renounceable entitlement offering (“2024 ANREO”) of A$227.3 million (approximately US$151.9 million). The 2024 Placement and the partially underwritten 2024 ANREO, which closed in June 2024, together raised approximately A$171.4 million (approximately US$114.3million) and the fully underwritten retail component of the 2024 ANREO (the "2024 Equity Retail Offering"), which closed in July 2024, raised approximately A$55.9 million (approximately US$37.6 million). We have received net proceeds of approximately A$209.5 million (approximately US$138.3 million) from the 2024 Placement, the partially underwritten 2024 ANREO and the 2024 Equity Retail Offering (together, the "2024 Equity Offering") as of July 17, 2024. See Note 39, Events After the Balance Sheet Date for more information.</w:t>
      </w:r>
    </w:p>
    <w:p>
      <w:pPr>
        <w:spacing w:after="0" w:line="200" w:lineRule="exact"/>
        <w:rPr>
          <w:sz w:val="20"/>
          <w:szCs w:val="20"/>
          <w:color w:val="auto"/>
        </w:rPr>
      </w:pPr>
    </w:p>
    <w:p>
      <w:pPr>
        <w:spacing w:after="0" w:line="203"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We expect that with our cash on hand at June 30, 2024 of $172.5 million, together with the net proceeds of approximately $34.8 million from the 2024 Equity Retail Offering, we will be able to fund our operations into the third calendar quarter of 2025 and through the anticipated topline data readout for our Phase 3 clinical trials. This cash runway forecast is subject to a number of assumptions, including assumptions and forecasts regarding Clinical Research Organization ("CRO"), CDMO and labor costs, costs to retain and attract any required personnel and costs to engage additional consultants and advisors. We have in the past incurred significantly increased costs in connection with the activities conducted by third party CROs, CDMOs and other service providers to prepare for and progress our Phase 3 clinical trials, and may continue to incur higher than expected costs for such activities in the future, including due to factors outside our control. If any additional factors cause the Phase 3 clinical trials to be further delayed or more costly, including higher than expected CRO, CDMO or labor costs, then we will need to obtain additional financing earlier than our forecast to report top-line data. Further, while we expect to have sufficient funds into the third calendar quarter of 2025 and through the anticipated topline data readout dates for our Phase 3 clinical trials, we will not have sufficient funds to fully fund all anticipated costs of the Phase 3 clinical trials and Opthea will require additional funding to reach commercialization of sozinibercept in any indication, including wet AMD. We will need to raise significant additional funds to complete both trials’ two-year efficacy and safety phase, file a biologics license application with the FDA and EMA, potentially launch sozinibercept, if approved, and meet the obligations under the Funding Agreement including the minimum cash condition and payment of development and commercialization costs in excess of funding received under the Funding Agreement. As a result of among other things, certain obligations under the Funding Agreement and applicable law regarding liquidity, we expect to raise or obtain additional capital from external sources, in one or more transactions, earlier than the third calendar quarter of 2025 or anticipated topline data readout dates of our Phase 3 clinical trials</w:t>
      </w:r>
    </w:p>
    <w:p>
      <w:pPr>
        <w:spacing w:after="0" w:line="19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If sufficient capital is not available, we may seek to modify the original trial design and protocol. We expect to incur substantial and increasing operating losses over the next several years as our research, development, manufacturing and clinical trial activities increase. Additionally, if sozinibercept is approved for commercial sale, our commercialization expenses will increase significantly as we seek a commercialization partner or establish sales, marketing, distribution, manufacturing, supply chain and other commercial infrastructure. As a result, our accumulated losses will also increase significantly. We may encounter unforeseen expenses, difficulties, complications, delays and other unknown factors that may negatively affect our business. The size of our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losses will depend, in part, on the rate of future growth of our expenses and our ability to generate revenue. Our prior losses and expected future losses have had and may continue to have a negative impact on our shareholders' equity and working capital. The net losses we incur may fluctuate significantly from quarter-to-quarter such that a period-to-period comparison of our results of operations may not be a good indication of our future performance. Even if we eventually generate product revenue, we may never be profitable and, if we do achieve profitability, we may not be able to sustain or increase profitability on a quarterly or annual basis. If sozinibercept is approved in a major market (as defined in the Funding Agreement), we must make a fixed payment to the Investors within 90 days of approval, followed by six annual payments. The Investors will also receive a variable payment of 7% of net sales. To date, the Investors have invested $170 million. If sozinibercept is approved, the Investors will receive four times invested capital, or $680 million over approximately six years. We anticipate that profits generated by the sales of sozinibercept should be able to fund this repayment, however there can be no assurances that we will have sufficient cash resources to repay this amount when it is due.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have no source of product revenue and may never become profitable.</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Sozinibercept has not been approved for commercial sale, and we expect it to be several years before sozinibercept is approved, if ever, and we are able to commence sales of sozinibercept. To date, we have not generated any revenue from the licensing or commercialization of sozinibercept and do not expect to receive revenue from it for a number of years, if ever. We will not be able to generate product revenue unless and until sozinibercept or any future product candidate, alone or with future partners, successfully completes clinical trials, receives regulatory approval and is successfully commercialized. Although we may seek to obtain revenue from collaboration or licensing agreements with third parties, we currently have no such agreements that could provide us with material, ongoing future revenue and we may never enter into any such agreements. Our ability to generate future product revenue from sozinibercept or any future product candidates also depends on a number of additional factors, including our or our future partners’ ability to:</w:t>
      </w:r>
    </w:p>
    <w:p>
      <w:pPr>
        <w:spacing w:after="0" w:line="189" w:lineRule="exact"/>
        <w:rPr>
          <w:sz w:val="20"/>
          <w:szCs w:val="20"/>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research and clinical development of sozinibercept or any future product candidates and obtain regulatory approvals for commercialization;</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supply and manufacturing relationships with third parties, and ensure adequate and legally compliant manufacturing of bulk drug</w:t>
      </w:r>
    </w:p>
    <w:p>
      <w:pPr>
        <w:spacing w:after="0" w:line="27"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substances and drug products to maintain that supply, including any scale up of manufacturing processes for sozinibercept to support our ongoing Phase 3 clinical program of sozinibercept in combination with anti-vascular endothelial growth factor-A, or anti-VEGF-A, therapy for the treatment of wet age-related macular degeneration, or AMD;</w:t>
      </w:r>
    </w:p>
    <w:p>
      <w:pPr>
        <w:spacing w:after="0" w:line="186" w:lineRule="exact"/>
        <w:rPr>
          <w:sz w:val="20"/>
          <w:szCs w:val="20"/>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and commercialize sozinibercept or any future product candidates for which we obtain marketing approval, if any, and, if launched independently, successfully establish a sales force, marketing and distribution infrastructure;</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payback amounts owed under the Funding Agreement for successful completion of the clinical trials, regulatory approval and commercial launch. Amounts owed under the Funding Agreement will be four times invested capital (currently US$170 million) to be paid in a series of seven payments over six years as well as 7% of our net sales related to sozinibercept. We or our potential partner must generate sufficient revenues to fund the repayment amounts:</w:t>
      </w:r>
    </w:p>
    <w:p>
      <w:pPr>
        <w:spacing w:after="0" w:line="17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necessary safety data post-approval to ensure continued regulatory approval;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product reimbursement from third-party payors, including government payors;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for sozinibercept or our future partners’ products, if 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maintain, protect and enforce our intellectual property rights;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225"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biologic product development, including that sozinibercept may not advance through development, achieve the endpoints of applicable clinical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trials or receive approval for use in combination with one or more approved therapies, we are unable to predict the timing or amount of increased expenses, or if or when we will achieve or maintain profitability. In addition, our expenses could increase beyond expectations if we decide, or are required by the U.S. Food and Drug Administration, or the FDA, or comparable non-U.S. regulatory authorities, including the European Medicines Agency, or the EMA, to perform studies or trials in addition to those that we currently anticipate. Even if we complete the development and regulatory processes described above, we anticipate incurring significant costs associated with launching and commercializing these products.</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Even if we generate revenue from the sale of sozinibercept or any of our future product candidates that may be approved, we may not become profitable and may need to obtain additional funding to continue operations. If we fail to become profitable or do not sustain profitability on a continuing basis, then we may be unable to continue our operations at planned levels and be forced to reduce our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which may not be available to us on acceptable terms, or at all. As a result, we may not complete the development and commercialization of sozinibercept or develop new product candidates.</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 a clinical-stage biopharmaceutical company, our operations have consumed significant amounts of cash since our inception. We expect our research and development expenses to increase substantially in connection with our ongoing activities, particularly as we continue our Phase 3 clinical trials of sozinibercept in combination with anti-VEGF-A therapy for the treatment of wet AMD, continue clinical development of sozinibercept for the treatment of persistent diabetic macular edema, or DME, and other retinal diseases, and continue commercialization plans. Even if we are able to obtain regulatory approval for sozinibercept or any future product candidates that we may develop, we will require substantial additional capital to commercialize such product candidates.</w:t>
      </w:r>
    </w:p>
    <w:p>
      <w:pPr>
        <w:spacing w:after="0" w:line="18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forecasts of the period of time through which our financial resources will adequately support our operations included elsewhere in this report are forward-looking statements and involve risks and uncertainties, and actual results have in the past varied and could continue to vary as a result of a number of factors, including delays in and higher than expected costs of our Phase 3 clinical trials, the impacts of macroeconomic challenges, the timing of regulatory submissions, the performance and cost efficiency of third parties that assist us with clinical development such as CROs and CDMOs and other factors discussed elsewhere in this “Risk Factors” section. We have based these estimates on assumptions and forecasts regarding CRO, CDMO and labor costs, costs to retain and attract any required personnel and costs to engage additional consultants and advisors, that may prove to be wrong, and we have utilized, and in the future could utilize, our available capital resources sooner than we currently expect. We have in the past experienced delays in our Phase 3 clinical trials, including the establishment of trial sites and patient recruitment delays, and incurred significantly increased costs in connection with the activities conducted by third party CROs, CDMOs and other service providers to prepare for and progress our Phase 3 clinical trials. We may experience further delays and increased costs in the future, which we may not be able to accurately predict. Our future funding requirements, both short-and long-term, will depend on many factors, including:</w:t>
      </w:r>
    </w:p>
    <w:p>
      <w:pPr>
        <w:spacing w:after="0" w:line="192" w:lineRule="exact"/>
        <w:rPr>
          <w:sz w:val="20"/>
          <w:szCs w:val="20"/>
          <w:color w:val="auto"/>
        </w:rPr>
      </w:pPr>
    </w:p>
    <w:p>
      <w:pPr>
        <w:jc w:val="both"/>
        <w:ind w:left="760" w:hanging="378"/>
        <w:spacing w:after="0" w:line="26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clinical trials for sozinibercept or any future product candidates we may develop, including whether the FDA or comparable non-U.S. regulatory authorities require additional clinical trials beyond our Phase 3 clinical trials of sozinibercept in combination with anti-VEGF-A therapy for the treatment of wet AMD to support an approved label of sozinibercept in combination with multiple existing anti-VEGF-A therapies;</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additional clinical trials and studies to evaluate the potential for co-formulation of sozinibercept with approved and/or biosimilar forms of VEGF-A inhibitors to provide flexibility of treatment options for physicians and to reduce the frequency and number of injections for patients;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costs incurred or might be incurred for CROs and CDMOs in connection with our ongoing Phase 3 clinical trials of sozinibercept;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non-U.S. regulatory authorities;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approved, the costs of commercialization activities for sozinibercept, or any future product candidate that receives regulatory approval;</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sozinibercept or any approved product candidates, including product pricing and adequate reimbursement by third-party payors;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licensing or investing in additional businesses, products, product candidates and technologies;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sozinibercept and any future product candidates for which we may receive regulatory approval and that we determine to commercialize ourselves or in collaboration with our future partners;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our contractual obligations, including under the Funding Agreement, including the Minimum Amount;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with securities listed in both Australia and the United States; and</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in the global economy including any lingering effects of the COVID-19 or any other pandemic, emerging supply chain disruptions, rising inflation and interest rates, bank failures, labor shortages, unemployment levels, as well as events such as natural disasters and acts of war (including the ongoing Russia-Ukraine and Middle East conflicts).</w:t>
      </w:r>
    </w:p>
    <w:p>
      <w:pPr>
        <w:spacing w:after="0" w:line="176"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We will require additional capital to develop, obtain regulatory approval for and commercialize sozinibercept or any future product candidates, including to complete our ongoing Phase 3 clinical trials for sozinibercept for the treatment of wet AMD. In particular, we will require additional capital to progress our ongoing and future planned clinical trials without delays, including payments to the Investors in connection with the achievement of certain regulatory milestones. We may also require additional external funding to meet the Minimum Amount cash balance condition under the Funding Agreement or to pay for development and commercialization costs in excess of funding received under the Funding Agreement, including prior to the readout of top-line results for our Phase 3 clinical trials for sozinibercept for the treatment of wet AMD. As a result of among other things, certain obligations under the Funding Agreement and applicable law regarding liquidity, we expect to raise or obtain additional capital from external sources, in one or more transactions earlier than the third calendar quarter of 2025 or anticipated topline data readout dates of our Phase 3 clinical trials. We expect to finance future cash needs through public or private issuances of equity, such as the 2024 Equity Offering, or collaborations. However, the Funding Agreement limits the types of financing we may pursue in the future. We also intend to continue to apply for tax incentives under the Research and Development Tax Incentive scheme provided by the Australian government. See “—Risks Related to Development and Commercialization of Our Product Candidates—We have received tax credits under the Research and Development Tax Incentive scheme in Australia that may become repayable if we did not or do not comply with the rules of the scheme, or we may become ineligible for tax credits in our current or future tax years, which could harm our business, financial condition and results of operations.” Additional capital may not be available in sufficient amounts or on reasonable terms, if at all. If we are not able to raise additional capital, we may not be able to complete the clinical trials or complete them as originally planned, manufacture materials in preparation for filing and if approved commercialization continue operations or otherwise capitalize on our business opportunities, and our business and financial condition will be negatively impacted.</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remain in compliance with our obligations under the Development Funding Agreement with the Investors could lead to reduced funding under the agreement and/or the acceleration of potentially significant payments to the Investors.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August 12, 2022, we entered into a Development Funding Agreement (as amended and restated, the “Funding Agreement”) with Ocelot SPV LP ("Ocelot"), an affiliate of Carlyle and Abingworth, in collaboration with Carlyle and Abingworth’s recently formed development company Launch Therapeutics (“Launch Tx”), pursuant to which Ocelot agreed to provide funding to support our development of sozinibercept for the treatment of wet AMD. On December 22, 2023, we entered into an Amended and Restated Development Funding Agreement with Ocelot as collateral agent, pursuant to which a new co-Investor (collectively, "Investors") provided an additional US$50 million in funding, bringing the total funding received under the Funding Agreement to US$170 million, the maximum amount under the terms of the Funding Agreement. Under the Funding Agreement, Opthea will pay to the Investors (1) upon the first to occur of regulatory approval of sozinibercept for the treatment of wet AMD in the United States, United Kingdom or European Union (“Regulatory Approval”), fixed payments equal to a total of approximately two times the funding provided, consisting of seven payments, with the first payment due shortly after Regulatory Approval and the remaining six payments payable over a six-year period thereafter, and (2) variable payments equal to 7% of net sales of sozinibercept for the treatment of wet AMD for each calendar quarter. At the time that Investor receives an aggregate of four times the funding provided (US$680 million as Investors have funded the full US$170 million under the Funding Agreement), through the combination of fixed payments and royalties Opthea’s payment obligations under the Funding Agreement will be fully satisfied.</w:t>
      </w:r>
    </w:p>
    <w:p>
      <w:pPr>
        <w:spacing w:after="0" w:line="19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Funding Agreement terminates upon the payment of all payments owing to Investor, unless earlier terminated. The Funding Agreement may be earlier terminated by Investor if:</w:t>
      </w:r>
    </w:p>
    <w:p>
      <w:pPr>
        <w:spacing w:after="0" w:line="162"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Opthea fails to comply with certain covenants and agreements set forth in the Funding Agreement, including failure to make required payments</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or develop sozinibercept  as set forth in the Funding Agreement;</w:t>
      </w:r>
    </w:p>
    <w:p>
      <w:pPr>
        <w:spacing w:after="0" w:line="207"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Opthea suffers a material adverse event;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material adverse patent impact on Opthea's intellectual property covering sozinibercept ;</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certain irresolvable disagreements within the joint steering committee overseeing Opthea's development of sozinibercept ;</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Opthea becomes insolvent or seek protection from creditors: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interests of Opthea are invalidated or terminated other than as set forth in the Funding Agreement; or</w:t>
      </w:r>
    </w:p>
    <w:p>
      <w:pPr>
        <w:sectPr>
          <w:pgSz w:w="11900" w:h="16838" w:orient="portrait"/>
          <w:cols w:equalWidth="0" w:num="1">
            <w:col w:w="11240"/>
          </w:cols>
          <w:pgMar w:left="320" w:top="1440" w:right="339" w:bottom="1440" w:gutter="0" w:footer="0" w:header="0"/>
        </w:sectPr>
      </w:pP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 Phase 3 clinical trial of sozinibercept is completed or terminated and (1) the primary endpoint is not met or (2) the required Investors reasonably determine that the results of any such trial do not support regulatory approval.</w:t>
      </w:r>
    </w:p>
    <w:p>
      <w:pPr>
        <w:spacing w:after="0" w:line="162" w:lineRule="exact"/>
        <w:rPr>
          <w:sz w:val="20"/>
          <w:szCs w:val="20"/>
          <w:color w:val="auto"/>
        </w:rPr>
      </w:pPr>
    </w:p>
    <w:p>
      <w:pPr>
        <w:sectPr>
          <w:pgSz w:w="11900" w:h="16838" w:orient="portrait"/>
          <w:cols w:equalWidth="0" w:num="2">
            <w:col w:w="440" w:space="320"/>
            <w:col w:w="10480"/>
          </w:cols>
          <w:pgMar w:left="320" w:top="1440" w:right="339" w:bottom="1440" w:gutter="0" w:footer="0" w:header="0"/>
          <w:type w:val="continuous"/>
        </w:sect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Funding Agreement may be terminated by either party (i) if the other party materially breaches the Agreement, (ii) if sozinibercept fails to receive regulatory approval in the United States or European Union, (iii) upon the bankruptcy of the other party, (iv) if a serious safety concern arises in a sozinibercept clinical trial or (v) upon a change of control of Opthea.</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certain instances which may result upon the termination of the Funding Agreement, we will be obligated to pay Investors several multiples, which may vary based on the termination event of the amounts paid to us under the Funding Agreement.</w:t>
      </w:r>
    </w:p>
    <w:p>
      <w:pPr>
        <w:spacing w:after="0" w:line="16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payments required under the Funding Agreement are significant. Failure to generate sufficient revenue to make such payments if and as they become due, or failure to otherwise finance such payments would have a material adverse effect on our business. In addition, if we are unable to comply with our obligations under the Funding Agreement and/or one of the termination events described above occurs, our payment obligations thereunder may be accelerated. The acceleration of payments under the Funding Agreement would have a material impact on our business and we may not be able to make such payments at such time. We may also require additional external funding to meet the minimum cash condition under the Funding Agreement or to pay for development and commercialization costs in excess of funding under the Funding Agreement, including prior to the readout of top-line results for our Phase 3 clinical trials for sozinibercept for the treatment of wet AMD. If we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are unable to obtain such additional external funding and as such are unable to meet the minimum cash condition, we are required to provide notice to the Investors. Under the Funding Agreement, upon receipt of such notice, the Investors have the option, but not the obligation, to contribute additional funds under the terms of the Funding Agreement if we are unable to raise sufficient capital in a timely manner. If the Investors choose not to contribute additional funds and we are unable to raise additional capital, we may become insolvent or may otherwise be in material breach under the Funding Agreement for failing to fund development and commercialization costs in excess of the funding received, which will result in significant payments becoming due under the Funding Agreement. Based on our current cash flow estimates, and in the absence of any additional external funding, we expect to be unable to meet the minimum cash condition prior to the third calendar quarter of 2025 and may have to provide notice to the Investors at such time.</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Furthermore, the obligations under the Funding Agreement are secured by a lien on all of our assets (other than intellectual property not related to sozinibercept). The security interest will terminate when Investor receives payments and/or change of control acceleration payments equal to two times the funding provided or upon certain terminations of the Funding Agreement. A default under the Funding Agreement, including in the event of our insolvency or our inability to pay development and commercialization costs in excess of funding received under the Funding Agreement, may result in a foreclosure on our intellectual property and seizure of all of our assets and could result in us having to pay the Investors multiples of the amounts paid to us. In addition, we may need to implement further internal controls and processes to ensure compliance with all obligations under the Funding Agreement, otherwise we could inadvertently default under it. For additional details regarding the Funding Agreement, see Note 27 Financial Liabilities to the Consolidated Financial Statements in this annual report.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holders of our ordinary shares and ADSs, restrict our operations or require us to relinquish rights to our technologies or product candidates.</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Holders of our ordinary shares and ADSs could suffer dilution or be negatively affected by fixed payment obligations we may incur if we raise additional funds through the issuance of additional equity securities or debt. In February 2022, we established an “at the market” program (the “ATM Program”) with Jefferies LLC (“Jefferies”). Pursuant to the ATM Program, we may offer and sell up to US$75 million of our ordinary shares in the form of ADSs, with each ADS representing eight ordinary shares, through Jefferies. Issuances of our ordinary shares sold pursuant to the sales agreement will have a dilutive effect on our existing stockholders. Further, these securities may have rights senior to those of our ordinary shares and could contain covenants or protective rights that would restrict our operations and potentially impair our competitiveness, such as limitations on our ability to incur additional debt, limitations on our ability to acquire, sell or license intellectual property rights and other operating restrictions that could negatively impact our ability to conduct our business. If we need to secure additional financing, such additional fundraising efforts may divert our management and research efforts from our day-to-day activities, which may negatively affect our ability to develop and commercialize sozinibercept and any future product candidates.</w:t>
      </w:r>
    </w:p>
    <w:p>
      <w:pPr>
        <w:spacing w:after="0" w:line="18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To the extent we obtain additional funding through product collaborations, these arrangements would generally require us to relinquish rights to some of our technologies, product candidates or products, and we may not be able to enter into such agreements, on acceptable terms, if at all. If we are unable to obtain additional funding on a timely basis, we may be required to curtail or terminate some or all of our development programs or product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and financial condition.</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Global credit and financial markets have experienced extreme disruptions at various points over the last few decades, characterized by diminished liquidity and credit availability, declines in consumer confidence, declines in economic growth, rising inflation and interest rates, bank failures, supply chain disruptions, increases in unemployment rates and uncertainty about economic stability. If another such disruption in credit and financial markets and deterioration of confidence in economic conditions occurs, our business may be harmed. If the equity and credit markets were to deteriorate significantly in the future, it may make any necessary debt or equity financing more difficult to complete, more costly and more dilutive. Failure to secure any necessary financing in a timely manner and on favorable terms could harm our growth strategy, financial performance and share price and could require us to delay or abandon development or commercialization plans. In addition, there is a risk that one or more of our service providers, manufacturers or other partners would not survive or be able to meet their commitments to us under such circumstances, which could directly affect our ability to attain our operating goals on schedule and on budget.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and Commercialization of Our Product Candidates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substantially depends on the success of sozinibercept, our only product candidate under clinical development, which has not completed a pivotal Phase 3 clinical trial. If we are unable to obtain regulatory approval for and successfully commercialize sozinibercept or any future product candidates, or we experience significant delays in doing so, our business will be harmed.</w:t>
      </w:r>
    </w:p>
    <w:p>
      <w:pPr>
        <w:spacing w:after="0" w:line="1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To date, the primary focus of our product development has been sozinibercept in combination with anti-VEGF-A therapy for the treatment of patients with wet AMD and DME. Currently, sozinibercept is our only product candidate under clinical development. This may make an investment in our company riskier than similar companies that have multiple product candidates in active development and that therefore may be able to better sustain a failure of a lead candidate. Successful continued development and ultimate regulatory approval of sozinibercept combination therapy for the treatment of wet AMD, DME or other indications is critical to the future success of our business. We have invested, and will continue to invest, a significant portion of our time and financial resources in the clinical development of sozinibercept . If we cannot successfully develop, obtain regulatory approval for and commercialize sozinibercept, we may not be able to continue our operations. The future regulatory and commercial success of sozinibercept is subject to a number of risks, including the following:</w:t>
      </w:r>
    </w:p>
    <w:p>
      <w:pPr>
        <w:spacing w:after="0" w:line="192" w:lineRule="exact"/>
        <w:rPr>
          <w:sz w:val="20"/>
          <w:szCs w:val="20"/>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do not and in the future we may not have sufficient financial and other resources to complete the necessary clinical trials for sozinibercept , including, but not limited to, the ongoing Phase 3 pivotal clinical trials and manufacturing needed to obtain drug approval;</w:t>
      </w:r>
    </w:p>
    <w:p>
      <w:pPr>
        <w:sectPr>
          <w:pgSz w:w="11900" w:h="16838" w:orient="portrait"/>
          <w:cols w:equalWidth="0" w:num="1">
            <w:col w:w="11240"/>
          </w:cols>
          <w:pgMar w:left="320" w:top="1440" w:right="339" w:bottom="1440" w:gutter="0" w:footer="0" w:header="0"/>
        </w:sectPr>
      </w:pP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not be able to obtain adequate evidence from clinical trials of efficacy and safety for sozinibercept treatment of wet AMD, DME or other indications;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therapy for the</w:t>
      </w:r>
    </w:p>
    <w:p>
      <w:pPr>
        <w:spacing w:after="0" w:line="441" w:lineRule="exact"/>
        <w:rPr>
          <w:sz w:val="20"/>
          <w:szCs w:val="20"/>
          <w:color w:val="auto"/>
        </w:rPr>
      </w:pPr>
    </w:p>
    <w:p>
      <w:pPr>
        <w:sectPr>
          <w:pgSz w:w="11900" w:h="16838" w:orient="portrait"/>
          <w:cols w:equalWidth="0" w:num="3">
            <w:col w:w="440" w:space="320"/>
            <w:col w:w="8160" w:space="220"/>
            <w:col w:w="2100"/>
          </w:cols>
          <w:pgMar w:left="320" w:top="1440" w:right="339" w:bottom="1440" w:gutter="0" w:footer="0" w:header="0"/>
          <w:type w:val="continuous"/>
        </w:sectPr>
      </w:pPr>
    </w:p>
    <w:p>
      <w:pPr>
        <w:ind w:left="760" w:right="2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clinical trials for sozinibercept , we may need to adjust our clinical trial procedures and may need additional clinical trial sites, which could delay our clinical trial progress as under the Funding Agreement, the JSC must approve changes in the original protocol;</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or clinical significance required by the FDA or comparable non-U.S. regulatory authorities for marketing approval;</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standards implemented by clinical or regulatory agencies may change at any time and we cannot be certain what regulatory agencies may require in pivotal clinical trials for the approval of sozinibercept ;</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later stage clinical trials may not be as favorable as the results we have observed to date in our preclinical studies and phase 1 and phase 2 clinical trials;</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of the number and type of clinical trials and non-clinical studies that the FDA or comparable non-U.S. regulatory agencies will require in order to approve sozinibercept combination therapy for the treatment of wet AMD, DME or any other indication, including an approved label for use of sozinibercept in combination with multiple anti-VEGF-A therapies for the treatment of wet AMD;</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products following approval, including when used in combination with existing therapies;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19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Masked data from patients that have completed the week 52 visit in the ongoing Phase 3 clinical trials show greater mean best corrected visual acuity ("BCVA") increases from baseline than results with standard of care anti-VEGF-A monotherapy from our Phase 2b study. Masked data represent pooled data from both sozinibercept combination and standard of care monotherapy treatment arms. However, the Phase 3 clinical trial masked data are incomplete and subject to additional analysis once unmasked, and the majority of patients enrolled in the Phase 3 clinical trials had not completed the week 52 visit at the time of the analysis. There is no assurance that standard of care monotherapy in our Phase 3 clinical trials will yield similar results to our prior clinical trials or previously published clinical trials with anti-VEGF-A monotherapies. As a result, there can be no assurance that top-line results for sozinibercept from the Phase 3 clinical trials, if completed, will be consistent with results from masked data available to date</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Many of these risks as described above are beyond our control, including the risks related to clinical development, the regulatory submission process, potential threats to our intellectual property rights and the manufacturing, marketing and sales efforts of any future collaborator. Of the large number of drugs in development in the pharmaceutical industry, only a small percentage result in the submission of a New Drug Application or a Biologics License Application, or BLA, to the FDA and even fewer are approved for commercialization. Furthermore, even if we do receive regulatory approval to market sozinibercept , any such approval may be subject to limitations on the indicated uses or patient populations for which we may market the products. Accordingly, even if we are able to obtain the requisite financing to continue to fund our development programs, we may be unable to successfully develop or commercialize sozinibercept . If we or any of our future development collaborators are unable to develop, or obtain regulatory approval for, or, if approved, successfully commercialize sozinibercept, we may not be able to generate sufficient revenue to continue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uncertain timelines and uncertain outcomes. Our clinical trials may fail to adequately demonstrate the safety and efficacy of sozinibercept or any future product candidates.</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Sozinibercept and any future product candidates will be subject to rigorous and extensive clinical trials and extensive regulatory approval processes implemented by the FDA and comparable non-U.S. regulatory authorities before obtaining marketing approval from these regulatory authorities. The drug development and approval process is lengthy and expensive, and approval is never certain. Top-line data is expected to be reported after all patients complete the 52-week treatment period for the primary analysis, which we anticipate for COAST and ShORe in early in the second calendar quarter of 2025 and mid-calendar 2025, respectively. Investigational new drugs, such as sozinibercept , may not prove to be safe and effective in clinical trials. We may be unable in the future to conduct clinical trials at preferred sites, enlist clinical investigators, enroll sufficient numbers of participants or begin or successfully complete clinical trials in a timely fashion, if at all. In particular, we have incurred and experienced, and may continue to incur and experience in the future, significantly increased costs and delays in connection with the activities conducted by third-party CROs, CDMOs and other third parties to progress our Phase 3 clinical trials. In addition, the design of a clinical trial can determine whether its results will support approval of a product, and flaws in the design of a clinical trial may not become apparent until the clinical trial is well advanced.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experienced, and if we continue to experience delays in clinical testing, our commercial prospects will be harmed, our costs may increase and our business may be harmed.</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Conducting clinical trials for any product candidates in the United States requires filing an investigational new drug application, or IND, and reaching agreement with the FDA on clinical protocols, finding appropriate clinical sites and clinical investigators, securing approvals for such trials from the institutional review board at each such site, manufacturing clinical quantities of product candidates and supplying drug product to clinical sites. Currently, we have an active IND with the FDA in the United States for sozinibercept. If any such future IND is not cleared by the FDA, our clinical development timeline may be negatively impacted and any future clinical programs may be delayed or terminated.</w:t>
      </w:r>
    </w:p>
    <w:p>
      <w:pPr>
        <w:spacing w:after="0" w:line="18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cannot guarantee that we will be able to successfully accomplish required regulatory activities or all of the other activities necessary to initiate and complete clinical trials. As a result, our clinical trials may be extended, delayed or terminated, and we may be unable to obtain regulatory approvals or successfully commercialize our products. We do not know whether any other clinical trials will begin as planned, will need to be restructured or will be completed on schedule, or at all. In particular, we have incurred and experienced, and may continue to incur and experience in the future, significantly increased costs and delays in connection with the activities conducted by third-party CROs, CDMOs and other third parties to progress our Phase 3 clinical trials. Our product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development costs will increase if we continue to experience delays in clinical testing. Significant clinical trial delays also could shorten any periods during which we may have the exclusive right to commercialize sozinibercept and any future product candidates or allow our competitors to bring products to market before we do, which would impair our ability to successfully commercialize sozinibercept or any future product candidates and may harm our business, results of operations and prospects. Events that have in the past and may in the future result in a delay or unsuccessful completion of clinical development include:</w:t>
      </w:r>
    </w:p>
    <w:p>
      <w:pPr>
        <w:spacing w:after="0" w:line="183"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of financial resources to commence and complete planned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CROs, and clinical trial sites;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labeling, including adding limitations on approved uses or the additions of additional warnings, contraindications or other safety information including boxed warnings;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discussions with the FDA or comparable non-U.S. regulatory authorities regarding the scope or design of our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deviations from the trial protocol by clinical trial sites and investigators, or failures to conduct the trial in accordance with regulatory requirements;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repeat clinical trials as a result of inconclusive or negative results or poorly executed testing or changes in required endpoints by the FDA or comparable non-U.S. authorities;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inspection and review of a clinical trial site or records of any clinical or preclinical investigation;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of a clinical hold on a clinical trial by the FDA or comparable non-U.S. authorities;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or the inability to obtain, required approvals from institutional review boards or other governing entities at clinical sites selected for participation in our clinical trials;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 parties, such as CROs or CDMOs, to satisfy their contractual duties to us or meet expected deadlines;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the product candidates to the clinical sites;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deficient quality of product candidate materials or other materials necessary to conduct our clinical trials, including of drugs to be used in the proposed combination therapy with our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participants into our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patients completing a trial or returning for post-treatment follow-up;</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patients dropping out of a trial due to side effects, disease progression or otherwise;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adverse effects experienced by participants in our clinical trials;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new, or changes to, guidance or interpretations from the FDA or comparable non-U.S. authorities with respect to approval pathways for any product candidates we are pursuing;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 or lack of adequate funding to continue the clinical trials.</w:t>
      </w:r>
    </w:p>
    <w:p>
      <w:pPr>
        <w:spacing w:after="0" w:line="22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or our future collaborators’ inability to timely complete clinical trials could result in additional costs to us as well as impair our ability to, continue development, commercialize sozinibercept or any future product candidates and generate product revenue or receive royalties on product sales. In addition, if we make changes to a product candidate, we may need to conduct additional nonclinical studies or clinical trials to bridge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demonstrate the comparability of our modified product candidate to earlier versions, which could delay our clinical development plan or marketing approval for our current product candidate and any future product candidates.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encountered difficulties in enrolling patients in our clinical trials and if we encounter such difficulties in the future, our clinical development activities could be delayed or otherwise negatively affected.</w:t>
      </w:r>
    </w:p>
    <w:p>
      <w:pPr>
        <w:spacing w:after="0" w:line="15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timely completion of clinical trials largely depends on patient enrollment. Enrollment in our Phase 3 clinical trials has in the past been challenged in part by the COVID-19 pandemic, supply chain issues, global and regional inflation, national and local recessions, challenges in hiring, qualified staff (at sites, our CRO and distribution locations), local regulatory approvals importation and custom requirements and administrative delays. We have encountered delays in the past and may in the future encounter delays in enrolling, or be unable to enroll, a sufficient number of patients to complete any of our clinical trials, and even once enrolled, we may be unable to retain a sufficient number of patients to complete any of our trials. Many factors have affected enrollment for our Phase 3 clinical trials, as described above, and additional factors may continue to affect patient enrollment for any of our future clinical trials, including:</w:t>
      </w:r>
    </w:p>
    <w:p>
      <w:pPr>
        <w:spacing w:after="0" w:line="189"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which may be limited due to eligibility requirements;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sites;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patients;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amount of any patient stipend;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and maintain patient consents;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adverse events or other side effects observed, if 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participants will drop out before completion; and</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 clinicians’ and patients’ perceptions as to the potential advantages of the drug being studied in relation to other available therapies.</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other companies are conducting clinical trials for the same indications and seek to enroll patients in their trials that may otherwise be eligible for our clinical studies or trials, which could lead to slow recruitment and delays in our clinical programs. Further, since the number of qualified clinical investigators is limited, we expect to conduct some of our clinical trials at the same clinical trial sites that some of our competitors use, which could further reduce the number of patients who are available for our clinical trials in these sites.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Sozinibercept or any future product candidates may cause undesirable side effects or have other properties that could delay or prevent their regulatory approval or limit the commercial profile of an approved label.</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Undesirable side effects caused by sozinibercept combination therapy or any future product candidates could cause us or regulatory authorities to interrupt, delay or halt clinical trials and could result in a more restrictive label or the delay or denial of regulatory approval by the FDA or other comparable non-U.S. regulatory authorities. Additional clinical trials may be required to evaluate the safety profile of sozinibercept combination therapy or any future product candidates. We have no clinical safety data on patient exposure to sozinibercept administered in combination with an anti-VEGF-A therapy for longer than 24 weeks.</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Future results of our trials could reveal a high and unacceptable severity and prevalence of side effects or unexpected characteristics, including, for example, immunogenicity. In such an event, we could suspend or terminate our trials, or the FDA or comparable non-U.S. regulatory authorities could order us to cease clinical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trials or deny approval of sozinibercept in combination with anti-VEGF-A therapy or any future product candidates for any or all targeted indications. Drug-related side effects could affect patient recruitment or the ability of enrolled subjects to complete the trial or result in potential product liability claims. Any of these occurrences could materially and negatively affect our business, financial condition, results of operations and prospects. While sozinibercept has been well tolerated in our completed clinical trials, dosed patients have experienced certain adverse events, including potentially treatment-related serious adverse events, or SAEs, of myocardial infarction, endophthalmitis and vitritis in our Phase 2b clinical trial of sozinibercept combination therapy for the treatment of wet AMD, and a potentially treatment-related SAE of stroke for one patient in our Phase 1b/2a clinical trial of sozinibercept combination therapy for the treatment of DME.</w:t>
      </w:r>
    </w:p>
    <w:p>
      <w:pPr>
        <w:spacing w:after="0" w:line="18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It may be difficult to discern whether certain events or symptoms observed during our clinical trials or by patients using our approved products are related to sozinibercept or any future product candidates or approved products, including anti-VEGF-A therapies used in combination with sozinibercept, or some other factor. As a result, we and our development programs may be negatively affected even if such events or symptoms are ultimately determined to be unlikely related to sozinibercept or any future product candidates or approved products. We are developing sozinibercept to complement existing VEGF-A inhibitors, including ranibizumab and aflibercept. There are some potential side effects associated with intravitreal anti-VEGF-A therapies such as intraocular hemorrhage, intraocular pressure elevation, retinal detachment, inflammation, vasculitis, artery occlusion or infection inside the eye and over-inhibition of VEGF, as well as the potential for potential systemic side effects such as heart attack, stroke, wound-healing problems and high blood pressure. Further, sozinibercept in combination with anti-VEGF-A therapies for the treatment of wet AMD is administered as sequential intravitreal injections over several weeks. There are risks inherent in the intravitreal injection procedure of drugs such as existing anti-VEGF-A therapies in combination with sozinibercept which can cause injury to the eye and other complications including conjunctival hemorrhage, punctate keratitis, eye pain, conjunctival hyperemia, which results in a discharge, intraocular inflammation and inflammation of the interior of the eye. For example, in our completed clinical trials, patients dosed with sozinibercept have experienced potentially treatment-related ocular adverse events such as eye pain, vitreous floaters, eye irritation and raised intraocular pressure.</w:t>
      </w:r>
    </w:p>
    <w:p>
      <w:pPr>
        <w:spacing w:after="0" w:line="18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cannot assure you that additional or more severe adverse side effects than those observed to date related to sozinibercept combination therapy or any future product candidates will not be observed in our clinical trials or in the commercial setting. If observed, such adverse side effects could delay or preclude regulatory approval of sozinibercept combination therapy or any future product candidates, limit commercial use or result in the withdrawal of previously granted marketing approvals. If we or others identify undesirable or unacceptable side effects caused by sozinibercept combination therapy or any future product candidates or products:</w:t>
      </w:r>
    </w:p>
    <w:p>
      <w:pPr>
        <w:spacing w:after="0" w:line="183"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modify, suspend or terminate our clinical trials;</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modify or include additional dosage and administration instructions, warnings and precautions, contraindications, boxed warnings, limitations, restrictions or other statements in the product label for our approved products, or issue field alerts to physicians and pharmacies;</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create a risk evaluation and mitigation strategy, or REMS, which could include a medication guide outlining the risks of such side effects for distribution to patients, a communication plan for healthcare providers, and/or other elements to assure safe use;</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costly additional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our approved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approved products may decrease significantly;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take our approved products off the market;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government enforcement actions, litigation or product liability claims;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become less competitive or our reputation may suffer.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4"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Any of these results could decrease or prevent any sales of our approved product or substantially increase the costs and expenses of commercializing and marketing our product.</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Phase 3 pivotal clinical trials, the marketing approval process is expensive, time-consuming and uncertain and may prevent us or any future collaboration partners from obtaining approvals for the commercialization of sozinibercept for the treatment of wet AMD or any other indication as well as for any other product candidate we develop.</w:t>
      </w:r>
    </w:p>
    <w:p>
      <w:pPr>
        <w:spacing w:after="0" w:line="17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Any product candidate we may develop and the activities associated with their development and commercialization, including their design, testing, manufacture, safety, efficacy, recordkeeping, labeling, storage, approval, advertising, promotion, and sale and distribution, are subject to comprehensive regulation by the FDA and other regulatory authorities in the United States and by comparable non-U.S. regulatory authorities.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are developing or may seek to develop in the future will ever obtain regulatory approval. While we expect to expand our internal regulatory function to support the marketing approval process for sozinibercept, we have no prior experience in filing and supporting the applications necessary to gain marketing approvals and expect to rely in part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biologic product candidate’s safety, purity, efficacy and potency.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in other jurisdictions,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8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any product candidates we may develop, the commercial prospects for those product candidates, including for sozinibercept in other indications, may be harmed, and our ability to generate revenues will be materially impaired.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Lack of efficacy, adverse events or undesirable side effects may emerge in clinical trials conducted by third parties with product candidates for wet AMD or DME, which could negatively affect our stock price, our ability to attract additional capital and our development program.</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Lack of efficacy, adverse events or undesirable side effects may emerge in clinical trials conducted by third parties developing product candidates for wet AMD or DME. In addition, other companies have developed products for wet AMD and DME, including product candidates administered in combination with anti-VEGF-A therapies, and have suffered setbacks and clinical trial failures in the past, including failures of primary endpoints in Phase 3 pivotal clinical trials following positive data from Phase 1 and 2 trials. Lack of efficacy, adverse events or undesirable side effects experienced by subjects in third party clinical trials currently being conducted or previously conducted could negatively affect our stock price, our ability to attract additional capital and our development of sozinibercept or even the viability of sozinibercept as a product candidate. In addition, any such adverse events or undesirable side effects may lead to increased regulatory requirements for, or additional regulatory review of, sozinibercept, which may result in delays in development and commercialization of sozinibercept and harm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completed clinical trials may not be predictive of future results. Data from our clinical trials to date may not be indicative of results obtained when these trials are completed or in later-stage trials.</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There is a high failure rate for drugs and biologic products proceeding through clinical trials. Failure can occur at any time during the clinical trial process. The results of completed clinical trials of sozinibercept or any future product candidate may not be predictive of the results of later-stage clinical trials, including our Phase 3 trials of sozinibercept in combination with anti-VEGF-A therapy for the treatment of wet AMD, and the results of trials in certain patients may not be predictive of those obtained in another. In fact, many companies in the pharmaceutical and biotechnology industries have suffered significant setbacks in late-stage clinical trials even after achieving promising results in earlier stage clinical trials. In addition, data obtained from clinical activities is subject to varying interpretations, which may delay, limit or prevent regulatory approval.</w:t>
      </w:r>
    </w:p>
    <w:p>
      <w:pPr>
        <w:spacing w:after="0" w:line="18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results of our Phase 2b clinical trial of sozinibercept combination therapy may not be predictive of the results of our Phase 3 clinical program due, in part, to the fact that we have no clinical data on sozinibercept in combination with anti-VEGF-A therapy in any clinical trial longer than 24 weeks and that we are conducting our Phase 3 clinical trials at many clinical centers that were not included in our Phase 2b clinical trial. The number of patients exposed to product candidates and the average exposure time in prior clinical trials may be inadequate to detect rare adverse events or findings that may only be detected once a product candidate is administered to more patients and for greater periods of time. Any approved label for sozinibercept combination therapy may also be limited if our Phase 3 clinical trial results do not show long-term clinically significant efficacy results, including for over 12 months or in combination with either of the approved anti-VEGF-A therapies. In addition, if a combination of sozinibercept with an anti-VEGF-A therapy in our Phase 3 clinical program for the treatment of wet AMD does not achieve clinically significant superiority over anti-VEGF-A monotherapy with statistical significance on the primary endpoints of our Phase 3 clinical trials, or the FDA or a comparable non-U.S. regulatory authority requires additional clinical trials beyond our Phase 3 clinical program to support an approved label of sozinibercept used in combination with multiple anti-VEGF-A therapies, our ability to successfully commercialize sozinibercept in combination with anti-VEGF-A therapy for the treatment of wet AMD would be harmed.</w:t>
      </w:r>
    </w:p>
    <w:p>
      <w:pPr>
        <w:spacing w:after="0" w:line="19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For example, masked data from patients that have completed the week 52 visit in the ongoing Phase 3 clinical trials show greater mean BCVA increases from baseline than results with standard of care anti-VEGF-A monotherapy from our Phase 2b study. Masked data represent pooled data from both sozinibercept combination and standard of care monotherapy treatment arms. However, the Phase 3 clinical trial masked data are incomplete and subject to additional analysis once unmasked and the majority of patients enrolled in the trial had not completed the week 52 visit at the time of the analysis. There is no assurance that standard of care monotherapy in our Phase 3 clinical trials will yield similar results to our prior clinical trials or previously published clinical trials with anti-VEGF-A monotherapies. As a result, there can be no assurance that top-line results for sozinibercept from the Phase 3 clinical trials, if completed, will be consistent with results from masked data available to date.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 addition, we may report interim analyses of only certain endpoints rather than all endpoints. Interim data from clinical trials that we may complete are subject to the risk that one or more of the clinical outcomes may materially change as more patient data become available.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addition, adverse changes between interim data and final data could significantly harm our business and prospects. Additional disclosure of interim data by us or by our competitors in the future could also result in volatility in the price of the ADSs and our ordinary shares.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top-line data that we report differ from actual results, or if others, including regulatory authorities, disagree with the conclusions reached, our ability to obtain approval for, and commercialize, sozinibercept or any future product candidates may be harmed, which could harm our business, financial condition, results of operations and prospects.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substantial competition, which may result in others discovering, developing or commercializing competing products before or more successfully than us.</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biopharmaceutical industry is intensely competitive and subject to rapid innovation and significant technological advancements. We believe the key competitive factors that will affect the development and commercial success of sozinibercept or any future product candidates are efficacy, safety and tolerability profile, reliability, convenience of dosing, price, the level of generic competition and reimbursement. Our competitors include multinational pharmaceutical companies, specialized biotechnology companies, universities and other research institutions. A number of biotechnology and pharmaceutical companies are pursuing the development or marketing of pharmaceuticals that target the same diseases that we are targeting. Smaller or earlier-stage companies may also prove to be significant competitors, particularly through collaborative arrangements with large, established companies.</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There are a number of large pharmaceutical and biotechnology companies that are currently pursuing the development of products for the treatment of wet AMD and DME or have commercially approved products for the treatment of wet AMD or DME, including Roche, Regeneron and Novartis. The current standard of care for wet AMD is monotherapy administration of anti-VEGF-A therapies, including ranibizumab, aflibercept and faricimab, as well as off-label use of bevacizumab. These drugs are well established therapies and are widely accepted by physicians, patients and third-party payors, which may make it difficult to convince these parties to switch to sozinibercept combination therapy. In addition to competition from other companies directly targeting wet AMD or DME, any products we may develop may also face competition from other types of therapies or patient and physician preferences. In addition, many companies are developing new therapeutics, and we cannot predict what the standard of care will be as sozinibercept or any future product candidates progress through development to potential commercialization.</w:t>
      </w:r>
    </w:p>
    <w:p>
      <w:pPr>
        <w:spacing w:after="0" w:line="19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If our competitors market products that are more effective, safer or cheaper than our products, are more durable, have reduced injection burden compared to our products (including sozinibercept), or reach the market sooner than our products, we may not achieve commercial success. In addition, the biopharmaceutical industry is characterized by rapid technological change. If we fail to stay at the forefront of technological change, we may be unable to compete effectively. Technological advances or products developed by our competitors may render our technologies, products or product candidates obsolete, less competitive or not economical.</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Many of our competitors have substantially greater financial, technical, human and other resources than we do and may be better equipped to develop, manufacture and market technologically superior products. In addition, many of these competitors have significantly longer operating histories and greater experience than we have in undertaking nonclinical studies and human clinical trials of new pharmaceutical products and in obtaining regulatory approvals of human therapeutic products. Clinical trials for the treatment of wet AMD and DME may be relatively costly and time-consuming. The requirements for approval by the FDA and comparable non-U.S. regulatory authorities may change over time and this may require changes to ongoing or future clinical trial designs that could impact timelines and cost. Further, many of our competitors have established distribution channels for the commercialization of their products, whereas we have no such channel or capabilities. In addition, many competitors have greater name recognition and more extensive collaborative relationships.</w:t>
      </w:r>
    </w:p>
    <w:p>
      <w:pPr>
        <w:spacing w:after="0" w:line="19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As a result, our competitors may obtain regulatory approval of their products more rapidly than we do or may obtain patent protection or other intellectual property rights that limit our ability to develop or commercialize our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product candidate or any future product candidates. Our competitors may also develop and succeed in obtaining approval for drugs that are more effective, more convenient, more widely used and less costly or have a better safety profile than our products and these competitors may also be more successful than we are in manufacturing and marketing their products. If we are unable to compete effectively against these companies, then we may not be able to commercialize our product candidate or any future product candidates or achieve a competitive position in the market. This would negatively affect our ability to generate revenue. Our competitors also compete with us in recruiting and retaining qualified scientific, management and commercial personnel, establishing clinical trial sites and enrolling patients for clinical trials, as well as in acquiring technologies complementary to, or necessary for, our programs. Our inability to compete effectively in any of these aspects of our business could harm our business, financial condition, results of operations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Fast-Track designation by the FDA may not lead to a faster development or regulatory review or approval process and does not increase the likelihood that our product candidates will receive marketing approval.</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If a drug or biologic is intended for the treatment of a serious or life-threatening condition and the product demonstrates the potential to address unmet medical needs for this condition, the sponsor may apply for FDA Fast-Track designation for a particular indication. Sozinibercept in combination with anti-VEGF-A therapy was granted Fast-Track designation for the treatment of wet AMD in July 2021 and we may seek Fast-Track designation for certain of our future product candidates, but there is no assurance that the FDA will grant this status to any of our future product candidates. If granted, Fast-Track designation makes a product eligible for more frequent interactions with the FDA to discuss the development plan and clinical trial design, as well as rolling review of the application, which means that the company can submit completed sections of its marketing application for review prior to completion of the entire submission. Marketing applications of products candidates with Fast-Track designation may qualify for Priority Review under the policies and procedures offered by the FDA, but the Fast-Track designation does not assure any such qualification or ultimate marketing approval by the FDA. The FDA has broad discretion whether or not to grant Fast-Track designation, so even if we believe a particular product candidate is eligible for this designation, there can be no assurance that the FDA would decide to grant it. Even if we do receive Fast-Track designation, we may not experience a faster development process, review or approval compared to conventional FDA procedures, and receiving a fast-track designation does not provide any assurance of ultimate FDA approval. In addition, the FDA may withdraw Fast-Track designation if it believes that the designation is no longer supported by data from our clinical development program. In addition, the FDA may withdraw any Fast-Track designation at any time.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Sozinibercept and any future product candidates may not achieve adequate market acceptance among physicians, patients, healthcare payors and others in the medical community necessary for commercial success.</w:t>
      </w:r>
    </w:p>
    <w:p>
      <w:pPr>
        <w:spacing w:after="0" w:line="15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healthcare payors and others in the medical community. Given the number of drugs in development or currently approved for the treatment of wet AMD and DME, if we are unsuccessful in achieving a differentiated profile with sozinibercept, including in combination with existing therapies, based on efficacy, safety and tolerability, dosing and administration, market acceptance will be limited. For example, current treatments for wet AMD, including ranibizumab, aflibercept and low-cost, off-label use of bevacizumab, are well established in the medical community and perceived as demonstrating meaningful clinical response in many cases. As a result, doctors may continue to rely on these treatments without sozinibercept or may continue to use such existing treatments as first-line therapies. The medical community may also resist adopting a combination therapy over monotherapy for any of our targeted indications. In particular, recent clinical development has focused on maintaining vision gains with a VEGF-A inhibitor while reducing the number of injections. While we plan to evaluate the potential for co-formulation of sozinibercept with approved and/or biosimilar forms of VEGF-A inhibitors to provide flexibility of treatment options for physicians and to reduce the frequency and number of injections for patients, there can be no assurance that we will be successful or that any co-formulated product will have a favorable safety profile. If we are unable to reduce the injection burden of sozinibercept combination therapy or demonstrate sufficient efficacy improvements with a comparatively higher frequency and number of injections over standard of care anti-VEGF-A therapies, develop a co-formulation of sozinibercept for patients or otherwise increase the duration of efficacy of sozinibercet doses, or if physicians determine that a more frequent regimen is necessary, the market acceptance of sozinibercept may be limited which would harm our business, financial condition and results of operations.</w:t>
      </w:r>
    </w:p>
    <w:p>
      <w:pPr>
        <w:spacing w:after="0" w:line="19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addition, the potential market opportunity for sozinibercept is difficult to estimate precisely. If sozinibercept receives marketing approval for the treatment of wet AMD, it will be approved solely for use in combination with one or more anti-VEGF-A therapies, and may be limited to use with only one anti-VEGF-A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therapy for the treatment of wet AMD depending on whether the results from each of our Phase 3 clinical trials support an approved label for use of sozinibercept in combination with more than one anti-VEGF-A therapy. The market opportunity for sozinibercept will be dependent upon the continued use of anti-VEGF-A therapies in the treatment of wet AMD and the market share of such anti-VEGF-A therapies for which sozinibercept is approved as a combination therapy. The degree of market acceptance of any of our approved product candidates will depend on a number of factors, including:</w:t>
      </w:r>
    </w:p>
    <w:p>
      <w:pPr>
        <w:spacing w:after="0" w:line="180"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dosing profile of the product candidate as demonstrated in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REMS which may include distribution or use restrictions;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 a subgroup of patients;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physicians and patients;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candidate over alternative treatments, including any similar generic treatments;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and pricing by third parties and government authorities;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in the absence of coverage and/or adequate reimbursement from third-party payors;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 candidate.</w:t>
      </w:r>
    </w:p>
    <w:p>
      <w:pPr>
        <w:spacing w:after="0" w:line="22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Sales of medical products also depend on the willingness of physicians to prescribe the treatment, which is likely to be based on a determination by these physicians that the products are safe, therapeutically effective and cost-effective.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products are safe, therapeutically effective and cost-effective as compared with competing treatments.</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sozinibercept combination therapy may require significant resources and may not be successful. Demonstrating the safety and efficacy of our product candidates and obtaining regulatory approvals will not guarantee future revenue. Our commercial success also depends on coverage and adequate reimbursement of our product candidates by third-party payors, including government payors, which may be difficult or time-consuming to obtain, may be limited in scope and may not be obtained in all jurisdictions in which we may seek to market our products.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that we or our strategic collaborators develop are smaller than we believe they are, our revenue may be negatively affected and our business may suffer.</w:t>
      </w:r>
    </w:p>
    <w:p>
      <w:pPr>
        <w:spacing w:after="0" w:line="15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intend to focus our product candidate development on therapies for the treatment of wet AMD and additional retinal disease indications such as DME or retinal vein occlusion, or RVO. Our projections of addressable patient populations that have the potential to benefit from treatment with our product candidate 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estimates. These estimates have been derived from a variety of sources, including the scientific literature, surveys of clinics, patient foundations or market research, and may prove to be incorrect. Further, new studies may change the estimated incidence or prevalence of these diseases. The number of patients may turn out to be lower than expected.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are inaccurate, the market opportunities for any of our product candidates could be significantly diminished and have an adverse impact on our business.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sozinibercept is approved by the FDA as a combination therapy for the treatment of wet AMD, the approval will be limited to this specific indication and, unless we seek regulatory approval for additional indications, we will be prohibited from marketing sozinibercept for other indications. We may be subject to fines, penalties or injunctions if we are determined to have promoted or be promoting the use of sozinibercept for unapproved or “off-label” uses, resulting in damage to our reputation and business.</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If sozinibercept receives marketing approval for the treatment of wet AMD, it will be approved solely for use in combination with one or more anti-VEGF-A therapies, and may be limited to only one anti-VEGF-A therapy for the treatment of wet AMD depending on the results of our ongoing pivotal Phase 3 clinical trials. Although we are also developing sozinibercept for other retinal diseases, any regulatory approval of sozinibercept for wet AMD would not cover the treatment of any other indication. As a result, we would be prohibited from promoting sozinibercept for the treatment of DME unless we are granted FDA approval for such indication.</w:t>
      </w:r>
    </w:p>
    <w:p>
      <w:pPr>
        <w:spacing w:after="0" w:line="183"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FDA strictly regulates the promotional claims that may be made about prescription products. 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that are not specifically approved by the FDA or comparable non-U.S. regulatory authorities. These “off-label”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biotechnology or pharmaceutical companies on off-label use. If the FDA determines that our promotional activities constitute promotion of an off-label use, it could request that we modify our promotional materials and subject us to FDA regulatory or enforcement actions as well as actions by other agencies, including issuance of warning letters or untitled letters, suspension or withdrawal of an approved product from the market, mandatory or voluntary recalls, civil fines, disgorgement of money, operating restrictions, additional reporting requirements and/or oversight if we become subject to a corporate integrity agreement or similar agreement, injunctions or criminal prosecution, any of which could significantly harm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Sozinibercept is being developed to be used as a combination therapy for use with anti-VEGF-A therapies, which exposes us to additional risks.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are developing sozinibercept to be used in combination with VEGF-A inhibitors. Even if sozinibercept were to receive marketing approval or be commercialized, we would continue to be subject to the risks that the FDA or similar regulatory authorities could revoke approval of some or all approved anti-VEGF-A therapies for safety, efficacy, manufacturing or supply issues. This could result in sozinibercept being restricted from commercialization or being less commercially successful.</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may also evaluate sozinibercept or other future product candidates in combination with one or more other product candidates that have not yet been approved for marketing by the FDA or similar foreign regulatory authorities. We will not be able to market and sell sozinibercept or any product candidate we develop in combination with any such unapproved therapies that do not ultimately obtain marketing approval.</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the FDA or similar foreign regulatory authorities do not approve these other product candidates or revoke their approval of, or if safety, efficacy, manufacturing, or supply issues arise with, the drugs we choose to evaluate in combination with sozinibercept or any product candidate we develop, we may be unable to obtain approval of or market sozinibercept or any product candidate we develop.</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commercialize additional product candidates, we may be unable to grow our business.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Although the development and commercialization of sozinibercept is currently our primary focus, as part of our longer-term growth strategy, we plan to evaluate the development and commercialization of other therapies related to retinal diseases. The success of this strategy depends primarily upon our ability to identify and validate new therapeutic candidates, and to identify, develop and commercialize new drugs and biologics. Our research efforts may initially show promise in discovering potential new drugs and biologics, yet fail to yield product candidates for clinical development for a number of reasons, including:</w:t>
      </w:r>
    </w:p>
    <w:p>
      <w:pPr>
        <w:spacing w:after="0" w:line="183"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rely on third parties to generate molecules for some of our product candidate programs;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product manufacturing difficulties that limit yield or produce undesirable characteristics that increase the cost of manufacturing our product candidates, cause delays or make our product candidates unmarketable;</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may cause adverse effects in patients or subjects, even after successful initial toxicology studies, which may make the product candidates unmarketable;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may not demonstrate a meaningful benefit to patients or subjects; and</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collaboration partners may change their development profiles or plans for potential product candidates or abandon a therapeutic area or the development of a partnered product.</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one or more programs, which could harm our business, operating results and prospects and could potentially cause us to cease operations. Future research programs to identify new product candidates may require substantial technical, financial and human resources. We may focus our efforts and resources on potential programs or product candidates that ultimately prove to be unsuccessful.</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Product candidates may require additional, time-consuming development efforts prior to commercial sale, including preclinical studies, clinical trials and approval by the FDA and/or comparable non-U.S.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be successfully commercialized, be widely accepted in the marketplace or be more effective than other commercially available alternatives.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was and may in the future be negatively affected by the effects of health epidemics, in regions where we or third parties on which we rely have significant manufacturing facilities, concentrations of clinical trial sites or other business operations.</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Health epidemics in regions where we have concentrations of clinical trial sites or other business operations could negatively affect our business, including by causing significant disruption in the operations of third-party manufacturers and CROs upon whom we rely. For example, the novel coronavirus disease 2019, or COVID-19, negatively impacted our ability to initiate clinical trial sites, maintain patient enrollment and enroll new patients. Our ability to attract additional clinical trial sites and principal investigators to conduct our clinical trials and to conduct the necessary clinical trial site initiation procedures were negatively impacted by quarantines, shelter-in-place and similar restrictions imposed by federal, state and local governments.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Moreover, we rely on third-party CROs, CDMOs and other third parties to assist us with clinical development activities. We experienced significantly increased costs and delays in connection with the activities conducted by third-party CROs CDMOs and other third parties to prepare for and progress our Phase 3 clinical trials, due in part to the COVID-19 pandemic and its related effects. The outbreak of health epidemics in the future could cause significant disruptions to our clinical development timelines, which would harm our business, financial condition, results of operations and growth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and retain key leadership and other personnel, otherwise prevent new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had to furlough critical employees and stop critical activities. Separately, in response to the COVID-19 pandemic, in March 2020, the FDA temporarily postponed inspections of manufacturing facilities. Regulatory authorities outside the United States may adopt similar restrictions or other policy measures or issue guidance materially affecting the conduct of clinical trials.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or delays could impact our ability to access the public markets and obtain necessary capital in order to properly capitalize and continue our operations.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commercialize sozinibercept or any future product candidate, we may face challenges to achieving profitability such as our products becoming subject to unfavorable pricing regulations, third-party reimbursement practices or healthcare reform initiatives, which could harm our business.</w:t>
      </w:r>
    </w:p>
    <w:p>
      <w:pPr>
        <w:spacing w:after="0" w:line="17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the United States and in other countries, patients who are prescribed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TRICARE), managed care providers, private health insurers, health maintenance organizations and other organizations are essential for most patients to be able to afford medical services and pharmaceutical products such as sozinibercept or any our product candidates. Third-party payors decide which medications they will pay for and establish reimbursement levels. The availability of coverage and extent of reimbursement by governmental and other third-party payors are essential for most patients to be able to afford treatments such as sozinibercept .</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the United States, the principal decisions about reimbursement for new medicines are typically made by the Centers for Medicare &amp; Medicaid Services, or CMS, an agency within the U.S. Department of Health and Human Services, or HHS. CMS decides whether and to what extent our products will be covered and reimbursed under Medicare and private payors tend to follow CMS to a substantial degree. Other countries have equivalent authorities who play a similar role. Factors payors consider in determining reimbursement are based on whether the product is:</w:t>
      </w:r>
    </w:p>
    <w:p>
      <w:pPr>
        <w:spacing w:after="0" w:line="180"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4"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ability to commercialize any products successfully will depend in part on the extent to which coverage and adequate reimbursement for these products and related treatments will be available from third-party payors, including government health care programs and private health insurers. Moreover, a payor’s decision to provide coverage for a drug product does not imply that an adequate reimbursement rate will be approved. If coverage and adequate reimbursement are not available, or are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8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w:t>
      </w:r>
    </w:p>
    <w:p>
      <w:pPr>
        <w:spacing w:after="0" w:line="183"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Government authorities and other third-party payors in the United States and abroad have attempted to control costs by limiting coverage and the amount of reimbursement for particular medications and for newly approved products, and as a result, they may not cover or provide adequate reimbursement for sozinibercept and future product candidates. Increasingly, certain third-party payors are requiring that drug companies provide them with predetermined discounts from list prices and are challenging the prices charged for medical products. We cannot be sure that coverage and reimbursement will be available for any product that we or our future collaborators commercialize and, if reimbursement is available, what the level of reimbursement will be. Coverage and reimbursement may impact the demand for, or the price of, any product candidate for which we or our future collaborators obtain marketing approval. If coverage and reimbursement are not available or reimbursement is available only to limited levels, we and our future collaborators may not be able to successfully commercialize any product candidate for which marketing approval is obtained. A decision by a third-party payor not to cover or not to separately reimburse for our medical products or therapies using our products could reduce physician utilization of our products once approved. Assuming there is coverage for our product candidates, or therapies using our product candidates by a third-party payor, the resulting reimbursement payment rates may not be adequate or may require co-payments that patients find unacceptably high. We cannot be sure that coverage and reimbursement in the United States will be available for sozinibercept and any future product candidates and any reimbursement that may become available may not be adequate or may be decreased or eliminated in the future.</w:t>
      </w:r>
    </w:p>
    <w:p>
      <w:pPr>
        <w:spacing w:after="0" w:line="18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comparable non-U.S.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harm our operating results, our ability to raise capital needed to commercialize products and our overall financial condition.</w:t>
      </w:r>
    </w:p>
    <w:p>
      <w:pPr>
        <w:spacing w:after="0" w:line="19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approval of the sale price of a drug before it can be marketed. In many countries, the pricing review period begins after marketing or product-licensing approval is granted. In some non-U.S.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To become and remain profitable, we or any potential future collaborator must develop and eventually commercialize sozinibercept or any future product candidates with significant market potential at an adequate profit margin after cost of goods sold and other expenses. Commercialization of sozinibercept or any future product candidates may entail a substantial cost of goods sold and there can be no assurance that we will be able to achieve a suitable gross margin with respect to sales of sozinibercept or any future product candidates.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healthcare law and implementing regulations, as well as changes in healthcare policy, and equivalent changes in the laws and policies in other countries may impact our business in ways that we cannot currently predict and may harm our business and results of operations.</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There have been, and likely will continue to be, several executive, legislative and regulatory changes and proposed and enacted changes regarding the healthcare system that could prevent or delay marketing approval of product candidates, restrict or regulate post-approval activities and affect our ability to profitably sell any product candidates for which we obtain marketing approval. Among policy-makers and payors in the United States there is significant interest in promoting changes in healthcare systems with the stated goals of containing healthcare costs, improving quality and/or expanding access, and the pharmaceutical industry has been a particular focus of these efforts and has been significantly affected by major legislative initiatives.</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collectively referred to as the Affordable Care Act, substantially changed the way healthcare is financed by both the government and private insurers, and significantly impacts the U.S. pharmaceutical industry. The Affordable Care Act, among other things contains a number of provisions, including those governing enrollment in federal healthcare programs, reimbursement adjustments and changes to fraud and abuse laws.</w:t>
      </w:r>
    </w:p>
    <w:p>
      <w:pPr>
        <w:spacing w:after="0" w:line="1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On June 17, 2021, the U.S. Supreme Court dismissed a challenge on procedural grounds that argued the Affordable Care Act is unconstitutional in its entirety because the “individual mandate” was repealed by Congress. Further on August 16, 2022, President Biden signed the Inflation Reduction Act of 2022 or the IRA, into law, which among other things, extends enhanced subsidies for individuals purchasing health insurance coverage in the Affordable Care Act marketplaces through plan year 2025. The IRA also eliminates the “donut hole” under the Medicare Part D program beginning in 2025 by significantly lowering the beneficiary maximum out-of-pocket cost through a newly established manufacturer discount program. It is possible that the Affordable Care Act will be subject to additional challenges in the future. It is unclear how any such challenges and future healthcare reform measures will impact the Affordable Care Act.</w:t>
      </w:r>
    </w:p>
    <w:p>
      <w:pPr>
        <w:spacing w:after="0" w:line="18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Affordable Care Act was enacted. These changes include aggregate reductions to Medicare payments to providers of 2% per fiscal year pursuant to the Budget Control Act of 2011 and subsequent laws, which began in 2013 and will remain in effect until 2032,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(3) to five (5) years. New laws may result in additional reductions in Medicare and other healthcare funding, which may materially negatively affect customer demand and affordability for our products and, accordingly, the results of our financial operations.</w:t>
      </w:r>
    </w:p>
    <w:p>
      <w:pPr>
        <w:spacing w:after="0" w:line="18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Also, there has been heightened governmental scrutiny recently over the manner in which pharmaceutical companies set prices for their marketed products, which have resulted in several U.S. presidential executive orders, Congressional inquiries and proposed and enacted federal legislation, as well as state efforts, designed to, among other things, bring more transparency to product-pricing, reduce the cost of prescription drugs under Medicare, review the relationship between pricing and manufacturer patient programs, and reform government program reimbursement methodologies for drug products. For example, on September 9, 2021, HHS released a Comprehensive Plan for Addressing High Drug Prices that outlines principles for drug-pricing reform and 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out a variety of potential legislative policies that Congress could pursue as well as potential administrative actions HHS can take to advance these principles. In addition, the IRA directs the HHS Secretary to establish a Drug Price Negotiation Program (the “Program”) to lower prices for certain high-expenditure, single-source prescription drugs and biologics covered under Medicare Part B and Part D that have been approved by the FDA for at least seven (7) years for prescription drugs and at least eleven (11) years for biologics. Under the Program, the HHS Secretary will publish a list of “selected drugs,” and will then negotiate maximum fair prices (“MFP”) with their manufacturers. The Program will be implemented in stages. Beginning in 2026, ten</w:t>
      </w:r>
    </w:p>
    <w:p>
      <w:pPr>
        <w:spacing w:after="0" w:line="3"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Part D “selected drugs” will be subject to price negotiations. By 2029, and in subsequent years thereafter, the number will increase to twenty</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36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drugs and biologics covered under Medicare Part B and Part D. Agreements between HHS and manufacturers will remain in place until a drug or biologic is no longer considered a “selected drug” for negotiation purposes. Manufacturers who do not comply with the negotiated prices set under the Program will be subject to an excise tax based on a percentage of total sales of a “selected drug” up to 95% and potential civil monetary penalties. Further, effective October 2023, the IRA requires manufacturers that increase prices of certain Medicare Part B and Part D drugs or biologics at a rate greater than inflation to pay rebates to CMS or be subject to civil monetary penalties. HHS has and will continue to issue and update guidance as these programs are implemented. On August 29, 2023, HHS announced the list of the first ten drugs that will be subject to price negotiations, although the Medicare drug price negotiation program is currently subject to legal challenges. It is unclear how the IRA will be implemented but is likely to have a significant impact on the pharmaceutical industry.</w:t>
      </w:r>
    </w:p>
    <w:p>
      <w:pPr>
        <w:spacing w:after="0" w:line="19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At the state level, individual states in the United States are increasingly active in passing legislation and implementing regulations designed to control pharmaceutical and biological product-pricing, including price or patient-reimbursement constraints, discounts, restrictions on certain product access and marketing cost disclosure and transparency measures, and, in some cases, designed to encourage importation from other countries and bulk-purchasing.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product-pricing.</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criteria and lower reimbursement and put additional downward pressure on the price that we receive for any approved product. Any reduction in reimbursement from Medicare or other government-funded programs may result in a similar reduction in payments from private payors. The implementation of cost-containment measures or other healthcare reforms may prevent us from being able to generate revenue, attain profitability or commercialize our drugs once marketing approval is obtained. 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company with substantial operations outside of the United States, our business is subject to economic, political, regulatory and other risks associated with international operations.</w:t>
      </w:r>
    </w:p>
    <w:p>
      <w:pPr>
        <w:spacing w:after="0" w:line="15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a company with substantial operations in Australia with headquarters in Melbourne, and an international clinical trial program, our business is subject to risks associated with conducting business outside the United States. Many of our suppliers and clinical-trial relationships are located outside the United States. Accordingly, our future results could be harmed by a variety of factors, including:</w:t>
      </w:r>
    </w:p>
    <w:p>
      <w:pPr>
        <w:spacing w:after="0" w:line="176"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non-U.S. economies and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changing regulatory requirements for product approvals;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jurisdictions could present different issues for securing, maintaining or obtaining freedom to operate in such jurisdictions;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4" w:lineRule="exact"/>
        <w:rPr>
          <w:sz w:val="20"/>
          <w:szCs w:val="20"/>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regulations and customs, tariffs and trade barriers;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currency exchange rates, Australian dollar, U.S. dollar, euro and currency controls;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governments;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regimes and price controls in certain non-U.S.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administrative actions resulting from claims against us by current or former employees or consultants individually or as part of class actions, including claims of wrongful terminations, discrimination, misclassification or other violations of labor law or other alleged conduct;</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staffing and managing international operations, including differing labor relations;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health epidemics, or natural disasters including earthquakes, typhoons, floods and fires.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non-U.S. regulatory requirements governing clinical trials and marketing approval for drugs, we could be prevented from selling our product candidates in non-U.S. markets, which may negatively affect our operating results and financial condition.</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requirements governing the conduct of clinical trials, product-licensing, pricing and reimbursement for marketing our product candidates outside the United States vary greatly from country to country and may require additional testing. We expect that our future clinical development of our product candidates will involve a number of clinical trials in non-U.S. jurisdictions. We have no direct experience as a company in obtaining non-U.S. regulatory approvals. The time required to obtain approvals outside the United States may differ from that required to obtain FDA approval. We may not obtain non-U.S. regulatory approvals on a timely basis, if at all. Approval by the FDA does not guarantee approval by comparable non-U.S. regulatory authorities, and approval by one non-U.S. regulatory authority does not ensure approval by regulatory authorities in other countries or by the FDA. Failure to comply with these regulatory requirements or obtain required approvals could impair our ability to develop non-U.S. markets for our product candidates and may harm our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controls may be imposed in non-U.S. markets, which may negatively affect our future profitability.</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some countries, particularly EU member states, Japan, Australia and Canada,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cost-containment measures. Political, economic, and regulatory developments may further complicate pricing negotiations, and pricing negotiations may continue after reimbursement has been obtained. Reference-pricing used by various EU member states and parallel distribution, or arbitrage between low-priced and high-priced member states, can further reduce prices. In some countries, we or our collaborators may be required to conduct a clinical trial or other studies that compare the cost-effectiveness of our product candidates to other available therapies in order to obtain or maintain reimbursement or pricing approval. Publication of discounts by third-party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payors or authorities may lead to further pressure on the prices or reimbursement levels within the country of publication and other countries. If reimbursement of our products is unavailable or limited in scope or amount, or if pricing is set at unsatisfactory levels, our business, revenues, or profitability could be harmed.</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received tax incentives under the Research and Development Tax Incentive scheme in Australia that may become repayable if we did not or do not comply with the rules of the scheme, or we may become ineligible for tax incentives in our current or future tax years, which could harm our business, financial condition and results of operations.</w:t>
      </w:r>
    </w:p>
    <w:p>
      <w:pPr>
        <w:spacing w:after="0" w:line="17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have received cash incentives in the past under the Research and Development Tax Incentive scheme, or the R&amp;D Scheme, to offset the costs of our clinical trials and other qualifying expenses incurred both in Australia and other jurisdictions. Certain research and development costs that we incur in the future may be ineligible for cash incentives under the R&amp;D Scheme. For example, costs incurred outside Australia in connection with our future clinical trials are generally not eligible for cash incentives under the R&amp;D Scheme. In addition, the federal government of Australia and the Australian Taxation Office, or ATO, could change the rules of the regulatory regime or amend past tax returns and, as a result, amounts paid to us may become repayable to the ATO including the amount of tax incentives in respect to our fiscal year ended June 30, 2024, included as current receivables in our consolidated financial statements. We have received an aggregate of US$36.1 million (A$44.4 million) in cash tax incentives during the five fiscal years ended June 30, 2024, under the R&amp;D Scheme. As of June 30, 2024, our current tax receivable under the R&amp;D Scheme was US$10.4 million. This receivable amount as of June 30, 2024, is based on Australian legislation as enacted as of June 30, 2024. Any proposed changes to the legislation, such as rate changes to eligibility requirements, may have a retrospective impact on our current tax receivable under the R&amp;D Scheme - currently, no such legislative changes have occurred. Any rule changes made to reduce the amount we are able to claim under the R&amp;D Scheme currently or in the future and any retrospective changes made to the R&amp;D Scheme that reduce the incentives that we have claimed in past tax years could harm our business, financial condition and results of operations.</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withdrawal of the United Kingdom, or the U.K., from the European Union, or the EU, commonly referred to as “Brexit,” may adversely impact our ability to obtain regulatory approvals of our product candidates in the U.K. or the EU and may require us to incur additional expenses to develop and commercialize our product candidates in the U.K. or the EU or receive clinical supply of our product candidates from manufacturing partners in the U.K.</w:t>
      </w:r>
    </w:p>
    <w:p>
      <w:pPr>
        <w:spacing w:after="0" w:line="180"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Following the result of a referendum in 2016, the U.K. left the EU on January 31, 2020, commonly referred to as Brexit. Pursuant to the formal withdrawal arrangements agreed between the U.K. and the EU, the U.K. was subject to a transition period until December 31, 2020 (the "Transition Period"), during which EU rules continued to apply. A trade and cooperation agreement (the "Trade and Cooperation Agreement") that outlines the future trading relationship between the United Kingdom and the European Union was agreed in December 2020.</w:t>
      </w:r>
    </w:p>
    <w:p>
      <w:pPr>
        <w:spacing w:after="0" w:line="1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in the U.K. applicable to our business and our product candidate is derived from EU directives and regulations, Brexit has had, and may continue to have, a material impact upon the regulatory regime with respect to the development, approval and commercialization of our product candidate in the U.K. or the EU. For example, Great Britain is no longer covered by the centralized procedures for obtaining EU-wide marketing authorization from the EMA, and a separate marketing authorization will be required to market our product candidate in Great Britain. It is currently unclear whether the Medicines &amp; Healthcare products Regulatory Agency in the U.K. is sufficiently prepared to handle the increased volume of marketing authorization applications that it is likely to receive. Any delay in obtaining, or an inability to obtain, any marketing approvals, would delay or prevent us from commercializing our product candidate in the U.K. or the EU and restrict our ability to generate revenue and achieve and sustain profitability.</w:t>
      </w:r>
    </w:p>
    <w:p>
      <w:pPr>
        <w:spacing w:after="0" w:line="19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While the Trade and Cooperation Agreement provides for the tariff-free trade of medicinal products between the U.K. and the E.U. there may be additional non-tariff costs to such trade which did not exist prior to the end of the Transition Period. Further, should the U.K. diverge from the EU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particular, trade between the impacted nations and the U.K. It is also possible that Brexit may negatively affect our ability to attract and retain employees, particularly those from the EU.</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commercialize any resulting products. Product liability claims may be brought against us by subjects enrolled in our clinical trials, patients, or others using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180"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a change in the indications for which products may be used;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 or patients;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harm our ability to obtain physician endorsement of our products or expand our business.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relationships with investigators, healthcare professionals, consultants, third-party payors, patient organizations and customers are subject to broadly applicable healthcare laws and regulations, which could expose us to civil penalties, criminal sanctions, contractual damages, reputational harm and diminished profits and future earnings.</w:t>
      </w:r>
    </w:p>
    <w:p>
      <w:pPr>
        <w:spacing w:after="0" w:line="1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Healthcare providers and third-party payors will play a primary role in the recommendation and prescription of any product candidate for which we obtain regulatory approval. Our current and future arrangements may expose us to broadly applicable fraud and abuse and other healthcare laws that may constrain the business or financial arrangements and relationships through which we would market, sell and distribute our products.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may restrict or prohibit a wide range of pricing, discounting, marketing and promotion, structuring and commission(s), certain customer incentive programs and other business or financial arrangements.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Such laws include, but are not limited to, the following:</w:t>
      </w:r>
    </w:p>
    <w:p>
      <w:pPr>
        <w:spacing w:after="0" w:line="225" w:lineRule="exact"/>
        <w:rPr>
          <w:sz w:val="20"/>
          <w:szCs w:val="20"/>
          <w:color w:val="auto"/>
        </w:rPr>
      </w:pPr>
    </w:p>
    <w:p>
      <w:pPr>
        <w:jc w:val="both"/>
        <w:ind w:left="760" w:hanging="378"/>
        <w:spacing w:after="0" w:line="253"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or in return for, either the referral of an individual for, or the purchase, lease, order or recommendation of, any good, facility, item or service, for which payment may be made, in whole or in part, under a federal healthcare program such as Medicare and Medicaid.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or entity does not need to have actual knowledge of the federal Anti-Kickback Statute or specific intent to violate it to have committed a violation. The Anti-Kickback Statute has been interpreted to apply to arrangements between biopharmaceutical manufacturers, on the one hand, and prescribers, purchasers and formulary managers, among others, on the other. In addition, the government may assert that a claim including items or services resulting from a violation of the federal Anti-Kickback Statute constitutes a false or fraudulent claim for purposes of the False Claims Act;</w:t>
      </w:r>
    </w:p>
    <w:p>
      <w:pPr>
        <w:spacing w:after="0" w:line="189"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criminal and civil false claims laws, including the False Claims Act, which can be enforced through civil whistleblower or qui tam actions, which imposes criminal and civil penalties,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knowingly making or causing to be made, a false statement to avoid, decrease or conceal an obligation to pay money to the federal government. Manufacturers can be held liable under the False Claims Act even when they do not submit claims directly to government payors if they are deemed to “cause” the submission of false or fraudulent claims;</w:t>
      </w:r>
    </w:p>
    <w:p>
      <w:pPr>
        <w:spacing w:after="0" w:line="18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among other things, knowingly and willfully executing, or attempting to execute, a scheme to defraud any healthcare benefit program or making false or fraudulent statements relating to healthcare matters; similar to the federal Anti-Kickback Statute, a person or entity does not need to have actual knowledge of the statute or specific intent to violate it to have committed a violation;</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53"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their implementing regulations, which also impose obligations, including mandatory contractual terms, with respect to safeguarding the privacy, security, and transmission of individually identifiable health information on health plans, health-care clearing-houses, and certain healthcare providers and their business associates, defined as independent contractors or agents of covered entities that create, receive or obtain protected health information in connection with providing a service for or on behalf of a covered entity,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personally identifiable information, or personal information or personal data, in certain circumstances, many of which differ from one another in significant ways and may not have the same effect, thus complicating compliance efforts;</w:t>
      </w:r>
    </w:p>
    <w:p>
      <w:pPr>
        <w:spacing w:after="0" w:line="191"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certain other healthcare professionals (such as physicians assistants and nurse practitioners), and teaching hospitals, and requires applicable manufacturers and group purchasing organizations to report annually to the ownership and investment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4"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interests held by such physicians and their immediate family members and payments or other “transfers of value” to such physicians (covered manufacturers are required to submit reports to CMS by the 90th day of each calendar year);. and</w:t>
      </w:r>
    </w:p>
    <w:p>
      <w:pPr>
        <w:spacing w:after="0" w:line="162" w:lineRule="exact"/>
        <w:rPr>
          <w:sz w:val="20"/>
          <w:szCs w:val="20"/>
          <w:color w:val="auto"/>
        </w:rPr>
      </w:pPr>
    </w:p>
    <w:p>
      <w:pPr>
        <w:jc w:val="both"/>
        <w:ind w:left="760" w:hanging="378"/>
        <w:spacing w:after="0" w:line="253"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or otherwise restrict payments that may be made to healthcare providers or other interactions with healthcare providers and other potential referral sources, state or non-U.S. laws that require pharmaceutical companies to comply with the pharmaceutical industry’s voluntary compliance guidelines and the relevant compliance guidance promulgated by the national or federal government, and state laws that require drug manufacturers to report information related to payments and other transfers of value to physicians and other healthcare providers, marketing expenditures or drug pricing, state, non-U.S., and local laws that require the registration of pharmaceutical sales representatives, and state and non-U.S. laws governing the privacy and security of health information in some circumstances, many of which differ from one another in significant ways and often are not preempted by HIPAA, thus complicating compliance efforts.</w:t>
      </w:r>
    </w:p>
    <w:p>
      <w:pPr>
        <w:spacing w:after="0" w:line="19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Pharmaceutical and other healthcare companies have been prosecuted under these laws for a variety of promotional and marketing activities, such as providing free trips, free or discounted goods, improper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any actions are instituted against us for violation of these laws or regulations, and we are not successful in defending ourselves, those actions could have a significant impact on our business, including the imposition of significant civil, criminal and administrative sanctions, damages, disgorgement, monetary fines, possible exclusion from participation in Medicare, Medicaid and other federal healthcare programs, imprisonment, integrity oversight and reporting obligations, contractual damages, reputational harm, diminished profits and future earnings, and curtailment or restructuring of our operations, any of which could harm our ability to operate our business and our results of operations.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rules, contractual obligations, industry standards, policies and other obligations related to data privacy and security. Our actual or perceived failure to comply with such obligations (or that of the third parties with whom we work) could lead to regulatory investigations or actions; litigation (including class actions); mass arbitration demands; fines and penalties; a disruption of our business operations; reputational harm; loss of revenue or profits; and other adverse business consequences.</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and other sensitive third-party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Similar laws are being considered in several other states, as well as at the federal and local levels, and we expect more states to pass similar laws in the future. The CCPA and other comprehensive U.S. state privacy laws exempt some data processed in the context of clinical trials, but these developments may further complicate compliance efforts and increase legal risk and compliance costs for us and the third parties with whom we work.</w:t>
      </w:r>
    </w:p>
    <w:p>
      <w:pPr>
        <w:spacing w:after="0" w:line="19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For example, the European Union's General Data Protection Regulation (“EU GDPR”), the United Kingdom’s GDPR (“UK GDPR”)(collectively, “GDPR”), Brazil's General Data Protection Law (Lei Geral de Protecão de Dados Pessoais, or “LGPD”) (Law No. 13,709/2018), and China's Personal Information Protection Law (“PIPL”) impose strict requirements for processing personal data. For example, under the GDPR, companies may face temporary or definitive bans on data processing and other corrective actions, fines of up to 20 million Euros / 17.5 million pounds sterling, or 4% of annual global revenue, whichever is greater; or private litigation related to processing of personal data brought by classes of data subjects or consumer protection organizations authorized at law to represent their interests. China’s PIPL imposes a set of specific obligations on covered businesses in connection with their processing and transfer of personal data and imposes fines of up to RMB 50 million or 5% of the prior year’s total annual revenue of the violator. In Canada, the Personal Information Protection and Electronic Documents Act (“PIPEDA”) and various related provincial laws, as well as Canada's Anti-Spam Legislation (“CASL”), may apply to our operations. We may be subject to new and emerging data privacy and security regimes, including Australia's Privacy Act China's Personal Information Protection Law, Japan's Act on the Protection of Personal Information, and Singapore's Personal Data Protection Act.</w:t>
      </w:r>
    </w:p>
    <w:p>
      <w:pPr>
        <w:spacing w:after="0" w:line="192"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9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employees and personnel may use generative artificial intelligence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addition to data privacy and security laws, we are or may become contractually subject to industry standards adopted by industry groups. We are also bound by contractual obligations related to data privacy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security. and our efforts to comply with such obligations may not be successful. For example, certain data privacy laws. such as the GDPR and the CCPA, require covered businesses to impose specific contractual restrictions on their service providers.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with whom we work. In addition, these obligations may require us to change our business model.</w:t>
      </w:r>
    </w:p>
    <w:p>
      <w:pPr>
        <w:spacing w:after="0" w:line="18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or mass arbitration demands; additional reporting requirements and/or oversight; bans on processing personal data; orders to destroy or not use personal data; and imprisonment of company officials.</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Any of these events could have a material adverse effect on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required regulatory approvals, we will not be able to commercialize sozinibercept or any future product candidate, and our ability to generate product revenue will be impaired.</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Sozinibercept and any future product candidate that we may develop, as well as the activities associated with their development and commercialization, including their design, research, testing, manufacture, safety, efficacy, recordkeeping, labeling, packaging, storage, approval, advertising, promotion, sale and distribution are subject to comprehensive regulation by the FDA and other regulatory agencies in the United States and by similar regulatory authorities outside the United States. Failure to obtain marketing approval for, and thus commercialize any product candidate, could negatively impact our ability to generate any revenue from product sales.</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have not received approval from regulatory authorities to market any product candidate in any jurisdiction, and it is possible that our lead product candidate will never obtain the appropriate regulatory approvals necessary for us to commence product sales. Neither we nor any collaborator is permitted to market our product candidate in the United States or any other jurisdiction until we receive regulatory approval of a BLA from the FDA or similar application from regulatory authorities outside of the United States.</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time required to obtain approval of a BLA by the FDA or similar application from regulatory authorities outside of the United States is unpredictable but typically takes many years following the commencement of clinical trials and depends upon numerous factors, including the substantial discretion of the regulatory authority. Prior to submitting a BLA to the FDA or any comparable application to any other non-U.S. regulatory authorities for approval of any product candidate, we will need to complete pivotal Phase 3 clinical trials and demonstrate favorable results with respect to safety, tolerability and efficacy. In addition, approval policies, regulations or the type and amount of clinical data necessary to gain approval may change during the course of a product candidate’s clinical development and may vary among jurisdictions.</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Securing marketing approvals requires the submission of extensive nonclinical and clinical data and supporting information to regulatory authorities for each therapeutic indication to establish the safety and efficacy of our product candidate for the specified indications. We expect to rely on third-party CROs, consultants and our collaborators to assist us in filing and supporting the applications necessary to gain marketing approvals. Securing marketing approval also requires the submission of information about the product manufacturing process to,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inspection of manufacturing facilities by, regulatory authorities. Errors in the submission of applications for marketing approval or issues, including those related to gathering the appropriate data and the inspection process, may ultimately delay or affect our ability to obtain regulatory approval, commercialize our product candidate and generate product revenue.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15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If we succeed in developing any products, we intend to market them in non-U.S. jurisdictions in addition to the United States. In order to market and sell our products in other jurisdictions, we must obtain separate marketing approvals and comply with numerous and varying regulatory requirements. We may not obtain non-U.S.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we fail to obtain approval of any of our product candidates by regulatory authorities in another country, we will be unable to commercialize our product in that country, and the commercial prospects of that product candidate and our business prospects could decline.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non-U.S. regulatory approvals and compliance with non-U.S.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regulatory requirements, if problems occur after the product candidate reaches the market or for other reasons. If we fail to comply with the regulatory requirements in international markets and fail to receive applicable marketing approvals, our target market will be reduced and our ability to realize the full market potential of our product candidates will be harmed and our business will be negatively affected.</w:t>
      </w:r>
    </w:p>
    <w:p>
      <w:pPr>
        <w:spacing w:after="0" w:line="18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sozinibercept combination therapy or any future product candidate receives regulatory approval, it may still face future development and regulatory difficulties.</w:t>
      </w:r>
    </w:p>
    <w:p>
      <w:pPr>
        <w:spacing w:after="0" w:line="15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Even if we obtained regulatory approval for a product candidate, it would be subject to ongoing requirements by the FDA and comparable non-U.S. regulatory authorities governing the manufacture, quality control, further development, labeling, packaging, storage, distribution, safety surveillance, import, export, advertising, promotion, recordkeeping and reporting of safety and other post-market information. The FDA and comparable non-U.S. regulatory authorities will continue to closely monitor the safety profile of any product even after approval. If the FDA, or comparable non-U.S. regulatory authorities, become aware of new safety information after approval of any of our product candidates, it may require labeling changes or establishment of a risk evaluation and mitigation strategy or similar strategy, impose significant restrictions on a product’s indicated uses or marketing or impose ongoing requirements for potentially costly post-approval studies or post-market surveillance.</w:t>
      </w:r>
    </w:p>
    <w:p>
      <w:pPr>
        <w:spacing w:after="0" w:line="18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manufacturers of drug products and their facilities are subject to continual review and periodic inspections by the FDA and other regulatory authorities for compliance with current good manufacturing practices, or cGMP, regulations and standards. If we or a regulatory agency discovers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comply with applicable regulatory requirements, or undesirable side effects caused by such products are identified, a regulatory agency may:</w:t>
      </w:r>
    </w:p>
    <w:p>
      <w:pPr>
        <w:spacing w:after="0" w:line="225"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safety alerts, Dear Healthcare Provider letters, press releases or other communications containing warnings about such product;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labeling, including adding limitations on approved uses or the additions of additional warnings, contraindications or other safety information including boxed warnings;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 REMS which may include distribution on or use restrictions;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we conduct post-marketing studies;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marketing of, withdraw regulatory approval of or recall such product;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us to initiate a product recall.</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products and generate product revenue.</w:t>
      </w:r>
    </w:p>
    <w:p>
      <w:pPr>
        <w:spacing w:after="0" w:line="22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significant civil and criminal sanctions by the government. In the United States, engaging in the impermissible promotion of our products for off-label uses can also subject us to false claims litigation under federal and state statutes, which can lead to significant civil and criminal penalties. Additionally, comparable non-U.S. regulatory authorities will heavily scrutinize advertising and promotion of any product candidate that obtains approval outside of the United States.</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negatively affect our business, prospects and ability to achieve or sustain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relied on, and expect to continue to rely on, third-party manufacturers to produce sozinibercept or any future product candidates. Any failure by a third-party manufacturer to produce acceptable product candidates for us pursuant to our specifications and regulatory standards may delay or impair our ability to</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initiate or complete our clinical trials, obtain and maintain regulatory approvals or commercialize approved products.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manufacturing of biologic drugs such as sozinibercept is complex and the process of identifying the qualifying suppliers takes a significant investment of time and money. We do not own or operate manufacturing facilities for the production of clinical or commercial quantities of our product candidates, and we lack the resources and the capabilities to do so. As a result, we currently rely, and expect to rely for the foreseeable future, on third-party manufacturers to supply us with sozinibercept or any future product candidates.</w:t>
      </w:r>
    </w:p>
    <w:p>
      <w:pPr>
        <w:spacing w:after="0" w:line="1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currently have a sole-source relationship with Patheon N.V.("Patheon"), a division of Thermo Fisher Scientific Inc., pursuant to which it supplies us with sozinibercept drug substance. If there should be any disruption in our supply arrangement with Patheon, including any adverse events affecting Patheon or Thermo Fisher Scientific, it could have a negative effect on the clinical development of sozinibercept and other operations while we work to identify and qualify an alternate supply source. In addition, we do not have a long-term supply arrangement to purchase anti-VEGF-A therapy for use in combination with sozinibercept in our clinical trials and acquire such drug product on a purchase-order basis. Any complications with our existing suppliers of anti-VEGF-A therapies could considerably delay our clinical trials for sozinibercept, including our Phase 3 pivotal clinical program of sozinibercept for the treatment of wet AMD, or the regulatory approvals of sozinibercept .</w:t>
      </w:r>
    </w:p>
    <w:p>
      <w:pPr>
        <w:spacing w:after="0" w:line="18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Reliance on third-party suppliers and manufacturers entails risks to which we would not be subject if we manufacture product candidates or products ourselves. For example, if we do not maintain our key manufacturing relationships, including with Patheon, we may fail to find replacement manufacturers or develop our own manufacturing capabilities in a timely manner or at all, which could delay or impair our ability to obtain regulatory approval for our products and substantially increase our costs or deplete profit margins, if any. If we do find replacement manufacturers, we may not be able to enter into agreements with them on terms and conditions favorable to us in a timely manner, if at all, and there could be a substantial delay before new facilities could be qualified and registered with or licensed by the FDA and other comparable non-U.S. regulatory authorities.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Even if we are able to establish agreements with third-party manufacturers, reliance on third-party manufacturers entails additional risks, including:</w:t>
      </w:r>
    </w:p>
    <w:p>
      <w:pPr>
        <w:spacing w:after="0" w:line="225" w:lineRule="exact"/>
        <w:rPr>
          <w:sz w:val="20"/>
          <w:szCs w:val="20"/>
          <w:color w:val="auto"/>
        </w:rPr>
      </w:pPr>
    </w:p>
    <w:p>
      <w:pPr>
        <w:jc w:val="both"/>
        <w:ind w:left="760" w:hanging="378"/>
        <w:spacing w:after="0" w:line="266"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third party to manufacture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manufacturing agreement by the third party because of factors beyond our control (including a failure to manufacture product candidates in accordance with our product specifications);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third-party manufacturer to comply with applicable regulatory requirements and reliance on third parties for manufacturing process development, regulatory compliance and quality assurance;</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mislabeling of clinical supplies, potentially resulting in the wrong dose amounts being supplied or active drug or placebo not being properly identified;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supplies not being delivered to clinical sites on time, leading to clinical trial interruptions, or of drug supplies not being distributed to commercial vendors in a timely manner, resulting in lost sales;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proprietary information, including our trade secrets and know-how;</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the agreement by the third party at a time that is costly or inconvenient for us;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third-party for regulatory compliance, quality assurance and safety and pharmacovigilance reporting.</w:t>
      </w:r>
    </w:p>
    <w:p>
      <w:pPr>
        <w:spacing w:after="0" w:line="22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FDA and other comparable non-U.S. regulatory authorities require manufacturers to register manufacturing facilities. The FDA and other comparable non-U.S. regulatory authorities also inspect these facilities to confirm compliance with cGMP. Contract manufacturers may face manufacturing or quality control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problems causing drug-substance production and shipment delays or a situation where the contractor may not be able to maintain compliance with the applicable cGMP requirements. We may have little to no control regarding the occurrence of third-party manufacturer incidents. Failure by our third-party manufacturers and suppliers to pass such inspections and otherwise satisfactorily complete the FDA approval regimen with respect to our product candidate may result in regulatory actions such as the issuance of FDA Form 483 notices of observations, warning letters or injunctions or the loss of operating licenses. 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Any failure to comply with cGMP requirements or other FDA or comparable non-U.S. regulatory requirements could negatively impact our clinical research activities and our ability to develop sozinibercept or any future product candidates and market our products following approval.</w:t>
      </w:r>
    </w:p>
    <w:p>
      <w:pPr>
        <w:spacing w:after="0" w:line="18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If sozinibercept or any future product candidates are approved by the FDA or other comparable non-U.S. regulatory authorities for commercial sale, we may need to manufacture such product candidate in larger quantities. We intend to use third-party manufacturers for commercial quantities of sozinibercept to the extent we advance this product candidate and other product candidates. Our manufacturers may not be able to successfully increase the manufacturing capacity for any of our product candidates in a timely or efficient manner, or at all. If we are unable to successfully increase the manufacturing capacity for a product candidate, the regulatory approval or commercial launch of that product candidate may be delayed or there may be a shortage in the supply of the product candidate.</w:t>
      </w:r>
    </w:p>
    <w:p>
      <w:pPr>
        <w:spacing w:after="0" w:line="1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the operations of our third-party manufacturers may be subject to earthquakes, power shortages, telecommunications failures, failures or breaches of information technology systems, water shortages, floods, hurricanes, typhoons, fires, extreme weather conditions, medical epidemics, such as the COVID-19 pandemic, and other natural or man-made disasters or business interruptions. Damage or extended periods of interruption to our facilities due to fire, natural disaster, power loss, communications failure, unauthorized entry or other events could cause us to cease or delay development of some or all of our product candidates. Our ability to obtain clinical supplies of our product candidates could be disrupted if the operations of these suppliers are affected by a man-made or natural disaster or other business interruption.</w:t>
      </w:r>
    </w:p>
    <w:p>
      <w:pPr>
        <w:spacing w:after="0" w:line="18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may negatively affect our future profit margins and our ability to develop our product candidates and commercialize any products that receive regulatory approval on a timely basis.</w:t>
      </w:r>
    </w:p>
    <w:p>
      <w:pPr>
        <w:spacing w:after="0" w:line="16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some cases, the technical skills or technology required to manufacture our product candidates may be unique or proprietary to the original manufacturer,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and the manufacturer may be required to obtain applicable licenses or approvals. The delays associated with the verification of a new manufacturer, if we are able to identify an alternative source, could negatively affect our ability to develop product candidates in a timely manner or within budget.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biologic products is complex and we are subject to many manufacturing risks, any of which could substantially increase our costs and limit supply of our products.</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manufacture of biologic products is complex and requires significant expertise and capital investment, including the development of advanced manufacturing techniques and process controls. Manufacturers of biologic products often encounter difficulties in production, particularly in scaling up and validating initial production and ensuring the avoidance of contamination. These problems include difficulties with production costs and yields, quality control, including stability of the product, quality assurance testing, operator error and shortages of qualified personnel, as well as compliance with strictly enforced federal, state and non-U.S. regulations. We cannot assure you that any stability or other issues relating to the manufacture of sozinibercept will not occur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process of manufacturing sozinibercept is complex, highly regulated and subject to several risks, including:</w:t>
      </w:r>
    </w:p>
    <w:p>
      <w:pPr>
        <w:spacing w:after="0" w:line="225" w:lineRule="exact"/>
        <w:rPr>
          <w:sz w:val="20"/>
          <w:szCs w:val="20"/>
          <w:color w:val="auto"/>
        </w:rPr>
      </w:pPr>
    </w:p>
    <w:p>
      <w:pPr>
        <w:jc w:val="both"/>
        <w:ind w:left="760" w:hanging="378"/>
        <w:spacing w:after="0" w:line="258"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of manufacturing biologics is susceptible to product loss due to contamination, equipment failure, improper installation or operation of equipment, vendor or operator error and improper storage conditions.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the manufacturing facilities may need to be closed for an extended period of time to investigate and eliminate the contamination;</w:t>
      </w:r>
    </w:p>
    <w:p>
      <w:pPr>
        <w:spacing w:after="0" w:line="18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facilities in which our products are made could be negatively affected by equipment failures, labor and raw material shortages, financial difficulties of our contract manufacturers, natural disasters, power failures, local political unrest and numerous other factors; and</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affecting manufacturing operations for our product candidates may result in shipment delays, inventory shortages, lot failures, and for any approved products, product withdrawals, or recalls or other interruptions in the supply of our products. We may also have to record inventory write-offs and incur other charges and expenses for products that fail to meet specifications, undertake costly remediation efforts or seek costlier manufacturing alternatives.</w:t>
      </w:r>
    </w:p>
    <w:p>
      <w:pPr>
        <w:spacing w:after="0" w:line="1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To date, sozinibercept drug substance has been manufactured by a single third-party manufacturer, Patheon, solely for preclinical studies and Phase 1, 2 and 3 trials. Any such failure will require us to seek alternative manufacturing sources, which may result in considerable additional expense and delays in our clinical trials. We have limited process-development capabilities and have access only to external manufacturing capabilities. We do not have and we do not currently plan to acquire or develop the facilities or capabilities to manufacture bulk drug substance or filled drug product for use in clinical trials or commercialization. Any delay or interruption in the supply of clinical trial materials, including as a result of breach by us or Patheon of our agreement with Patheon, or our inability to agree to the terms of supply or related services in any statement of work,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 product candidates proceed through nonclinical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sozinibercept or any future product candidate to perform differently and affect the results of clinical trials or other future clinical trials conducted with the altered materials. Such changes may also require additional testing, FDA notification or FDA approval. This could delay completion of clinical trials, require the conduct of bridging clinical trials or the repetition of one or more clinical trials, increase clinical trial costs, delay approval of sozinibercept or any future product candidate or jeopardize our ability to commence sales and generate revenue.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some aspects of our research and development activities, and those third parties may not perform satisfactorily, including failing to meet deadlines for the completion of such trials, research or testing.</w:t>
      </w:r>
    </w:p>
    <w:p>
      <w:pPr>
        <w:spacing w:after="0" w:line="15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currently rely on, and expect to continue to rely on, third parties, such as CROs, clinical data management organizations, medical institutions, consultants and clinical investigators, to conduct our clinical trials and certain aspects of our research and development activities. Any of these third parties may terminate their engagements with us at any time. If we need to enter into alternative arrangements, it would delay our product development activities and such alternative arrangements may not be available on terms acceptable to us.</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clinical trial protocols. Moreover, the FDA requires us to comply with standards, commonly referred to as current Good Clinical Practices, for conducting, recording and reporting the results of clinical trials to assure that data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reported results are credible and accurate and that the rights, integrity and confidentiality of trial participants are protected. We are also required to register ongoing clinical trials and post the results of completed clinical trials on a government-sponsored database within certain time frames. Failure to do so can result in fines, adverse publicity and civil and criminal sanctions.</w:t>
      </w:r>
    </w:p>
    <w:p>
      <w:pPr>
        <w:spacing w:after="0" w:line="17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standard operating procedures or clinical trial protocols, we will not be able to obtain, or may be delayed in obtaining, marketing approvals for sozinibercept or any future product candidates and will not be able to, or may be delayed in our efforts to, successfully commercialize our product candidates.</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drug supplies for our clinical trials. Any performance failure on the part of our distributors could delay clinical development, marketing approval and/or commercialization of sozinibercept or any future product candidates, producing additional losses and depriving us of potential revenue.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Disputes under key agreements or conflicts of interest with our scientific advisors or clinical investigators could delay or prevent development or commercialization of our product candidates.</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Any agreements we have or may enter into with third parties, such as collaboration, license, formulation supplier, manufacturing, clinical research organization or clinical trial agreements, may give rise to disputes regarding the rights and obligations of the parties. Disagreements could develop over contract interpretation, rights to ownership or use of intellectual property, the scope and direction of research and development, the approach for regulatory approvals or commercialization strategy. We intend to conduct research programs in a range of therapeutic areas, but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litigation.</w:t>
      </w:r>
    </w:p>
    <w:p>
      <w:pPr>
        <w:spacing w:after="0" w:line="19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work with outside scientific advisors and collaborators at academic and other institutions that assist us in our research and development efforts. Our scientific advisors are not our employees and may have other commitments that limit their availability to us. If a conflict of interest between their work for us and their work for another entity arises, we may lose their services.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commercial collaborations for our product candidates, and, if we are not able to establish them on commercially reasonable terms, we may have to alter our development and commercialization plans.</w:t>
      </w:r>
    </w:p>
    <w:p>
      <w:pPr>
        <w:spacing w:after="0" w:line="15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We may decide to collaborate with other pharmaceutical and biotechnology companies for the development and potential commercialization of our product candidates.</w:t>
      </w:r>
    </w:p>
    <w:p>
      <w:pPr>
        <w:spacing w:after="0" w:line="176"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non-U.S. regulatory authorities, the potential market for the product candidate, the costs and complexities of manufacturing and delivering such product candidate to patients, the potential of competing products and the existence of uncertainty with respect to our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our product candidate.</w:t>
      </w:r>
    </w:p>
    <w:p>
      <w:pPr>
        <w:spacing w:after="0" w:line="19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attract and retain highly skilled employees in order to succeed. If we are not able to retain our current senior management team and our scientific advisors or continue to attract and retain qualified scientific, technical and business personnel, our business will suffer.</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may not be able to attract or retain qualified personnel and consultants due to the intense competition for such individuals in the biotechnology and pharmaceutical industries. In particular, we have hired and may in the future hire employees, including senior employees, in the United States as we continue clinical development of sozinibercept and prepare for potential commercialization. The hiring environment in the United States for such candidates is extremely competitive.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not able to attract and retain necessary personnel and consultants to accomplish our business objectives, we may experience constraints that will significantly impede the achievement of our development and commercial objectives, our ability to raise additional capital and our ability to implement our business strategy.</w:t>
      </w:r>
    </w:p>
    <w:p>
      <w:pPr>
        <w:spacing w:after="0" w:line="18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in recent years. We are highly dependent on the development, regulatory, commercialization and business development expertise of the members of our executive team, as well as other key employees and consultants. If we lose one or more of our executive officers or other key employees or consultants, our ability to implement our business strategy successfully could be seriously harmed. Any of our executive officers or other key employees or consultants may terminate their employment at any time with three months’ notice, subject to certain exceptions, and replacing such individuals may be difficult and time-consuming because of the limited number of individuals in our industry with the necessary breadth of skills and experience. Competition to hire and retain employees and consultants from this limited pool is intense, and we may be unable to hire, train, retain or motivate such individuals. Additionally, we do not currently maintain “key person” life insurance on the lives of our executives or any of our employees. This lack of insurance means that we may not receive adequate compensation for the loss of the services of these individuals. If we are unable to continue to attract and retain high-quality personnel, the rate and success with which we can discover and develop product candidates and our business will be limited.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contractors, vendors, principal investigators, consultants and future partners may engage in misconduct or other improper activities, including noncompliance with regulatory standards and requirements and insider trading.</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contractors, vendors, principal investigators, consultants or future partners. Misconduct by these parties could include failures to comply with FDA or comparable non-U.S. authority regulations, to provide accurate information to the FDA or comparable non-U.S. regulators, to comply with U.S. federal and state and non-U.S. healthcare fraud and abuse laws and regulations, to report financial information or data timely, completely or accurately, or to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Third-party misconduct could also involve the improper use of information obtained in the course of clinical trials, which could result in regulatory sanctions and serious harm to our reputation. Although we have adopted a Code of Conduct,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 regulations. If any such actions are instituted against us resulting from this misconduct and we are not successful in defending ourselves or asserting our rights, those actions could have a significant impact on our business, including the imposition of significant fines or other sanctions. If we or our future partners market products in a manner that violates fraud and abuse and other healthcare laws, or if we or our future partners violate government price reporting laws, we or our future partners may be subject to administrative civil and/or criminal penalties, among other sanctions.</w:t>
      </w:r>
    </w:p>
    <w:p>
      <w:pPr>
        <w:spacing w:after="0" w:line="1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Most states also have statutes or regulations similar to these federal laws, which may apply to items such as pharmaceutical products and services reimbursed by private insurers. We and/or our future partners may be subject to administrative, civil and criminal sanctions for violations of any of these federal and state laws. Pharmaceutical and other healthcare companies have been prosecuted under these laws for a variety of promotional and marketing activities, such as: providing free trips, free goods, sham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which could negatively impact our operations.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 we advance our clinical development programs for product candidates, seek regulatory approval in the United States and elsewhere and increase the number of ongoing product development programs, we anticipate that we will need to increase our product development, scientific and administrative headcount. In particular, as we progress our Phase 3 clinical trials for sozinibercept in combination with anti-VEGF-A therapy for the treatment of wet AMD, we will require additional key staff for clinical development operations as well as additional key financial and administrative personnel. We will also need to establish commercial capabilities in order to commercialize any product candidates that may be approved. Such an evolution may impact our strategic focus and our deployment and allocation of resources.</w:t>
      </w:r>
    </w:p>
    <w:p>
      <w:pPr>
        <w:spacing w:after="0" w:line="1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ability to manage our operations and growth effectively depends upon the continual improvement of our procedures, reporting systems and operational, financial and management controls. We currently have no experience as a company in or infrastructure for sales, marketing and distribution, and our operations are currently limited to clinical development activities and as our operations expand, we likely will need to manage additional relationships with such third parties. We may not be able to implement administrative and operational improvements in an efficient or timely manner and may discover deficiencies in existing systems and controls. If we do not meet these challenges, we may be unable to execute our business strategies and may be forced to expend more resources than anticipated addressing these issues.</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If sozinibercept or any future product candidate is approved, we intend either to establish a sales and organization with technical expertise and supporting distribution capabilities to commercialize sozinibercept or any future product candidate or to outsource such functions to one or more third parties. Either of these options would be expensive and time-consuming. Some or all of these costs may be incurred in advance of any approval of sozinibercept or any future product candidate. In addition, we may not be able to hire a sales force that is sufficient in size or has adequate expertise in the medical markets that we intend to target.</w:t>
      </w:r>
    </w:p>
    <w:p>
      <w:pPr>
        <w:spacing w:after="0" w:line="18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manage our growth and the increased complexity of our operations, our business, financial position, results of operations and prospects may be harmed.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obtain and maintain intellectual property protection for our products and technologies.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success will depend in significant part on our current or future licensors’, licensees’ or collaborators’ ability to establish and maintain adequate protection of our owned and licensed intellectual property covering the product candidates we plan to develop, and the ability to develop these product candidates and commercialize the products resulting therefrom, without infringing the intellectual property rights of others. In addition to taking other steps to protect our intellectual property, we hold issued patents, we have applied for patents, and we intend to continue to apply for, patents with claims covering our technologies, processes and product candidates when and where we deem it appropriate to do so. We have filed patent applications both in the United States and in certain non-U.S. jurisdictions to obtain patent rights to inventions we have developed, with claims directed to compositions of matter, methods of use and other technologies relating to our programs. There can be no assurance that any of these patent applications will issue as patents or, for those applications that do mature into patents, that the claims of the patents will exclude others from making, using or selling our product candidates or products that compete with or are similar to our product candidates. In countries where we have not sought and do not seek patent protection, third parties may be able to manufacture and sell our product candidates without our permission, and we may not be able to stop them from doing so.</w:t>
      </w:r>
    </w:p>
    <w:p>
      <w:pPr>
        <w:spacing w:after="0" w:line="19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With respect to patent rights, we do not know whether any of the pending patent applications for any of our product candidates will result in the issuance of patents that effectively protect our technologies, processes and product candidates, or if any of our issued patents or our current or future licensors’, licensees’ or collaborators’ issued patents will effectively prevent others from commercializing competitive technologies, processes and products. Publications of discoveries in the scientific literature often lag behind the actual discoveries, and patent applications in the United States and other jurisdictions are typically not published until 18 months after filing or in some cases not at all, until they are issued as a patent. Therefore, we cannot be certain that we or our current or future licensors, licensees or collaborators were the first to make the inventions claimed in our owned or licensed patents or pending patent applications, or that we or our current or future licensors, licensees or collaborators were the first to file for patent protection of such inventions. For a description of our patent portfolio, see “Item 4B Business Overview” of this annual report.</w:t>
      </w:r>
    </w:p>
    <w:p>
      <w:pPr>
        <w:spacing w:after="0" w:line="19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Any changes we make to sozinibercept or any future product candidates to cause them to have what we view as more advantageous properties may not be covered by our existing patents and patent applications, and we may be required to file new applications and/or seek other forms of protection for any such altered product candidates. The patent landscape surrounding the technology underlying our product candidates is potentially crowded, and there can be no assurance that we would be able to secure patent protection that would adequately cover an alternative to sozinibercept or any future product candidates.</w:t>
      </w:r>
    </w:p>
    <w:p>
      <w:pPr>
        <w:spacing w:after="0" w:line="183"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Moreover, 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19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Similar to the patent rights of other biotechnology companies, the scope, validity and enforceability of our owned and licensed patent rights generally are highly uncertain and involve complex legal and factual questions. The issuance of a patent is not conclusive as to its inventorship, scope, validity or enforceability, and our patents may be challenged in the courts or patent offices in the United States and abroad. In recent years, these areas have been the subject of much litigation in the industry. As a result, the issuance, scope, validity, enforceability and commercial value of our and our current or future licensors’, licensees’ or collaborators’ patent rights are highly uncertain. Our and our current or future licensors’, licensees’ or collaborators’ pending and future patent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applications may not result in patents being issued that protect our technology or product candidates, or products resulting therefrom, in whole or in part, or that effectively prevent others from commercializing competitive technologies and products. The patent examination process may require us or our current or future licensors, licensees or collaborators to narrow the scope of the claims of pending and future patent applications, which would limit the scope of patent protection that is obtained, if any. Our and our current or future licensors’, licensees’ or collaborators’ patent applications cannot be enforced against third parties practicing the technology that is currently claimed in such applications unless and until a patent issues from such applications, and then only to the extent the claims that issue are broad enough to cover the technology being practiced by those third parties.</w:t>
      </w:r>
    </w:p>
    <w:p>
      <w:pPr>
        <w:spacing w:after="0" w:line="187"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Furthermore, given the amount of time required for the development, testing and regulatory review of new product candidates, patents protecting such candidates might expire before or shortly after the resulting products are commercialized. As a result, our owned and in-licensed patents may not provide us with sufficient rights to exclude others from commercializing products similar or identical to ours. We expect to seek extensions of patent terms for our issued patents, where available. This includes in the United States under the Hatch-Waxman Act, which permits a patent term extension of up to five years beyond the original expiration date of the patent as compensation for regulatory delays. However, such a patent term extension cannot lengthen the remaining term of a patent beyond a total of 14 years from the product’s approval date. Only one patent applicable to each regulatory review period may be extended and only those claims covering the approved drug, a method for using it, or a method for manufacturing it may be extended, with extended rights limited to the approved product, its approved uses and/or its manufacture. During the period of patent term extension, the claims of a patent are not enforceable for their full scope, but are instead limited to the scope of the approved product. In addition, the applicable authorities, including the FDA in the United States, and any comparable non-U.S. regulatory authorities, may not agree with our assessment of whether such extensions are available, and may refuse to grant extensions to our patents, or may grant more limited extensions than we request. In addition, we may not be granted an extension because of, for example, failing to apply within applicable deadlines, failing to apply prior to the expiration of relevant patents or otherwise failing to satisfy applicable requirements. If this occurs, any period during which we have the right to exclusively market our product will be shorter than we would otherwise expect, and our competitors may obtain approval of and launch products earlier than might otherwise be the case.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legal protection afforded to inventors and owners of intellectual property in countries outside of the United States may not be as protective or effective as that in the United States and we may, therefore, be unable to acquire and enforce intellectual property rights outside the United States to the same extent as in the United States. Whether filed in the United States or abroad, our patent applications may be challenged or may fail to result in issued patents.</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our existing patents and any future patents we obtain may not be sufficiently broad to prevent others from practicing our technologies or from developing or commercializing competing products. Furthermore, others may independently develop or commercialize similar or alternative technologies or drugs, or design around our patents. Our patents may be challenged, invalidated, circumvented or narrowed, or fail to provide us with any competitive advantages. In many non-U.S. countries, patent applications and/or issued patents, or parts thereof, must be translated into the native language. If our patent applications or issued patents are translated incorrectly, they may not adequately cover our technologies; in some countries, it may not be possible to rectify an incorrect translation, which may result in patent protection that does not adequately cover our technologies in those countries.</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would be prohibitively expensive, and our intellectual property rights in some countries outside the United States may be less extensive than those in the United States. In addition, the laws of some non-U.S. countries do not protect intellectual property rights to the same extent as federal and certain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sozinibercept or any future product candidates and our patents or other intellectual property rights may not be effective or sufficient to prevent them from competing.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non-U.S. jurisdictions. The legal systems of certain countries, particularly certain developing countries, do not favor the enforcement of patents and other intellectual property protection, particularly those relating to biopharmaceuticals. This could make it difficult for us to stop the infringement of our patents or the marketing of competing products in violation of our proprietary rights, generally. Proceedings to enforce our patent rights in non-U.S. jurisdictions could result in substantial costs and divert our efforts and attention from other aspects of our business, could put our patents at risk of being invalidated or interpreted narrowly, could place our patent applications at risk of not issuing and could provoke third parties to assert claims against us or our collaborator. We may not prevail in any lawsuits that we initiate and the damages or other remedies awarded, if any, may not be commercially meaningful.</w:t>
      </w:r>
    </w:p>
    <w:p>
      <w:pPr>
        <w:spacing w:after="0" w:line="18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requirements for patentability differ and certain countries have heightened requirements for patentability, requiring more disclosure in the patent application. In addition, certain countries have compulsory licensing laws under which a patent owner may be compelled to grant licenses to third parties. In those countries, we may have limited remedies if patents are infringed or if we are compelled to grant a license to a third party, which could materially diminish the value of those patents. This could limit our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our efforts to enforce intellectual property rights around the world may be inadequate to obtain a significant commercial advantage from the intellectual property that we own or license.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sozinibercept and any future product candidates.</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rights, particularly patents. Obtaining and enforcing patents in the biopharmaceutical industry involves technological and legal complexity, and obtaining and enforcing biopharmaceutical patents is costly, time-consuming and inherently uncertain. The U.S. Supreme Court in recent years has issued rulings either narrowing the scope of patent protection available in certain circumstances or weakening the rights of patent owners in certain situations or ruling that certain subject matter is not eligible for patent protection. In addition to increasing uncertainty with regard to our ability to obtain patents in the future, this combination of events has created uncertainty with respect to the value of patents, once obtained. Depending on decisions by Congress, the federal courts, the USPTO and equivalent bodies in non-U.S. jurisdictions, the laws and regulations governing patents could change in unpredictable ways that would weaken our ability to obtain new patents or to enforce existing patents and patents we may obtain in the future.</w:t>
      </w:r>
    </w:p>
    <w:p>
      <w:pPr>
        <w:spacing w:after="0" w:line="19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 xml:space="preserve">Patent reform laws, such as the Leahy-Smith America Invents Act, or the Leahy-Smith Act, as well as changes in how patent laws are interpreted, could increase the uncertainties and costs surrounding the prosecution of our patent applications and the enforcement or defense of our issued patents. The Leahy-Smith Act made a number of significant changes to U.S. patent law. These include provisions that affect the filing and prosecution strategies associated with patent applications, including a change from a “first-to-invent” to a “first-inventor-to-file” patent system, and a change allowing third-party submission of prior art to the USPTO during patent prosecution and additional procedures to attack the validity of a patent by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became effective in 2013. The Leahy-Smith Act and its implementation may increase the uncertainties and costs surrounding the prosecution of our patent applications and the enforcement or defense of our issued patents, all of which could harm our business, financial condition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intellectual property rights or technology necessary to develop and commercialize sozinibercept or any future product candidates.</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patent landscape around our programs is complex, and there may be one or more third-party patents and patent applications containing subject matter that might be relevant to sozinibercept. Depending on what claims may ultimately issue from these patent applications, and how courts construe the issued patent claims, as well as depending on the ultimate formulation and method of use of sozinibercept or any future product candidates, we may need to obtain a license to practice the technology claimed in such patents. There can be no assurance that such licenses will be available on commercially reasonable terms, or at all. If a third party does not offer us a necessary license or offers a license only on terms that are unattractive or unacceptable to us, we might be unable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develop and commercialize one or more of our product candidates, which would harm our business, financial condition and results of operations. Moreover, even if we obtain licenses to such intellectual property, but subsequently fail to meet our obligations under the relevant license agreements, or such license agreements are terminated for any other reasons, we may lose our rights to the technologies licensed under those agreements.</w:t>
      </w:r>
    </w:p>
    <w:p>
      <w:pPr>
        <w:spacing w:after="0" w:line="176"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licensing or acquisition of third-party intellectual property rights is an area in which many companies operate that have interests that are in conflict with ours,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harm our business, financial condition, results of operations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or other proceedings to protect or enforce our intellectual property, which could be expensive, time-consuming and unsuccessful and have a negative effect on the success of our business.</w:t>
      </w:r>
    </w:p>
    <w:p>
      <w:pPr>
        <w:spacing w:after="0" w:line="15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Third parties may infringe our patents or misappropriate or otherwise violate our intellectual property rights. In the future, we may initiate legal proceedings to enforce or defend our intellectual property rights, to protect our trade secrets or to determine the validity or scope of intellectual property rights we own or control. Also, third parties may initiate legal proceedings against us to challenge the validity or scope of intellectual property rights we own, control or to which we have rights. For example, generic or biosimilar drug manufacturers or other competitors or third parties may challenge the scope, validity or enforceability of our patents, requiring us to engage in complex, lengthy and costly litigation or other proceedings. These proceedings can be expensive and time-consuming and many of our adversaries in these proceedings may have the ability to dedicate substantially greater resources to prosecuting these legal actions than we can. Accordingly, despite our efforts, we may not be able to prevent third parties from infringing upon or misappropriating intellectual property rights we own, control or have rights to, particularly in countries where the laws may not protect those rights as fully as in the United States. Litigation could result in substantial costs and diversion of management resources, which could harm our business and financial results. In addition, if we initiated legal proceedings against a third party to enforce a patent covering a product candidate, the defendant could counterclaim that such patent is invalid or unenforceable. In patent litigation in the United States, defendants usually assert counterclaims alleging invalidity or unenforceability.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subject matter alleged to be infringing on the grounds that our patents do not cover that subject matter. An adverse result in any litigation proceeding could put one or more of our patents at risk of being invalidated, narrowed, held unenforceable or interpreted in such a manner that would not preclude third parties from entering the market with competing products.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 xml:space="preserve">Third-party pre-issuance submission of prior art to the USPTO, or opposition, derivation, revocation,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proceedings, or other pre-issuance or post-grant proceedings or other patent office proceedings or litigation in the United States or other jurisdictions provoked by third parties or brought by us, may be necessary to determine the inventorship, priority, patentability or validity of inventions with respect to our patents or patent applications. An unfavorable outcome could leave our technology or product candidates without patent protection, allow third parties to commercialize our technology or product candidates and compete directly with us, without payment to us, or could require us to obtain license rights from the prevailing party in order to be able to manufacture or commercialize our product candidates without infringing third-party patent rights. Our business could be harmed if the prevailing party in such a case does not offer us a license on commercially reasonable terms, or at all.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 Even if we successfully defend such litigation or proceeding, we may incur substantial costs and our defense may distract our management and other employees.</w:t>
      </w:r>
    </w:p>
    <w:p>
      <w:pPr>
        <w:spacing w:after="0" w:line="19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many non-U.S. jurisdictions have rules of discovery that are different than those in the United States and that may make defending or enforcing our patents extremely difficult. There could also be public announcements of the results of hearings, motions or other interim proceedings or developments. If securities analysts or investors perceive these results to be negative, it could negatively affect the price of the ADSs and our ordinary shares.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us alleging that we infringe their intellectual property rights, the outcome of which would be uncertain and could harm our business.</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to develop, manufacture, market and sell sozinibercept or any future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us alleging that we infringe their intellectual property rights or we may initiate legal proceedings against third parties to challenge the validity or scope of intellectual property rights controlled by third parties, including in oppositions, interferences, revocations,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derivation proceedings before the USPTO or its counterparts in other jurisdictions. These proceedings can be expensive and time-consuming and many of our adversaries in these proceedings may have the ability to dedicate substantially greater resources to prosecuting these legal actions than we can.</w:t>
      </w:r>
    </w:p>
    <w:p>
      <w:pPr>
        <w:spacing w:after="0" w:line="19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could be found liable for monetary damages, including treble damages and attorneys’ fees, if we are found to have willfully infringed a patent of a third party. A finding of infringement could prevent us from commercializing sozinibercept or any future product candidates or force us to cease some of our business operations, which could materially harm our business.</w:t>
      </w:r>
    </w:p>
    <w:p>
      <w:pPr>
        <w:spacing w:after="0" w:line="17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sozinibercept or any future product candidates and technologies. We are not aware of any facts that would lead us to conclude that the valid and enforceable claims of any third-party patents would reasonably be interpreted to cover our product candidates. As to pending third-party applications, we cannot predict with any certainty which claims will issue, if any, or the scope of such issued claims.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negatively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us or other commercialization partners and we were unable to successfully challenge the validity or enforceability of any such asserted patents, then we and other commercialization partners may be prevented from commercializing our product candidates, or may be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required to pay significant damages, including treble damages and attorneys’ fees if we are found to willfully infringe the asserted patents, or obtain a license to such patents, which may not be available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Any of the foregoing would harm our business, financial condition and operating results.</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Although we have reviewed certain third-party patents and patent filings that we believe may be relevant to our therapeutic candidates or products, we have not conducted a freedom-to-operate search or analysis for any of our therapeutic candidates or products, and we may not be aware of patents or pending or future patent applications that, if issued, would block us from commercializing our therapeutic candidates or products. Thus, we cannot guarantee that our therapeutic candidates or products, or our commercialization thereof, do not and will not infringe any third party’s intellectual property.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misappropriation of intellectual property, or claiming ownership of what we regard as our own intellectual property.</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Although we seek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or that third parties have an interest in our patents as an inventor or co-inventor. Litigation may be necessary to defend against these claims. If we fail in prosecuting or defending any such claims, in addition to paying monetary damages, we may lose valuable intellectual property rights or the services of personnel or sustain other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9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protect our confidential information and trade secrets would harm our business and competitive position.</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substantially on trade secrets, including unpatented know-how, technology and other proprietary materials and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steps may be inadequate, we may fail to enter into agreements with all such parties or any of these parties may breach the agreements and disclose our trade secrets and there may be no adequate remedy available for such breach of an agreement. We cannot assure you that our trade secrets will not be disclosed or that we can meaningfully protect our trade secrets. Enforcing a claim that a party illegally disclosed or misappropriated a trade secret is difficult, expensive and time consuming, and the outcome is unpredictable. In addition, some courts both within and outside the United States may be less willing, or unwilling, to protect trade secrets. If a competitor lawfully obtained or independently developed any technology or information that we protect as trade secret, we would have no right to prevent such competitor from using that technology or information to compete with us, which could harm our competitive position.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62" w:lineRule="exact"/>
        <w:rPr>
          <w:sz w:val="20"/>
          <w:szCs w:val="20"/>
          <w:color w:val="auto"/>
        </w:rPr>
      </w:pPr>
    </w:p>
    <w:p>
      <w:pPr>
        <w:ind w:left="760" w:right="2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sozinibercept and any future product candidates we may develop or utilize similar technology but that are not covered by the claims of the patents that we exclusively license or may own in the future;</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licensors or our future collaborators, might not have been the first to make the inventions covered by the issued patents and pending patent applications that we exclusively license or may own in the future;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licensors or our future collaborators, might not have been the first to file patent applications covering certain of our or their inventions;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exclusively licensed intellectual property rights;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file in the future, including those that we have licensed, will not result in issued patents;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to which we hold rights may be held invalid or unenforceable, including as a result of legal challenges by our competitors;</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major commercial markets in which we do not have sufficient patent rights to stop such sales;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be asserted against our product candidates and technologies in a manner that harms our business; and</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in order to maintain certain trade secrets or know-how, and a third party may subsequently file a patent covering such trade secrets or know-how.</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Should any of these events occur, they could harm our business, financial condition, results of operations and prospects.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maintained and adequately protected, we may not be able to build name recognition in our markets of interest, and our business may be negatively affected.</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Failure to obtain trademark registrations in the future, could limit our ability to protect and enforce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any future trademark rights and prevent infringement, we may be required to file trademark claims against third parties or initiate trademark opposition proceedings. This can be expensive and time consuming and can strain the financial resources of a company of our size, and we may not be successful in enforcing our trademark rights. In addition, our registered or unregistered trademarks or trade names may be challenged, infringed, circumvented, declared generic or determined to be infringing on other marks.</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Future trademark applications in the United States and in other non-U.S. jurisdictions where we may file may not be allowed or may subsequently be opposed. Even if these applications result in registration of trademarks, third parties may challenge our use or registration of these trademarks in the future. Over the long term, if we 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unable to establish name recognition based on our trademarks and trade names, then we may not be able to compete effectively and our business may be negatively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may face competition sooner than anticipated from biosimilar products.</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Even if we are successful in achieving regulatory approval to commercialize a product candidate faster than our competitors, our product candidates may face competition from biosimilar products. In the United States, our product candidates are regulated by the FDA. The Biologics Price Competition and Innovation Act of 2009, or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product candidates.</w:t>
      </w:r>
    </w:p>
    <w:p>
      <w:pPr>
        <w:spacing w:after="0" w:line="18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There is a risk that any exclusivity we may be afforded if any of our product candidates are approved as a biologic product under a BLA could be shortened due to congressional action or otherwise, or that the FDA will not consider our product candidates to be reference products for competing products, potentially creating the opportunity for generic or biosimilar competition sooner than anticipated. Moreover, the extent to which a biosimilar product, once approved, will be substituted for any one of our reference products in a way that is similar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spacing w:after="0" w:line="18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Europe, the European Commission has granted marketing authorizations for several biosimilar products pursuant to a set of general and product class-specific guidelines for biosimilar approvals issued over the past few years. In Europe, a competitor may reference data supporting approval of an innovative biological product, but will not be able to market it until 10 years after the time of approval of the innovative product. This 10-year marketing exclusivity period may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 products in other countries that could compete with our products, if approved.</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competitors are able to obtain marketing approval for biosimilars referencing our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the ADSs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and volume of the ADSs may be volatile, and ADSs holders could incur substantial losses.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price and trading volumes of our ordinary shares and ADSs may be significantly affected by events such as announcements regarding scientific and clinical results concerning product candidates currently being developed by us, our collaboration partners or our main competitors, changes in market conditions related to our sector of activity, announcements of new contracts, technological innovations and collaborations by us or our main competitors, developments concerning intellectual property rights, as well as the development, regulatory approval and commercialization of new products by us or our main competitors and changes in our financial results.</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equity markets may be subject to considerable price and trading volume fluctuations, and often, these movements do not reflect the operational and financial performance of the listed companies concerned. In particular, biotechnology companies’ share prices have been highly volatile in the past and may continue to be highly volatile in the future. As we operate in a single industry, we are especially vulnerable to these factors to the extent that they affect our industry. Fluctuations in the stock market as well as the macroeconomic environment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could significantly affect the price of the ADSs. As a result of this volatility, investors may not be able to sell their ADSs at or above the price originally paid for the security. The market price and trading volume for the ADSs may be influenced by many factors, including:</w:t>
      </w:r>
    </w:p>
    <w:p>
      <w:pPr>
        <w:spacing w:after="0" w:line="162"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divestitures, spin-offs, strategic partnerships, joint ventures, collaborations, capital commitments or changes in business strategy;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of delays in our or any of our competitors’ preclinical studies or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for any of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 strategic alliance or the inability to establish additional strategic alliances;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we provide to the public;</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price and volume fluctuations attributable to inconsistent trading volume levels of the ADSs;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trading of our ordinary shares on the ASX;</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or other market manipulation activities;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U.S. dollar and the Australian dollar;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scientific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or manufacturing arrangements;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patent and other intellectual property protection for our technologies;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coverage policies or reimbursement levels by commercial third-party payors and government payors and any announcements relating to coverage policies or reimbursement levels;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our company;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debt or equity financing efforts;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other calamities or disease outbreaks, such as the COVID-19 pandemic;</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ADSs by us, our affiliates or our other shareholders;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the ADSs to fluctuate, regardless of our actual operating performance, which may limit or prevent investors from readily selling their ADSs and may otherwise negatively affect the liquidity of the trading market for the ADSs.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securities and, consequently, your ability to achieve a return on your investment will depend on appreciation in the price of the ADSs.</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have not declared or paid any cash dividends on our ordinary shares since February 2005 and do not currently intend to do so for the foreseeable future. We currently intend to invest our future earnings, if any, to fund our operations and growth. Therefore, you are not likely to receive any dividends on your ADSs for the foreseeable future and the success of an investment in the ADSs will depend upon any future appreciation in its value. Consequently, investors may need to sell all or part of their holdings of the ADSs after price appreciation, which may never occur, as the only way to realize any future gains on their investment. There is no guarantee that the ADSs will appreciate in value or even maintain the price at which our shareholders have purchased them. Investors seeking cash dividends should consider not purchasing the ADSs.</w:t>
      </w:r>
    </w:p>
    <w:p>
      <w:pPr>
        <w:spacing w:after="0" w:line="18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While we do not anticipate paying any cash dividends on our ordinary shares in the foreseeable future, if such a dividend is declared, 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the distribution of the ADSs, ordinary shares, rights or anything else to holders of the ADSs. This means that you may not receive the distributions we make on our ordinary shares or any value from them if it is unlawful or impractical to make them available to you. These restrictions may negatively impact the value of your ADSs. In addition, exchange rate fluctuations may affect the amount of Australian dollars that we are able to distribute, and the amount in U.S. dollars that our shareholders receive upon the payment of cash dividends or other distributions we declare and pay in Australian dollars, if any. These factors could harm the value of the ADSs, and, in turn, the U.S. dollar proceeds that holders receive from the sale of the ADSs.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ordinary shares or ADSs by existing holders could depress the market price of the ordinary shares or ADSs.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had a total of 1,091,466,771 ordinary shares outstanding as of June 30, 2024.</w:t>
      </w:r>
    </w:p>
    <w:p>
      <w:pPr>
        <w:spacing w:after="0" w:line="22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August 2023, Opthea announced a non-underwritten institutional placement (“2023 Placement”) and fully underwritten accelerated non-renounceable entitlement offering (“2023 ANREO”) of A$90.0 million (approximately US$58.2 million), which was completed in September 2023. Existing shareholders were entitled to purchase new shares at a ratio of 1 for 3.07 pro-rata. The 2023 Placement and the fully underwritten institutional component of the 2023 ANREO, which closed in August 2023, together raised approximately A$73.7 million (approximately US$47.7 million), and the fully underwritten retail component of the 2023 ANREO, which closed in September 2023, raised approximately A$16.3 million (approximately US$10.5 million).</w:t>
      </w:r>
    </w:p>
    <w:p>
      <w:pPr>
        <w:spacing w:after="0" w:line="187"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Participants in the 2023 Placement and 2023 ANREO receive one option, each exercisable at A$0.80 per option and expiring on August 31, 2025 (“2023 New Investor Options”), for every two new shares issued under the 2023 Placement and 2023 ANREO. A total of approximately 98 million 2023 New Investor Options were issued in connection with the 2023 Placement and 2023 ANREO, of which approximately 97.8 remain outstanding.</w:t>
      </w:r>
    </w:p>
    <w:p>
      <w:pPr>
        <w:spacing w:after="0" w:line="17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June 2024, Opthea announced a non-underwritten institutional placement (“2024 Placement”) and partially underwritten accelerated non-renounceable entitlement offering (“2024 ANREO” and together with the 2024 Placement, the "2024 Equity Offering") of A$227.3 million (approximately US$151.9 million), which completed in July 2024. The 2024 Placement and the partially underwritten institutional component of the 2024 ANREO, which closed in June 2024, together raised approximately A$171.5 million (approximately US$114.3 million) and the fully underwritten retail component of the 2024 ANREO (the "2024 Equity Retail Offering"), which closed in July 2024, raised approximately A$55.9 million (approximately US$37.6 million). Total shares outstanding as of the date of this report is 1,231,094,617 .</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Participants in the 2024 Placement and 2024 ANREO received one option, each exercisable for an ordinary share at A$1.00 per option and expiring on June 30, 2026 (2024 New Options), for every three new shares issued under the 2024 Equity Offering. A total of approximately 189.4 million 2024 New Investor Options were issued in connection with the 2024 Equity Offering.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9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the exercise of all outstanding investor options/rights exercisable for ordinary shares would enable the subscription of new ordinary shares representing approximately 18.9% of the diluted share capital. The ordinary shares subject to subscription under outstanding options exercisable for ordinary shares will become eligible for sale in the public market in the future, subject to certain legal and contractual limitations. Sales of a large number of the ordinary shares in the public market could depress the market price of the ADSs. If these additional ordinary shares are sold, or if it is perceived that they will be sold, in the public market, the trading price of the ordinary shares and ADSs could decline substantially, which could impair our ability to raise additional capital through the issuance of ordinary shares, ADSs or other securities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 listing of our ordinary shares and the ADSs may negatively impact the liquidity and value of the ADSs.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ADSs are listed on Nasdaq and our ordinary shares are listed on the ASX. We cannot predict the effect of this dual listing on the value of our ordinary shares and ADSs. However, the dual listing of our ordinary shares and ADSs may dilute the liquidity of these securities in one or both markets and may negatively impact the development of an active trading market for the ADSs in the United States. The price of the ADSs could also be negatively impacted by trading in our ordinary shares on the ASX.</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increased costs as a result of operating as a company with ADSs that are publicly traded in the United States, and our management will be required to devote substantial time to new compliance initiatives.</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 a company whose ADSs are publicly traded in the United States, we have incurred and will continue to incur significant legal, accounting, insurance and other expenses. In addition, the Sarbanes-Oxley Act, Dodd-Frank Wall Street Reform and Consumer Protection Act and related rules implemented by the United States Securities and Exchange Commission, or SEC, and Nasdaq have imposed various requirements on public companies listed in the United States including requiring establishment and maintenance of effective disclosure and financial controls. Our management and other personnel will need to devote a substantial amount of time to these compliance initiatives, and we will need to add additional personnel and build our internal compliance infrastructure. Moreover, these rules and regulations will increase our legal and financial compliance costs and will make some activities more time-consuming and costly. These laws and regulations could also make it more difficult and expensive for us to attract and retain qualified persons to serve on our board of directors, our board committees or as our senior management. Furthermore, if we are unable to satisfy our obligations as a public company listed in the United States, we could be subject to delisting of the ADSs, fines, sanctions and other regulatory action and potentially civil litigation.</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investors may have difficulty enforcing civil liabilities against our company, our directors or members of senior management and the experts named in this annual report.</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Certain members of our senior management and board of directors named in this annual report are non-residents of the United States, and a substantial portion of the assets of such persons are located outside the United States. As a result, it may be impracticable to serve process on such persons in the United States or to enforce judgments obtained in U.S. courts against them based on civil liability provisions of the securities laws of the United States. Even if you are successful in bringing such an action, there is doubt as to whether Australian courts would enforce certain civil liabilities under U.S. securities laws in original actions or judgments of U.S. courts based upon these civil liability provisions. In addition, awards of punitive damages in actions brought in the United States or elsewhere may be unenforceable in Australia or elsewhere outside the United States. An award for monetary damages under U.S. securities laws would be considered punitive if it does not seek to compensate the claimant for loss or damage suffered and is intended to punish the defendant. The enforceability of any judgment in Australia will depend on the particular facts of the case as well as the laws and treaties in effect at the time. The United States and Australia do not currently have a treaty or statute providing for recognition and enforcement of the judgments of the other country (other than arbitration awards) in civil and commercial matters.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 xml:space="preserve">As a result, our public shareholders may have more difficulty in protecting their interests through actions against us, our management or our directors than would shareholders of a corporation incorporated in a jurisdiction in the United States. In addition, as a company incorporated in Australia, the provisions of the </w:t>
      </w:r>
      <w:r>
        <w:rPr>
          <w:rFonts w:ascii="Times New Roman" w:cs="Times New Roman" w:eastAsia="Times New Roman" w:hAnsi="Times New Roman"/>
          <w:sz w:val="18"/>
          <w:szCs w:val="18"/>
          <w:i w:val="1"/>
          <w:iCs w:val="1"/>
          <w:color w:val="auto"/>
        </w:rPr>
        <w:t>Corporations Act 2001(Cth)</w:t>
      </w:r>
      <w:r>
        <w:rPr>
          <w:rFonts w:ascii="Times New Roman" w:cs="Times New Roman" w:eastAsia="Times New Roman" w:hAnsi="Times New Roman"/>
          <w:sz w:val="18"/>
          <w:szCs w:val="18"/>
          <w:color w:val="auto"/>
        </w:rPr>
        <w:t>, or the Corporations Act, regulate the circumstances in which shareholder derivative actions may be commenced which may be different, and in many ways less permissive, than for companies incorporated in the United States.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Australian takeover laws may discourage takeover offers being made for us or may discourage the acquisition of a significant position in our ordinary shares or ADSs.</w:t>
      </w:r>
    </w:p>
    <w:p>
      <w:pPr>
        <w:spacing w:after="0" w:line="15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are incorporated in Australia and are subject to the takeover laws of Australia. Among other things, we are subject to the Corporations Act. Subject to a range of exceptions, the Corporations Act prohibits the acquisition of a direct or indirect interest in our issued voting shares if the acquisition of that interest will lead to a person’s voting power in us increasing to more than 20%, or increasing from a starting point that is above 20% and below 90%. Australian takeover laws may discourage takeover offers being made for us or may discourage the acquisition of a significant position in our ordinary shares. This may have the ancillary effect of entrenching our board of directors and may deprive or limit our shareholders’ opportunity to sell their ordinary shares and may further restrict the ability of our shareholders to obtain a premium from such transactions. See Exhibit 2.3 “Description of Securities” as well as our Constitution, which is included as an exhibit to this annual report.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Constitution and Australian laws and regulations applicable to us may adversely affect our ability to take actions that could be beneficial to our shareholders.</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an Australian company we are subject to different corporate requirements than a corporation organized under the laws of the United States. Our Constitution, as well as the Corporations Act, sets forth various rights and obligations that apply to us as an Australian company and which may not apply to a U.S. corporation. These requirements may operate differently than those of many U.S. companies. You should carefully review the summary of these matters set forth under Exhibit 2.3 “Description of Securities” as well as our Constitution, which is included as an exhibit to this annual report, prior to investing in our securities.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 as a holder of ADSs to participate in any future preferential subscription rights offering or to elect to receive dividends in ordinary shares may be limited, which may cause dilution to your holdings.</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deposit agreement provides that the depositary will not make rights available to you unless the distribution to ADS holders of both the rights and any related securities are either registered under the Securities Act of 1933, as amended, or the Securities Act or exempted from registration under the Securities Act. If we offer holders of our ordinary shares the option to receive dividends in either cash or shares, under the deposit agreement the depositary may require satisfactory assurances from us that extending the offer to holders of ADSs does not require registration of any securities under the Securities Act before making the option available to holders of ADSs.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not be able to exercise your right to vote the ordinary shares underlying your ADSs.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Holders of ADSs may exercise voting rights with respect to the ordinary shares represented by the ADSs only in accordance with the provisions of the deposit agreement. The deposit agreement provides that, upon receipt of notice of any meeting of holders of our ordinary shares, the depositary will fix a record date for the determination of ADS holders who shall be entitled to give instructions for the exercise of voting rights. Upon timely receipt of notice from us, if we so request, the depositary shall distribute to the holders as of the record date (i) the notice of the meeting or solicitation of consent or proxy sent by us and (ii) a statement as to the manner in which instructions may be given by the holders.</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You may instruct the depositary to vote the ordinary shares underlying your ADSs. Otherwise, you will not be able to exercise your right to vote, unless you withdraw the ordinary shares underlying the ADSs you hold. However, you may not know about the meeting far enough in advance to withdraw those ordinary shares. If we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ask for your instructions, the depositary, upon timely notice from us, will notify you of the upcoming vote and arrange to deliver our voting materials to you and will try to vote ordinary shares as you instruct. We cannot guarantee you that you will receive the voting materials in time to ensure that you can instruct the depositary to vote your ordinary shares or to withdraw your ordinary shares so that you can vote them yourself. If we do not ask for your instructions, you can still send voting instructions to the depository and the depository may try to carry out those instructions, but it is not required to do so.</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Under our Constitution, any resolution to be considered at a meeting of the shareholders shall be decided on a show of hands unless a poll is demanded in accordance with the terms of our Constitution. A poll may be demanded before a vote is taken, or, in the case of a vote taken on a show of hands, immediately before or immediately after, the declaration of the result of the show of hands. Under voting by a show of hands, multiple “yes” votes by ADS holders will only count as one “yes” vote and will be negated by a single “no” vote, unless a poll is demanded.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the transfer of your ADSs and the withdrawal of the underlying ordinary shares.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books at any time or from time to time when it deems expedient in connection with the performance of its duties. The depositary may refuse to deliver, transfer or register transfers of your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your right to surrender your ADSs and receive the underlying ordinary shares. Temporary delays in the surrendering of your ADSs and receipt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you may not be able to surrender your ADSs and receive the underlying ordinary shares when you owe money for fees, taxes and similar charges and when it is necessary to prohibit withdrawals in order to comply with any laws or governmental regulations that apply to ADSs or to the withdrawal of ordinary shares or other deposited securities. See “Item 12D —Description of American Depositary Shares.”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are not treated as holders of our ordinary shares.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Holders of ADSs are not treated as holders of our ordinary shares, unless they surrender the ADSs to receive the ordinary shares underlying their ADSs in accordance with the deposit agreement and applicable laws and regulations. The depositary is the holder of the ordinary shares underlying the ADSs. Holders of ADSs therefore do not have any rights as holders of our ordinary shares, other than the rights that they have pursuant to the deposit agreement. See “Item 12D —Description of American Depositary Shares.”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deposit agreement governing the ADSs provides that holders and beneficial owners of ADSs, including those holders and owners who acquired ADSs in secondary transactions, irrevocably waive the right to a trial by jury in any legal proceeding arising out of or relating to the deposit agreement or the ADSs, including in respect of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the ADSs.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or the ADSs.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9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No condition, stipulation or provision of the deposit agreement or ADSs serves as a waiver by any holder or beneficial owner of ADSs or by us or the depositary of compliance with any provision of the federal securities laws. If you or any other holder or beneficial owner of ADSs brings a claim against us or the depositary in connection with such matters,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9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 the jury trial waiver relates to claims arising out of or relating to the ADSs or the deposit agreement, we believe that the waiver would likely continue to apply to ADS holders or beneficial owners who withdraw the ordinary shares from the ADS facility with respect to claims arising before the cancellation of the ADSs and the withdrawal of the ordinary shares, and the waiver would likely not apply to ADS holders or beneficial owners who subsequently withdraw the ordinary shares represented by ADSs from the ADS facility with respect to claims arising after the withdrawal. However, to our knowledge, there has been no case law on the applicability of the jury trial waiver to ADS holders or beneficial owners who withdraw the ordinary shares represented by the ADSs from the ADS facility.</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report our financial results under IFRS, which differs in certain significant respect from U.S. generally accepted accounting principles, or U.S. GAAP.</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Currently we report our financial statements under IFRS. There have been and there may in the future be certain significant differences between IFRS and U.S. GAAP, including differences related, share-based compensation expense, and income tax. As a result, our financial information and reported earnings for historical or future periods could be significantly different if they were prepared in accordance with U.S. GAAP. In addition, we do not intend to provide a reconciliation between IFRS and U.S. GAAP unless it is required under applicable law. As a result, you may not be able to meaningfully compare our financial statements under IFRS with those companies that prepare financial statements under U.S. GAAP.</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exempt from a number of rules under the U.S. securities laws and are permitted to file less information with the SEC than a U.S. company.</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are a foreign private issuer, as defined in the SEC’s rules and regulations and, consequently, we are not subject to all of the disclosure requirements applicable to public companies organized within the United States. For example, we are exempt from certain rules under the Securities Exchange Act of 1934, as amended, or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senior management and directors are exempt from the reporting and “short-swing” profit recovery provisions of Section 16 of the Exchange Act and related rules with respect to their purchases and sales of our securities. Moreover, while we currently make annual and semi-annual filings with respect to our listing on the ASX and expect to file financial reports on an annual and semi-annual basis, we will not be required to file periodic reports and financial statements with the SEC as frequently or as promptly as U.S. public companies and will not be required to file quarterly reports on Form 10-Q or current reports on Form 8-K under the Exchange Act. In addition, foreign private issuers are not required to file their annual report on Form 20-F until four months after the end of each fiscal year. Accordingly, there may be less publicly available information concerning our company than there would be if we were not a foreign private issuer.</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permitted to adopt certain home country practices in relation to corporate governance matters that differ significantly from Nasdaq corporate governance listing standards and these practices may afford less protection to shareholders than they would enjoy if we complied fully with Nasdaq corporate governance listing standards.</w:t>
      </w:r>
    </w:p>
    <w:p>
      <w:pPr>
        <w:spacing w:after="0" w:line="1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a foreign private issuer listed on Nasdaq, we are subject to its corporate governance listing standards. However, Nasdaq rules permit foreign private issuers to follow the corporate governance practices of their home country. Some corporate governance practices in Australia may differ from Nasdaq corporate governance listing standards. For example, we could include non-independent directors as members of our Remuneration and Nomination committees, and our independent directors may not necessarily hold regularly scheduled meetings at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which only independent members of the board of directors are present. Currently, we follow home country practice to the maximum extent possible. Therefore, our shareholders may be afforded less protection than they otherwise would have under corporate governance listing standards applicable to U.S. domestic issuers. For an overview of our corporate governance practices, see “Item 16G—Corporate Governance.”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While we currently qualify as a foreign private issuer, the determination of foreign private issuer status is made annually on the last business day of an issuer’s most recently completed second fiscal quarter and, accordingly, our next determination will be made on December 31, 2024. In the future, we would lose our foreign private issuer status if we to fail to meet the requirements necessary to maintain our foreign private issuer status as of the relevant determination date. For example, if 50% or more of our securities are held by U.S. residents and more than 50% of our senior management or directors are residents or citizens of the United States, we could lose our foreign private issuer status.</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GAAP rather than IFRS, and modify certain of our policies to comply with corporate governance practices required of U.S. domestic issuers. Such conversion of our financial statements to U.S. GAAP would involve significant time and cost. In addition, we may lose our ability to rely upon exemptions from certain corporate governance requirements on U.S. stock exchanges that are available to foreign private issuers such as the ones described above and exemptions from procedural requirements related to the solicitation of proxies.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under the JOBS Act and will be able to avail ourselves of reduced disclosure requirements applicable to emerging growth companies, which could make our ordinary shares ADSs less attractive to investors.</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and if we were to lose our foreign private issuer status, -exemptions from the requirements of holding a nonbinding advisory vote on executive compensation and shareholder approval of any golden parachute payments not previously approved.</w:t>
      </w:r>
    </w:p>
    <w:p>
      <w:pPr>
        <w:spacing w:after="0" w:line="18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cannot predict if investors will find the ordinary shares or ADSs less attractive because we may rely on these exemptions. If some investors find the ordinary shares or ADSs less attractive as a result, there may be a less active trading market for the ordinary shares or ADSs and the price of the ordinary shares or ADSs may be more volatile. We may take advantage of these exemptions until such time that we are no longer an emerging growth company. We would cease to be an emerging growth company upon the earliest to occur of (i) the last day of the fiscal year in which we have more than US$1.235 billion in annual revenue; (ii) the last day of the fiscal year in which we qualify as a “large accelerated filer”; (iii) the date on which we have, during the previous three-year period, issued more than US$1.0 billion in non-convertible debt securities; and (iv)June 30, 2026.</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likely that we will be classified as a passive foreign investment company, which could result in adverse U.S. federal income tax consequences for U.S. holders.</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general, a non-U.S. company will be considered a passive foreign investment company, or PFIC, for U.S. federal income tax purposes for any taxable year in which (1) 75% or more of its gross income consists of passive income or (2) 50% or more of the average quarterly value of its assets is attributable to assets that produce, or are held for the production of, passive income. For purposes of these tests, passive income generally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if it held its proportionate share of the assets and received directly its proportionate share of the income of such other corporation.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9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believe we were a PFIC for our taxable year ended June 30, 2024, and based on the nature and composition of our income, assets, activities and market capitalization, we may be a PFIC in future taxable years. However, our PFIC status is based on an annual determination and may change from year to year. Our status as a PFIC will depend on the composition of our income and the composition and value of our assets, which may be volatile, from time to time. Our status may also depend, in part, on how quickly we utilize the cash we raise in any offering of our securities. Our U.S. counsel expresses no opinion regarding our conclusions or our expectations regarding our PFIC status.</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(as defined below in the section titled “Item 10E – Taxation”) holds ADSs, the U.S. holder may be subject to adverse tax consequences regardless of whether we continue to qualify as a PFIC, including ineligibility for any preferred tax rates on capital gains or on actual or deemed dividends, interest charges on certain taxes treated as deferred, and additional reporting requirements. We will continue to be treated as a PFIC with respect to such U.S. holder in all succeeding years during which the U.S. holder owns the ADSs, regardless of whether we continue to meet the PFIC test described above, unless the U.S. holder makes a valid and timely qualified electing fund (QEF) or mark-to-market election, or makes a deemed sale election once we cease to be a PFIC; however, we do not currently intend to provide the information necessary for a U.S. holder to make a QEF election. For further discussion of the PFIC rules and the adverse U.S. federal income tax consequences in the event we are classified as a PFIC, see “Item 10E—Taxation.”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United States person is treated as owning at least 10% of our ordinary shares, such holder may be subject to adverse U.S. federal income tax consequences.</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If a U.S. holder is treated as owning (directly, indirectly or constructively,) at least 10% of the value or voting power of our ordinary shares or ADSs, such U.S. holder may be treated, for U.S. federal income tax purposes, as a “United States shareholder” with respect to each “controlled foreign corporation” in our group, if any. Because our group includes a U.S. subsidiary (Opthea US Inc.), certain of our current and future non-U.S. subsidiaries will be treated as controlled corporations, regardless of whether we are treated as a controlled foreign corporation. A United States shareholder of a controlled foreign corporation may be required to annually report and include in its U.S. taxable income its pro-rata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We cannot provide any assurances that we will furnish to any United States shareholder information that may be necessary to comply with the reporting and payment obligations described above. Failure to comply with such obligations may subject a United States shareholder to significant monetary penalties and stall the beginning of the statute of limitations period for relevant U.S. federal income tax returns. U.S. holders should consult their tax advisors regarding the potential application of these rules to their investment in the ADSs.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changes to tax laws could materially adversely affect our company and reduce net returns to our shareholders.</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tax treatment is subject to the enactment of, or changes in, tax laws, regulations and treaties, or the interpretation thereof, tax policy initiatives and reforms under consideration and the practices of tax authorities in jurisdictions in which we operate, including those related to the Organization for Economic Co-Operation and Development’s Base Erosion and Profit Shifting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authorities may disagree with our position and conclusions regarding certain tax positions, resulting in unanticipated costs, taxes or non-realization of expected benefits.</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management’s attention.</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market price of the ordinary shares or ADSs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price of the ADSs and their trading volume could decline.</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trading market for the ADSs depends in part on the research and reports that securities or industry analysts publish about us or our business. As a public listed company in Australia since 1985, our equity securities are currently subject to coverage by a number of analysts. If fewer securities or industry analysts cover our company, the trading price for the ADSs could be negatively impacted. If one or more of the analysts who covers us downgrades our equity securities or publishes incorrect or unfavorable research about our business, the price of the ADSs would likely decline. If one or more of these analysts ceases coverage of our company or fails to publish reports on us regularly, or downgrades our securities, demand for the ADSs could decrease, which could cause the price of the ADSs or their trading volume to decline.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the third-parties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7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process confidential sensitive, and/or proprietary information, including intellectual property, business information, personal data, and health information (collectively, sensitive information).</w:t>
      </w:r>
    </w:p>
    <w:p>
      <w:pPr>
        <w:spacing w:after="0" w:line="16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limitations nation-state actors for geopolitical reasons and in conjunction with military conflicts and defense activities.</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harvesting, personnel misconduct or error, ransomware attacks, supply-chain attacks, software bugs, server malfunctions, software or hardware failures, loss of data or other information technology assets, attacks enhanced or facilitated by AI, adware, telecommunications failures, earthquakes, fires, floods and other similar threats. In particular, severe ransomware attacks are becoming increasingly prevalent, particularly for companies like ours in the biopharmaceutical space,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 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as it may be difficult to integrate companies into our information technology environment and security program.</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rely on third parties and technologies to operate critical business systems to process sensitive information in a variety of contexts, including, without limitations, cloud-based infrastructure, data center facilities, encryption and authentication technology, employee email, and other functions.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these third parties fail to satisfy their privacy or security-related obligations to us, any award may be insufficient to cover our damages, or we may be unable to recover such award</w:t>
      </w:r>
    </w:p>
    <w:p>
      <w:pPr>
        <w:spacing w:after="0" w:line="18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addition, supply-chain attacks have increased in frequency and severity, and we cannot guarantee that third parties' infrastructure in our supply chain or that of the third-party with whom we work have not been compromised.</w:t>
      </w:r>
    </w:p>
    <w:p>
      <w:pPr>
        <w:spacing w:after="0" w:line="16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of our information technology systems, or those of the third parties with whom we work. A security incident or other interruptions could disrupt our ability (and that of third parties with whom we work) to develop and provide our products. For example, the loss of clinical trial data from completed, ongoing or planned clinical trials for our product candidates could result in delays in our regulatory approval efforts and significantly increase our costs to recover or reproduce the data.</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(including our clinical trial activities) to try to protect against security incidents. Certain data privacy and security obligations may require us to implement and maintain specific security measures or industry-standard or reasonable security measures to protect our information technology systems and sensitive information.</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w:t>
      </w:r>
    </w:p>
    <w:p>
      <w:pPr>
        <w:spacing w:after="0" w:line="162" w:lineRule="exact"/>
        <w:rPr>
          <w:sz w:val="20"/>
          <w:szCs w:val="20"/>
          <w:color w:val="auto"/>
        </w:rPr>
      </w:pPr>
    </w:p>
    <w:p>
      <w:pPr>
        <w:jc w:val="both"/>
        <w:ind w:firstLine="374"/>
        <w:spacing w:after="0" w:line="239" w:lineRule="auto"/>
        <w:rPr>
          <w:sz w:val="20"/>
          <w:szCs w:val="20"/>
          <w:color w:val="auto"/>
        </w:rPr>
      </w:pPr>
      <w:r>
        <w:rPr>
          <w:rFonts w:ascii="Times New Roman" w:cs="Times New Roman" w:eastAsia="Times New Roman" w:hAnsi="Times New Roman"/>
          <w:sz w:val="18"/>
          <w:szCs w:val="18"/>
          <w:color w:val="auto"/>
        </w:rPr>
        <w:t>We take steps to detect and remediate vulnerabilities, but we may not be able to detect and remediate all vulnerabilities in our information systems (such as our hardware and/or software, including that of third parties with whom we work). We may not, however, detect and remediate all such vulnerabilities including on a timely basis.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Further, we may experience delays in developing and deploying remedial measures designed to address identified vulnerabilities. Vulnerabilities could be exploited and result in a security incident.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are costly, and the disclosure or the failure to comply with such applicable requirements could lead to adverse consequences.</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If we (or a third party with whom we work)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products, deter new customers from using our products, and negatively impact our ability to grow and operate our business.</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AI technologies.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only protect us from some business risks, leaving us exposed to significant uninsured liabilities.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We believe that we maintain insurance customary for businesses of our size and type, including clinical trial liability insurance. However, there are types of losses we may incur that cannot be insured against or that we believe are not economically reasonable to insure. Moreover, any loss incurred could exceed policy limits and policy payments made to us may not be made on a timely basis. Such losses could negatively affect our business prospects, results of operations, cash flows and financial condition. We do not know if our current levels of coverage are adequate or if we will be able to obtain insurance with adequate levels of coverage in the future, if at all. Any significant uninsured liability may require us to pay substantial amounts, which could negatively impact our financial position and results of operations.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and may identify additional material weaknesses in the future or fail to implement and maintain an effective system of internal control over financial reporting, which may result in us being unable to accurately report our results of operations, meet our reporting obligations or prevent fraud, and investor confidence in our company and the market price of the ADSs may be negatively impacted.</w:t>
      </w:r>
    </w:p>
    <w:p>
      <w:pPr>
        <w:spacing w:after="0" w:line="18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Section 404(a) of the Sarbanes-Oxley Act of 2002, or the Sarbanes-Oxley Act, requires that our management assess and report annually on the effectiveness of our internal controls over financial reporting and identify any material weaknesses in our internal controls over financial reporting. During the year ended June 30, 2024 and 2023, we identified a material weakness in our internal controls over financial reporting because we did not design and maintain effective controls in relation to accounting for non-routine transactions and its related note disclosures which resulted in our failure to prevent and detect material errors which were corrected in our consolidated financial statements as of and for the year ended June 30, 2024 related to the (1) remeasurement of the financial liabilities in connection with our Funding Agreement and (2) the accounting application and related disclosures of investor options issued during the year. Although we are taking certain measures to remediate this material weakness, this material weakness will not be considered remediated until management completes the design and implementation of the remediation measures and the controls operate for a sufficient period of time and management concludes, through testing, that these controls are effective. If in the future, we fail to maintain effective internal controls, as such standards are modified, supplemented or amended from time to time, we may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 be able to ensure that we can conclude on an ongoing basis that we have effective internal controls over financial reporting in accordance with Section 404(a).</w:t>
      </w:r>
    </w:p>
    <w:p>
      <w:pPr>
        <w:spacing w:after="0" w:line="162"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Section 404(b) also requires an attestation report on the effectiveness of internal control over financial reporting be provided by our independent registered public accounting firm beginning with our annual report following the date on which we are no longer an “emerging growth company”, which may be up to five fiscal years from the initial public offering of our ADSs. If we are unable to attest to the effectiveness of our internal control over financial reporting, we could lose investor confidence in the accuracy and completeness of our financial reports, and the market price of our ordinary shares and ADSs could decline. Failure to maintain effective internal control over financial reporting could also restrict our future access to the capital markets and subject each of us, our directors and our officers to both significant monetary and criminal liability. 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 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position, results and prospects may be adversely affected.</w:t>
      </w:r>
    </w:p>
    <w:p>
      <w:pPr>
        <w:spacing w:after="0" w:line="19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presence of material weaknesses could result in financial statement errors which, in turn, could lead to errors in our financial reports or delays in our financial reporting, which could require us to restate our operating results or result in our auditors issuing a qualified audit report. In order to establish and maintain effective disclosure controls and procedures and internal controls over financial reporting, we will need to expend significant resources and provide significant management oversight. Developing, implementing and testing changes to our internal controls may require specific compliance training of our directors and employees, entail substantial costs in order to modify our existing accounting systems, take a significant period of time to complete and divert management’s attention from other business concerns. These changes may not, however, be effective in establishing and maintaining adequate internal controls.</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If in the future we conclude that we have ineffective internal controls over financial reporting or when applicable, our independent auditors are unwilling or unable to provide us with an unqualified report on the effectiveness of our internal controls over financial reporting as required by Section 404(b) of the Sarbanes-Oxley Act, investors may lose confidence in our operating results, the price of the ADSs could decline and we may be subject to litigation or regulatory enforcement actions. In addition, if we are unable to meet the requirements of Section 404 of the Sarbanes-Oxley Act, we may not be able to remain listed on Nasdaq.</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9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Information on the Company</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4A.</w:t>
      </w:r>
      <w:r>
        <w:rPr>
          <w:sz w:val="20"/>
          <w:szCs w:val="20"/>
          <w:color w:val="auto"/>
        </w:rPr>
        <w:tab/>
      </w:r>
      <w:r>
        <w:rPr>
          <w:rFonts w:ascii="Times New Roman" w:cs="Times New Roman" w:eastAsia="Times New Roman" w:hAnsi="Times New Roman"/>
          <w:sz w:val="18"/>
          <w:szCs w:val="18"/>
          <w:b w:val="1"/>
          <w:bCs w:val="1"/>
          <w:color w:val="auto"/>
        </w:rPr>
        <w:t>History and Development of Opthea Limited</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were incorporated under the laws of Australia in 1984 under the name Circadian Technologies Limited. In 1985, we completed an initial public offering of our ordinary shares and the listing of our ordinary shares on the Australian Securities Exchange, or the ASX. In December 2015, we changed the name of our company to Opthea Limited. Our headquarters and registered offices are located at Suite 0403, Level 4, 650 Chapel Street, South Yarra, VIC 3141, Australia. Our telephone number is +61 3 9826 0399. Our agent for service of process in the United States is Corporation Service Company, located at 1180 Avenue of the Americas, Suite 210, New York, NY 10036. Our website address is www.opthea.com. The reference to our website is an inactive textual reference only and information contained in, or that can be assessed through, our website is not part of this annual report. The SEC maintains a website (www.sec.gov) that contains reports, proxy and information statements and other information regarding registrants, such as us, that file electronically with the SEC.</w:t>
      </w:r>
    </w:p>
    <w:p>
      <w:pPr>
        <w:spacing w:after="0" w:line="19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a description of our principal capital expenditures and divestitures for the three years ended June 30, 2024, and for those currently in progress, see Item 5 “Operating and Financial Review and Prospects”.</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4B.</w:t>
      </w:r>
      <w:r>
        <w:rPr>
          <w:sz w:val="20"/>
          <w:szCs w:val="20"/>
          <w:color w:val="auto"/>
        </w:rPr>
        <w:tab/>
      </w: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a novel therapy for the treatment of highly prevalent and progressive retinal diseases. We are developing our Phase 3-product candidate, sozinibercept, a biologic designed to inhibit VEGF-C and VEGF-D, to complement VEGF-A inhibitors for the treatment of ophthalmic diseases. Anti-VEGF-A therapies represent the standard of care for wet age-related macular degeneration, or AMD, and other retinal diseases; however, there remains a significant unmet medical need as many patients experience suboptimal vision outcomes with these treatments. As the only biologic inhibitor of VEGF-C and VEGF-D in clinical development for ophthalmology, sozinibercept differs from standard of care therapies and when administered in combination with a VEGF-A inhibitor, is designed to achieve broader inhibition of the vascular endothelial growth factor, or VEGF, family of growth factors and target a mechanism of clinical resistance to improve visual acuity. Our lead indication for sozinibercept combination therapy is wet AMD, a chronic, progressive eye disease and the leading cause of vision loss for individuals over the age of 50. In a 366-patient Phase 2b clinical trial for the treatment of wet AMD, 2.0 mg sozinibercept, in combination with a standard of care anti-VEGF-A therapy, ranibizumab (Lucentis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met the primary endpoint of a statistically significant superior mean gain in visual acuity over ranibizumab monotherapy at week 24. We initiated two pivotal Phase 3 clinical trials, COAST (Combination OPT-302 with Aflibercept Study) and ShORe (Study of OPT-302 in combination with Ranibizumab), in treatment-naive patients with wet AMD to evaluate the efficacy and safety of sozinibercept in combination with anti-VEGF-A therapies compared to anti-VEGF-A monotherapy. We completed patient recruitment in COAST in February 2024 and in ShORe in May 2024. The 52-week top-line data readout of COAST is anticipated early in the second calendar quarter of 2025, and the topline data readout for ShORe is anticipated in mid-calendar year 2025. In addition to our clinical trials in wet AMD, we have observed evidence of improved clinical outcomes in a Phase 1b/2a clinical trial of sozinibercept in combination with another standard of care anti-VEGF-A therapy, aflibercept (Eylea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 patients with treatment-refractory diabetic macular edema, or DME. We retain worldwide rights to develop and commercialize sozinibercept for the treatment of wet AMD and DME and believe that the novel treatment mechanism of sozinibercept has the potential to provide therapeutic benefit for other progressive eye diseases.</w:t>
      </w:r>
    </w:p>
    <w:p>
      <w:pPr>
        <w:spacing w:after="0" w:line="20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Wet AMD is a rapidly progressing disease with loss of central vision developing over a period of weeks to months in which abnormal new blood vessels form in the back of the eye in a process called choroidal neovascularization, or CNV. These newly formed vessels are highly permeable, leaking exudate leading to fluid accumulation and retinal lesion formation. This, in turn, adversely affects sensory cells in the retina and if left untreated, results in rapid loss of visual acuity.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9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Wet AMD affects approximately one million people in the United States and 2.5 million people in Europe. The standard of care for wet AMD and other ocular neovascular diseases is the administration of monotherapies that primarily inhibit VEGF-A. These therapeutic agents, which include ranibizumab, aflibercept, and faricimab, prevent VEGF-A molecules from binding to, and activating, VEGF receptors and thereby inhibit the formation and permeability of blood vessels. As the risk of developing wet AMD increases with age, it is predicted that the overall aging of the population will result in a significant increase in the number of wet AMD cases, both in the United States and worldwide. In 2023, branded anti-VEGF-A monotherapies had combined annual worldwide sales in excess of US$14 billion. In addition, it is estimated that ~35% of wet AMD patients are treated with off-label bevacizumab as a lower cost alternative anti-VEGF-A therapy. Despite receiving anti-VEGF-A monotherapy, many wet AMD patients also experience suboptimal vision outcomes and as a result, we believe there is a significant and expanding market opportunity for novel therapies that can improve vision in patients with wet AMD, which has the potential to lead to sales greater than the combined annual sales of ranibizumab, aflibercept and faricimab.</w:t>
      </w:r>
    </w:p>
    <w:p>
      <w:pPr>
        <w:spacing w:after="0" w:line="18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Despite the widespread use and commercial success of VEGF-A inhibitors, at least 45% of wet AMD patients treated with a VEGF-A inhibitor experience some degree of suboptimal clinical response, with a majority of patients failing to achieve 20/40 vision after 12 months of treatment, providing further opportunity for visual acuity improvement. Furthermore, many patients have persistent retinal fluid and insufficient gains in visual acuity to resume routine daily activities such as driving and reading following regular treatment with a VEGF-A inhibitor. In addition, improvements in visual acuity following regular administration of VEGF-A monotherapy are often not sustained with long-term use.</w:t>
      </w:r>
    </w:p>
    <w:p>
      <w:pPr>
        <w:spacing w:after="0" w:line="18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Sozinibercept is designed to improve patient outcomes with superior vision gains for patients with wet AMD and other retinal diseases, such as DME, by targeting alternate members of the VEGF family, namely VEGF-C and VEGF-D, which are not targeted by current standard of care therapies. VEGF-C and VEGF-D function in parallel with VEGF-A to drive neovascularization and vascular leakage, which are key hallmarks of both wet AMD and DME. In addition, treatment with VEGF-A inhibitors leads to upregulation of VEGF-C and VEGF-D to compensate for VEGF-A inhibition, which may represent an important mechanism of clinical resistance to anti-VEGF-A monotherapy. We are developing sozinibercept to be used in combination with standard of care anti-VEGF-A monotherapies to achieve broader inhibition of the VEGF family, with the goal of improving overall efficacy and demonstrating superior vision gains over that which can be achieved by inhibiting VEGF-A alone</w:t>
      </w:r>
    </w:p>
    <w:p>
      <w:pPr>
        <w:spacing w:after="0" w:line="18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In our completed Phase 2b wet AMD clinical trial, 2.0 mg sozinibercept in combination with ranibizumab demonstrated a statistically significant superior mean gain in visual acuity at week 24 compared to patients treated with ranibizumab with a sham injection, which we refer to as ranibizumab monotherapy. The trial was an international, multi-center, double-masked trial in 366 treatment-naive patients with wet AMD. Patients were randomized into three groups and received intravitreal injections every four weeks of either 0.5 mg or 2.0 mg sozinibercept in combination with 0.5 mg ranibizumab or 0.5 mg ranibizumab monotherapy. Treatments were administered by intravitreal injections once every four weeks for 24 weeks (six treatments in total). The primary endpoint was the mean change at week 24 in best corrected visual acuity, or BCVA, from baseline on the Early Treatment of Diabetic Retinopathy Study, or ETDRS, standardized eye chart, which we refer to as visual acuity. Patients treated with 2.0 mg sozinibercept combination therapy demonstrated a statistically significant improvement in visual acuity compared to patients treated with ranibizumab monotherapy. In the patients that received 2.0 mg sozinibercept combination therapy, visual acuity improved at week 24 from baseline by a mean of +14.2 letters compared to +10.8 letters for those treated with ranibizumab monotherapy, a statistically significant benefit of +3.4 letters(p=0.0107). Patients that received 2.0 mg sozinibercept combination therapy also demonstrated improvements in retinal anatomy which were consistent with the visual acuity gains observed in the trial, including reductions in retinal fluid and lesion size by week 24. In a pre-specified subgroup analysis of patients without retinal angiomatous proliferation (RAP) who had occult or minimally classic lesions, which are considered more difficult to treat with anti-VEGF-A therapy and are present in the majority of wet AMD patients, the mean visual acuity gain from baseline to week 24 was +16.1 letters with sozinibercept combination therapy (n=88) compared to +10.3 letters for those treated with ranibizumab monotherapy (n=87), a benefit of +5.7 letters (p=0.0002). Our clinical experience to date, which includes administration of sozinibercept to patients enrolled in our Phase 3 clinical trials, as well as administration of over 1,800 doses of sozinibercept to 399 patients with retinal disease in our Phase 1 and Phase 2 clinical trials, indicates that sozinibercept intravitreal injections are well tolerated, with the incidence of treatment-emergent adverse events, or TEAEs, comparable to anti-VEGF-A monotherapy in our clinical trials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9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August 2020, we successfully completed End-of-Phase 2 meetings with the U.S. Food and Drug Administration (FDA), and a Scientific Advice meeting with the European Medicines Agency (EMA). The regulatory engagement provided us with guidance on our Phase 3 clinical program for sozinibercept in wet AMD and associated manufacturing processes that we believe will support the submission of a Biologics License Application in the U.S. and Marketing Authorization Application in Europe. Further regulatory milestones were achieved during the year, firstly with our successful application to the FDA for an initial Pediatric Study Plan (iPSP) waiver, which was received in March 2021. The receipt of the waiver means that we will not have to conduct an additional study of sozinibercept in the pediatric population for use of sozinibercept in this U.S. population. Furthermore, in July 2021, the FDA granted Fast-Track designation for sozinibercept in combination with anti-VEGF-A therapy for the treatment of patients with wet AMD. We believe the FDA’s Fast-Track designation acknowledges the significant unmet medical need in the management of wet AMD, and the potential role that sozinibercept may have in addressing it. The FDA’s Fast-Track Designation for sozinibercept offers benefits to expedite the Phase 3 clinical program and subsequent potential approval process, including more frequent communication and meetings with the FDA, and a Rolling Review of completed sections of its BLA.In December 2023, we received further feedback from the FDA in a Type C meeting on our manufacturing, chemistry and controls program required to support the BLA filing</w:t>
      </w:r>
    </w:p>
    <w:p>
      <w:pPr>
        <w:spacing w:after="0" w:line="190"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18"/>
          <w:szCs w:val="18"/>
          <w:color w:val="auto"/>
        </w:rPr>
        <w:t>We initiated two concurrent pivotal Phase 3 clinical trials for the treatment of wet AMD. These double-masked, sham-controlled Phase 3 clinical trials enrolled treatment-naive patients and assessed the efficacy and safety of 2.0 mg of sozinibercept in combination with ranibizumab (Lucentis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(referred to as ShORe) or aflibercept (Eylea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(referred to as COAST), compared to ranibizumab or aflibercept monotherapy in each respective trial. In addition, each trial is comparing the clinical efficacy of sozinibercept administered in combination with the applicable VEGF-A inhibitor on an every four-week and every eight-week dosing regimen to understand the durability of sozinibercept treatment effect with less frequent dosing. For consistency, the ShORe and COAST Phase 3 trials built upon and maintain key features of our Phase 2b clinical trial of sozinibercept combination therapy for the treatment of wet AMD, while evaluating the administration of sozinibercept combination therapy over a longer treatment period and in a greater number of patients. The primary endpoint of both trials will be the mean change in visual acuity from baseline to week 52. Patients will continue to be dosed until week 96 to further assess long-term safety at week 100. In total, we enrolled 1,984 patients across the COAST (n=998) and ShORe (n=986) trials, with patients recruited from more than 20 countries worldwide. Based on the completion of enrollment in COAST in February 2024 and ShORe in May 2024, the 52-week top-line data readout of COAST is anticipated early in the second calendar quarter of 2025, and the topline data readout for ShORe is anticipated in mid-calendar year 2025. Pending the results of the primary efficacy phase at week 52 of the Phase 3 clinical trials, we intend to submit Biologics License and Marketing Authorization Applications with the FDA and EMA respectively</w:t>
      </w:r>
    </w:p>
    <w:p>
      <w:pPr>
        <w:spacing w:after="0" w:line="19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to our pivotal Phase 3 clinical trials, we plan to develop a co-formulation of sozinibercept with an approved and/or biosimilar anti-VEGF-A therapy designed to achieve VEGF-A, VEGF-C and VEGF-D inhibition following the administration of a single intravitreal injection of the co-formulated product. Sozinibercept is currently administered as a combination therapy, consisting of a sequential injection of sozinibercept following intravitreal administration of a VEGF-A inhibitor. We believe that a co-formulated sozinibercept and VEGF-A inhibitor product could provide an additional treatment option for physicians to reduce the frequency and number of injections for patients. We intend to file an investigative new drug application, or IND, for the co-formulated product prior to initiation of clinical trials.</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While we intend to focus our development efforts on seeking commercialization of sozinibercept for the treatment of wet AMD, we are also investigating the therapeutic potential of sozinibercept for DME. DME is a progressive eye disease and a complication of diabetic retinopathy, or DR, a condition caused by chronically elevated glucose levels in diabetics that damages the retina. DME can cause blurred vision, severe vision loss and blindness. Wet AMD and DME share a similar underlying pathophysiology, including retinal neovascularization and increased vascular permeability, and as a result, VEGF-A inhibitors are also considered the standard of care treatment for DME. Based on its mechanism of action and clinical results to date, we believe that sozinibercept also has the potential to deliver therapeutic benefit in DME patients. In our Phase 1b/2a clinical trial of sozinibercept in combination with aflibercept in patients with treatment-refractory DME, we observed evidence of improved clinical outcomes following sozinibercept combination therapy in this indication.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9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also believe that our novel treatment mechanism has the potential to provide therapeutic benefit for other progressive retinal diseases beyond wet AMD and DME. We may further investigate the efficacy of sozinibercept to improve clinical outcomes in patients with polypoidal choroidal vasculopathy, or PCV, a form of wet AMD that is highly prevalent in Asian populations and less responsive to anti-VEGF-A therapy than other wet AMD subtypes. Beyond wet AMD and DME, we may explore applications of sozinibercept in other retinal diseases in which a VEGF-C or VEGF-D inhibitor could have therapeutic potential, such as retinal vein occlusion, or RVO.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are a public company listed on the Australian Securities Exchange and Nasdaq. We have assembled a team of experts with deep scientific, clinical and business expertise in biotechnology and specifically in neovascular disease. In October 2023, Frederic Guerard, PharmD, and Peter Lang, joined as our Chief Executive Officer and Chief Financial Officer, respectively.</w:t>
      </w:r>
    </w:p>
    <w:p>
      <w:pPr>
        <w:spacing w:after="0" w:line="17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Dr. Guerard brings over 25 years of pharmaceutical leadership experience in strategic and commercial roles. Dr.Guerard served as the Chief Executive Officer of Graybug Vision, Inc., a clinical-stage pharmaceutical company developing potentially transformative therapies for ocular diseases. Prior to Graybug, Dr.Guerard acted as the Worldwide Business Franchise Head of Ophthalmology at Novartis. In this role, he successfully led the integration of Novartis retina and Alcon Pharmaceuticals and accelerated the rejuvenation of the product pipeline through strategic acquisitions and licensing transactions in dry eye, presbyopia, and inherited retinal diseases. Prior to this role, he served as Global Franchise Head of Pharmaceuticals at Alcon. He has also held multiple leadership positions at Novartis, including Head of United Kingdom and Ireland.</w:t>
      </w:r>
    </w:p>
    <w:p>
      <w:pPr>
        <w:spacing w:after="0" w:line="1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Mr. Lang has over 25 years of experience delivering strategic, operational, and financial solutions, with expertise in the healthcare and biopharmaceutical sectors. Prior to joining Opthea, Mr. Lang served as the Chief Financial Officer of Aerie Pharmaceuticals, Inc., a fully integrated pharmaceutical company focused on the discovery, development, and commercialization of first-in-class ophthalmic therapies for the treatment of patients with eye diseases. Before Aerie, Peter was Managing Director and Partner at Ridge Advisory, LLC, a boutique advisory and banking firm, and also served in various leadership roles in the healthcare investment banking divisions of well-respected firms, including HSBC, Bank of America Merrill Lynch, UBS Investment Bank, and Leerink Partners.</w:t>
      </w:r>
    </w:p>
    <w:p>
      <w:pPr>
        <w:spacing w:after="0" w:line="1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Megan Baldwin, Ph.D., our Founder, Chief Innovation Officer and Executive Board Director, has over 25 years of research and development and biopharmaceutical industry experience on neovascularization and therapeutic strategies in ophthalmic indications and cancer. Prior to her current role at Opthea, Dr. Baldwin was CEO of Opthea Limited for 10 years, having founded the ophthalmology and sozinibercept program at the company and progressing sozinibercept from preclinical studies through to Phase 3 pivotal trials. Prior to joining our company, she was a postdoctoral research fellow and an associate market planning manager at Genentech, where she conducted angiogenesis research before joining the anti-angiogenic therapy commercial group.</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Judith Robertson, our Chief Commercial Officer, was previously Chief Commercial Officer of Eleusis Ltd and Chief Commercial Officer of Aerie Pharmaceuticals. Prior to Aerie, Ms. Robertson was Vice President Immunology and Ophthalmology Global Commercial Strategy Leader at Johnson and Johnson, Janssen Pharmaceutical and Vice President, Ophthalmology Global Business Franchise Head at Novartis (formerly Alcon).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Our goal is to become a leader in developing and commercializing therapeutics for the treatment of retinal diseases. The key elements of our strategy are to:</w:t>
      </w:r>
    </w:p>
    <w:p>
      <w:pPr>
        <w:spacing w:after="0" w:line="158" w:lineRule="exact"/>
        <w:rPr>
          <w:sz w:val="20"/>
          <w:szCs w:val="20"/>
          <w:color w:val="auto"/>
        </w:rPr>
      </w:pPr>
    </w:p>
    <w:p>
      <w:pPr>
        <w:jc w:val="both"/>
        <w:ind w:left="760" w:hanging="378"/>
        <w:spacing w:after="0" w:line="259"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 sozinibercept through two concurrent Phase 3 trials for the treatment of wet AMD</w:t>
      </w:r>
      <w:r>
        <w:rPr>
          <w:rFonts w:ascii="Times New Roman" w:cs="Times New Roman" w:eastAsia="Times New Roman" w:hAnsi="Times New Roman"/>
          <w:sz w:val="18"/>
          <w:szCs w:val="18"/>
          <w:color w:val="auto"/>
        </w:rPr>
        <w:t>. Based on the statstically superior results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Phase 2b trial in wet AMD, we initiated two concurrent pivotal Phase 3 clinical trials in treatment-naive patients with wet AMD to evaluate the efficacy and safety of sozinibercept in combination with anti-VEGF-A therapy. Pending the results of the primary efficacy phase at week 52 of the Phase 3 clinical trials, we intend to file for marketing approval for sozinibercept for the treatment of wet AMD in the United States, the European Union and other territories.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90" w:lineRule="exact"/>
        <w:rPr>
          <w:sz w:val="20"/>
          <w:szCs w:val="20"/>
          <w:color w:val="auto"/>
        </w:rPr>
      </w:pPr>
    </w:p>
    <w:p>
      <w:pPr>
        <w:jc w:val="both"/>
        <w:ind w:left="760" w:hanging="378"/>
        <w:spacing w:after="0" w:line="256"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Optimize sozinibercept administration and develop a co-formulation to reduce injection burden for patients and provide treatment flexibility</w:t>
      </w:r>
      <w:r>
        <w:rPr>
          <w:rFonts w:ascii="Times New Roman" w:cs="Times New Roman" w:eastAsia="Times New Roman" w:hAnsi="Times New Roman"/>
          <w:sz w:val="18"/>
          <w:szCs w:val="18"/>
          <w:color w:val="auto"/>
        </w:rPr>
        <w:t>. Currently, sozinibercept is administered as an injection following intravitreal administration of a VEGF-A inhibitor. In our Phase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trials, we are investigating the efficacy and durability of sozinibercept administered every 4-weeks and administered less frequently on an every 8-week dosing schedule. Based on sozinibercept’s pharmacokinetic profile, structural similarity to aflibercept and potential for improved and prolonged clinical efficacy over time, additional studies to investigate extended dosing regimens and durability of clinical benefit beyond every 8-week dosing may be also conducted. In addition, we plan to develop a co-formulation of sozinibercept with an approved and/or biosimilar anti-VEGF-A therapy to provide a treatment option for physicians to reduce the frequency and number of injections for patients.</w:t>
      </w:r>
    </w:p>
    <w:p>
      <w:pPr>
        <w:spacing w:after="0" w:line="182" w:lineRule="exact"/>
        <w:rPr>
          <w:rFonts w:ascii="Times New Roman" w:cs="Times New Roman" w:eastAsia="Times New Roman" w:hAnsi="Times New Roman"/>
          <w:sz w:val="18"/>
          <w:szCs w:val="18"/>
          <w:color w:val="auto"/>
        </w:rPr>
      </w:pPr>
    </w:p>
    <w:p>
      <w:pPr>
        <w:jc w:val="both"/>
        <w:ind w:left="760" w:hanging="378"/>
        <w:spacing w:after="0" w:line="259"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 clinical development of sozinibercept in DME and other retinal diseases</w:t>
      </w:r>
      <w:r>
        <w:rPr>
          <w:rFonts w:ascii="Times New Roman" w:cs="Times New Roman" w:eastAsia="Times New Roman" w:hAnsi="Times New Roman"/>
          <w:sz w:val="18"/>
          <w:szCs w:val="18"/>
          <w:color w:val="auto"/>
        </w:rPr>
        <w:t>. Due to similarities in the underlying pathophysiology,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anticipate that sozinibercept in combination with VEGF-A inhibitors may provide therapeutic benefit to patients with other neovascular ophthalmic diseases, such as DME. We reported positive data from a Phase 1b/2a trial of sozinibercept in combination with aflibercept for the treatment of DME, and we plan to continue further development in this indication. We also continue to explore the potential benefit of sozinibercept in PCV and other ocular diseases, such as RVO and DR, in which there is a strong scientific and clinical rationale.</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6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Maximize the commercial potential of sozinibercept</w:t>
      </w:r>
      <w:r>
        <w:rPr>
          <w:rFonts w:ascii="Times New Roman" w:cs="Times New Roman" w:eastAsia="Times New Roman" w:hAnsi="Times New Roman"/>
          <w:sz w:val="18"/>
          <w:szCs w:val="18"/>
          <w:color w:val="auto"/>
        </w:rPr>
        <w:t>. We retain worldwide rights for the development and commercialization of sozinibercept.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sozinibercept receives marketing approval in the United States and the European Union for wet AMD or any other retinal indications we are pursuing, we intend to establish our own commercial organization in these key territories. We may also enter into collaborations where we believe there is an opportunity to accelerate the development and commercialization of sozinibercept in select territories.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stage of clinical development and status of our product candidate, sozinibercept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154305</wp:posOffset>
            </wp:positionV>
            <wp:extent cx="5151755" cy="2348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5175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VEGFs in Ocular Diseases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Multiple ophthalmic diseases and conditions, including wet AMD and DME, involve aberrant blood vessel formation and growth, as well as vascular permeability and resulting leakage that contributes to disease progression. In wet AMD, lesions consist of newly formed blood vessels that are typically fragile and leak, leading to the accumulation of fluid in the retinal tissue at the back of the eye. As shown in the figure below, if left untreated, this fluid can cause retinal swelling that disrupts the local architecture and function of sensory cells and neurons in the eye, resulting in vision loss. In patients with DME, high blood glucose levels drive physiological changes resulting in vascular permeability that also result in fluid accumulation, or edema, in the macula, the central region of the retina, and loss of visual acuity.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Neovascularization and Vascular Permeability are Key Hallmarks of a Number of Retinal Diseases, Leading to Lesion Formation, Edema and Distortion of the Retina Photoreceptor Layer Causing Loss of 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112395</wp:posOffset>
            </wp:positionV>
            <wp:extent cx="5109210" cy="3600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09210"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Neovascularization and vascular permeability associated with retinal disease progression are driven by a family of related growth factors known as VEGFs. Members of the VEGF family, including VEGF-A, VEGF-C and VEGF-D, exert their activity by binding and activating VEGF receptors referred to as VEGFR-1, VEGFR-2, and VEGFR-3. Receptor activation triggers signaling pathways that lead to the development of new blood vessels, a process known as angiogenesis, as well as vascular permeability.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Members of the VEGF Family of Growth Factors Have Overlapping but Distinct Specificities for VEGFRs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156845</wp:posOffset>
            </wp:positionV>
            <wp:extent cx="5151755" cy="31286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51755"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40" w:hanging="132"/>
        <w:spacing w:after="0"/>
        <w:tabs>
          <w:tab w:leader="none" w:pos="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Lymphangiogenesis refers to the proliferation of lymphatic vessels from pre-existing lymphatic vessels.</w:t>
      </w:r>
    </w:p>
    <w:p>
      <w:pPr>
        <w:spacing w:after="0" w:line="223"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VEGF-A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23742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0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VEGF-A is the most well-characterized member of the VEGF family of growth factors and was the first to be targeted for therapeutic intervention. VEGF-A is a potent growth factor and its relevance in ophthalmic neovascularization has been well-established. Overexpression of VEGF-A in animal models has shown VEGF-A to be a causal factor in the development of neovascularization and vascular permeability, which are key hallmarks in the progression of wet AMD. In wet AMD patients, VEGF-A levels are shown to be elevated in the aqueous humor fluid of the eye. VEGF-A binds to VEGFR-1, which acts to regulate VEGF-A activity, and VEGFR-2, which is a key driver of neovascularization and vascular permeability. Several inhibitors of VEGF-A have been approved to treat a number of neovascular ocular diseases. The leading ocular VEGF-A inhibitors by revenue, ranibizumab, aflibercept and faricimab, had combined annual worldwide sales in excess of US$14 billion in 2023.</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VEGF-C and VEGF-D</w:t>
      </w:r>
    </w:p>
    <w:p>
      <w:pPr>
        <w:spacing w:after="0" w:line="22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VEGF-C and VEGF-D contribute to the development and persistence of neovascular diseases, as evidenced by their elevated levels in multiple pathological conditions. Both VEGF-C and VEGF-D can stimulate neovascularization and VEGF-C can induce permeability by binding to VEGFR-2, independent of VEGF-A activity. Additionally, VEGF-C and VEGF-D bind to VEGFR-3, a receptor that is not activated by VEGF-A, which confers biological activities to both VEGF-C and VEGF-D that are distinct from those of VEGF-A. Activation of VEGFR-3 can stimulate vascular proliferation and modulate vascular permeability, vascular leakage and edema formation. The receptor binding profiles, and the distinct biological activities of VEGF-C and VEGF-D suggest that inhibiting VEGF-C and VEGF-D may have therapeutic potential in ocular diseases by acting independently of, and in tandem with, the activity of VEGF-A inhibitors.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Resistance to VEGF-A Therapies May be Driven by VEGF-C and VEGF-D</w:t>
      </w:r>
    </w:p>
    <w:p>
      <w:pPr>
        <w:spacing w:after="0" w:line="22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Standard of care treatments for wet AMD and DME inhibit VEGF-A activation of its receptors that are typically expressed on vascular endothelium. This can lead to inhibition of blood vessel growth and leakage which can stabilize disease and improve clinical outcomes, including visual acuity, in patients with retinal eye conditions. However, not all patients fully respond to VEGF-A inhibition. A substantial proportion of patients with wet AMD and DME have further opportunity for visual acuity gain and/or a need for resolution of persistent retinal fluid following anti-VEGF-A treatment. Furthermore, gains in visual acuity are often not sustained over the long term, even when anti-VEGF-A therapies are administered regularly. This resistance may occur as anti-VEGF-A monotherapies do not fully address the multifactorial pathogenesis of wet AMD and DME, including having no activity to block VEGF-C and VEGF-D.</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VEGF-C and VEGF-D are implicated in the development of resistance to clinical use of anti-VEGF-A therapies. Levels of VEGF-C and/or VEGF-D have been observed to be unregulated in response to anti-VEGF-A therapies, most notably in patients with wet AMD. In a study conducted by third-party researchers in wet AMD patients, a 66% increase in the level of VEGF-C in the aqueous humor fluid in eyes was observed following two monthly doses of the VEGF-A inhibitor, bevacizumab (Avastin). This is illustrated in the figure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VEGF-C Levels are Increased in Aqueous Fluid of the Eye in Wet AMD Patients Treated with Monthly Intravitreal Bevacizumab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156845</wp:posOffset>
            </wp:positionV>
            <wp:extent cx="1937385" cy="1911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3738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Study conducted by Cabral et al. (2018)</w:t>
      </w:r>
    </w:p>
    <w:p>
      <w:pPr>
        <w:spacing w:after="0" w:line="22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Upregulation of VEGF-C and VEGF-D can continue to drive signaling through VEGFR-2, even in the presence of a VEGF-A inhibitor, as well as signal through VEGFR-3, both of which may contribute to ongoing angiogenesis and vascular permeability associated with persistent wet AMD. VEGF-C and VEGF-D mediated activation of VEGFR-2 and VEGFR-3, as well as their compensatory elevation following VEGF-A inhibition, may contribute to sub-optimal clinical response to anti-VEGF-A monotherapy. We believe sozinibercept in combination with a VEGF-A inhibitor can address a key mechanism of clinical sub-responsiveness to standard of care treatments for serious retinal eye diseases by broad blockade of the VEGF family of growth factors which is not achieved by anti-VEGF-A monotherapies.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Sozinibercept</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are developing our Phase 3 product candidate, sozinibercept, a biologic designed to inhibit VEGF-C and VEGF-D, to complement existing VEGF-A inhibitors for the treatment of ophthalmic diseases, including wet AMD and DME. Anti-VEGF-A therapies represent the standard of care for wet AMD and other retinal diseases. However, there remains a significant unmet need as many patients have suboptimal vision outcomes with these treatments. As the only biologic inhibitor of VEGF-C and VEGF-D in clinical development for ophthalmology, sozinibercept differs from standard of care VEGF-A inhibitors, and in combination with a VEGF-A inhibitor, is designed to address patients’ suboptimal clinical responses to anti-VEGF-A monotherapies by achieving broader inhibition of the VEGF family to improve visual acuity over standard of care anti-VEGF-A monotherapies.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9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2019, we completed a 366-patient Phase 2b clinical trial of sozinibercept in combination with ranibizumab for the treatment of wet AMD, which met the primary endpoint of a statistically significant superior mean gain in visual acuity over ranibizumab monotherapy at week 24. We initiated two pivotal Phase 3 clinical trials, COAST and ShORe, in treatment-naive patients with wet AMD to evaluate the efficacy and safety of sozinibercept in combination with anti-VEGF-A therapy compared to a standard of care monotherapy. We initiated these two pivotal Phase 3 clinical trials in treatment-naive patients with wet AMD to evaluate the efficacy and safety of sozinibercept in combination with anti-VEGF-A therapy compared to anti-VEGF-A monotherapy. We completed patient recruitment in COAST in February 2024 and in ShORe in May 2024. The 52-week top-line data readout of COAST is anticipated early in the second calendar quarter of 2025, and the topline data readout for ShORe is anticipated in mid-calendar year 2025. In addition, in our Phase 1b/2a clinical trial of sozinibercept in combination with aflibercept for the treatment of persistent DME, we observed evidence of clinical activity and improvements in visual acuity outcomes compared to aflibercept monotherapy. sozinibercept was observed to be well tolerated across Phase 1 and Phase 2 clinical trials in two disease indications following intravitreal administration of over 1,800 doses of sozinibercept to 399 patients either as monotherapy or in combination with standard of care VEGF-A inhibitors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Sozinibercept Mechanism of Action</w:t>
      </w:r>
    </w:p>
    <w:p>
      <w:pPr>
        <w:spacing w:after="0" w:line="229"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18"/>
          <w:szCs w:val="18"/>
          <w:color w:val="auto"/>
        </w:rPr>
        <w:t>We have designed sozinibercept to function as a ligand trap, capable of binding and sequestering VEGF-C and VEGF-D, thereby preventing these growth factors from activating VEGFR-2 and VEGFR-3. sozinibercept is comprised of the first three extracellular domains of human VEGFR-3, fused to the Fc domain, or the constant fragment of human immunoglobulin G</w:t>
      </w:r>
      <w:r>
        <w:rPr>
          <w:rFonts w:ascii="Times New Roman" w:cs="Times New Roman" w:eastAsia="Times New Roman" w:hAnsi="Times New Roman"/>
          <w:sz w:val="24"/>
          <w:szCs w:val="24"/>
          <w:color w:val="auto"/>
          <w:vertAlign w:val="subscript"/>
        </w:rPr>
        <w:t>1</w:t>
      </w:r>
      <w:r>
        <w:rPr>
          <w:rFonts w:ascii="Times New Roman" w:cs="Times New Roman" w:eastAsia="Times New Roman" w:hAnsi="Times New Roman"/>
          <w:sz w:val="18"/>
          <w:szCs w:val="18"/>
          <w:color w:val="auto"/>
        </w:rPr>
        <w:t>, or IgG</w:t>
      </w:r>
      <w:r>
        <w:rPr>
          <w:rFonts w:ascii="Times New Roman" w:cs="Times New Roman" w:eastAsia="Times New Roman" w:hAnsi="Times New Roman"/>
          <w:sz w:val="24"/>
          <w:szCs w:val="24"/>
          <w:color w:val="auto"/>
          <w:vertAlign w:val="subscript"/>
        </w:rPr>
        <w:t>1</w:t>
      </w:r>
      <w:r>
        <w:rPr>
          <w:rFonts w:ascii="Times New Roman" w:cs="Times New Roman" w:eastAsia="Times New Roman" w:hAnsi="Times New Roman"/>
          <w:sz w:val="18"/>
          <w:szCs w:val="18"/>
          <w:color w:val="auto"/>
        </w:rPr>
        <w:t>, as illustrated in the figure below. VEGF-C and VEGF-D function independent of, but in parallel with, VEGF-A to drive neovascularization and vascular leakage, key hallmarks of both wet AMD and DME. In addition, treatment with VEGF-A inhibitors leads to upregulation of VEGF-C and VEGF-D to compensate for VEGF-A inhibition, which may represent an important mechanism of clinical resistance to VEGF-A monotherapy.</w:t>
      </w:r>
    </w:p>
    <w:p>
      <w:pPr>
        <w:spacing w:after="0" w:line="19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Structure of sozinibercept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156845</wp:posOffset>
            </wp:positionV>
            <wp:extent cx="3429000" cy="18599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0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Ligand trap therapeutics that include the receptor-binding domains for other ligands have been approved for a number of indications. One such agent is aflibercept, marketed as Eylea, a ligand trap consisting of extracellular domains of VEGFR-1 and VEGFR-2, which primarily mediates its activity by binding and inhibiting VEGF-A. Aflibercept has marketing approval for the treatment of wet AMD, DME, macular edema secondary to RVO and DR. In rabbits, sozinibercept has been shown to have a comparable ocular biodistribution and intravitreal pharmacokinetic profile as aflibercept, with low systemic exposure.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Wet AMD</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AMD is a chronic, progressive disease of the macula, a part of the retina containing the greatest concentration of light-sensing cells responsible for detailed, high visual acuity and central vision. The development of AMD is strongly associated with age, affecting up to 40% of individuals over the age of</w:t>
      </w:r>
    </w:p>
    <w:p>
      <w:pPr>
        <w:ind w:firstLine="8"/>
        <w:spacing w:after="0" w:line="260" w:lineRule="auto"/>
        <w:tabs>
          <w:tab w:leader="none" w:pos="28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two forms of AMD, dry AMD and wet AMD. Dry AMD is the most common form, representing approximately 85% to 90% of all AMD cases. However, dry AMD can develop into wet AMD, and wet AMD accounts for 90% of the severe vision loss associated with the disease.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9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Wet AMD is a rapidly progressing disease with loss of central vision developing over a period of weeks to months, and is the leading cause of vision loss for individuals over the age of 50. The most common symptoms of wet AMD are loss of central vision, distortion of objects or blurred vision. Peripheral vision usually remains intact. The disease typically affects patients initially in one eye, with a high likelihood of it occurring in the second eye over time. If left untreated, wet AMD can lead to rapid loss of visual acuity and blindness, adversely impacting the patient’s ability to conduct daily activities, such as driving and reading.</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Wet AMD occurs when new blood vessels in the choroid, or the vascular layer in the eye just under the retina, intrude into the retinal layers and leak fluid. The formation of these new blood vessels is referred to as CNV. These newly formed vessels are highly permeable, which can lead to fluid accumulation and adversely affect sensory cells in the retina.</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Wet AMD can be classified as occult or classic, based on the neovascular pattern within lesions. In occult lesions, all of the blood vessels are below the retinal pigment epithelium, or RPE, and the areas on angiograms have a stippled appearance. Classic lesions, by contrast, appear as well-demarcated areas on angiograms due to neovascular blood vessels being located above the RPE. Classic lesions are further subdivided into predominantly classic if 50% or more of the blood vessels are above the RPE, and minimally classic, if greater than 0% and less than 50% of the blood vessels are above the RPE. Classic-containing lesions tend to be the most responsive to anti-VEGF-A therapies.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Classifications of Wet AMD Based on Neovascular Lesion Pattern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156845</wp:posOffset>
            </wp:positionV>
            <wp:extent cx="4852035" cy="1543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85203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There is a further sub-type of wet AMD lesion referred to as retinal angiomatous proliferation, or RAP. RAP lesions are a type of CNV in which neovascularization in the retina protrudes into the sub-retinal space and connects to the choroidal circulation. Between 10% and 21% of wet AMD patients have RAP lesions. Although there are no therapies specifically approved to treat RAP lesions, patients are typically treated with VEGF-A inhibitors.</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PCV is a further sub-type of wet AMD. PCV is an abnormality of inner choroidal vessels that causes dilations in the blood vessels in the retina that resemble polyps, known as polypoidal protrusions. PCV typically does not respond well to VEGF-A inhibitor therapies and many patients are diagnosed with PCV only after they fail to respond to these therapies. There is a high prevalence of PCV in Asian countries, with between 23% and 54% of patients with presumed cases of wet AMD in Japan having PCV. Prevalence rates of between 4% and 10% have been reported in Caucasian patients with presumed cases of wet AMD.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Treatments for Wet AMD and Their Limitations</w:t>
      </w:r>
    </w:p>
    <w:p>
      <w:pPr>
        <w:spacing w:after="0" w:line="229" w:lineRule="exact"/>
        <w:rPr>
          <w:sz w:val="20"/>
          <w:szCs w:val="20"/>
          <w:color w:val="auto"/>
        </w:rPr>
      </w:pPr>
    </w:p>
    <w:p>
      <w:pPr>
        <w:jc w:val="both"/>
        <w:ind w:firstLine="374"/>
        <w:spacing w:after="0" w:line="224" w:lineRule="auto"/>
        <w:rPr>
          <w:sz w:val="20"/>
          <w:szCs w:val="20"/>
          <w:color w:val="auto"/>
        </w:rPr>
      </w:pPr>
      <w:r>
        <w:rPr>
          <w:rFonts w:ascii="Times New Roman" w:cs="Times New Roman" w:eastAsia="Times New Roman" w:hAnsi="Times New Roman"/>
          <w:sz w:val="18"/>
          <w:szCs w:val="18"/>
          <w:color w:val="auto"/>
        </w:rPr>
        <w:t>There are five VEGF-A inhibitors approved by the U.S. Food and Drug Administration, or FDA, for the treatment of wet AMD, all of which are administered by regular intravitreal injections as monotherapy. These VEGF-A inhibitors include: the VEGF-A specific antibody ranibizumab (Lucentis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antibody fragment brolucizumab (Beovu</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bispecific antibody faricimab (Vabysmo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the VEGFR-based ligand trap aflibercept (Eylea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VEGF-A antibody, bevacizumab (Avastin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 FDA approved therapy for colorectal and other cancers, is also used off-label by many physicians to treat wet AMD, comprising approximately 35% of anti-VEGF-A injections administered globally. Recent clinical development has focused on maintaining vision gains with a VEGF-A inhibitor whilst reducing the number of injections.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9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VEGF-A inhibitors stabilize loss vision in over 90% of wet AMD patients. However, the effectiveness of these therapies in many patients is limited. Improvements of ≥15 letters of visual acuity typically occur in less than 40% of treated patients. In addition, despite regular treatment with a VEGF-A inhibitor, many patients have insufficient gains in visual acuity to resume routine daily activities such as driving and reading. Chronic vision loss can also occur despite ongoing treatment with an anti-VEGF-A inhibitor. Retrospective and prospective analyses of patients treated with VEGF-A inhibitor therapies for five years have found that, after initial gains in visual function following one year of treatment, many patients then had a gradual decline in visual acuity in subsequent years, resulting in the eventual reversal of the majority of gains. In addition, in clinical settings, up to two-thirds of patients treated with VEGF-A inhibitor therapies continue to have retinal fluid following treatment and approximately 25% experience further vision loss 12 months following treatment. Treatment options are limited for patients who do not respond adequately or experience visual decline despite ongoing therapy with standard of care VEGF-A inhibitors, and typically involve switching treatment from one anti-VEGF-A monotherapy to another with minimal additional visual benefit achieved.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the Treatment of Wet AMD</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Wet AMD affects approximately one million people in the United States and 2.5 million in Europe. As the risk of developing wet AMD increases with age, it is predicted that the overall aging of the population will result in a significant increase in the number of wet AMD cases, both in the United States and worldwide. Branded anti-VEGF-A monotherapies had combined annual worldwide sales in excess of US$14 billion in 2023. In addition, it is estimated that ~35% of wet AMD patients are treated with off-label bevacizumab as a lower cost alternative anti-VEGF-A therapy. Despite receiving anti-VEGF-A monotherapy, many wet AMD patients experience suboptimal vision outcomes and as a result, we believe there is a significant and expanding market opportunity for novel therapies that can improve vision in patients with wet AMD, which has the potential to lead to sales greater than the combined annual sales of ranibizumab and aflibercept.</w:t>
      </w:r>
    </w:p>
    <w:p>
      <w:pPr>
        <w:spacing w:after="0" w:line="18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We believe that sozinibercept, used in combination with standard of care VEGF-A inhibitors, can address the significant unmet need for wet AMD patients by providing improved vision outcomes over that which can be achieved by inhibiting VEGF-A alone.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1/2a Clinical Trial Results in Wet AMD</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2017, we completed a Phase 1/2a clinical trial of sozinibercept for the treatment of wet AMD patients under an investigational new drug, or IND, application accepted by the FDA in 2015. The trial was divided into two parts. Part 1 was a Phase 1 first-in-human 20-patient dose-escalation study in which sozinibercept was administered at three escalating doses (0.3 mg, 1.0 mg or 2.0 mg), either in combination with 0.5 mg ranibizumab or alone as a 2.0 mg monotherapy, once every four weeks for a total of three doses, with a follow-up visit at week 12. Part 2 was a Phase 2a 31-patient dose-expansion trial in which 2.0 mg sozinibercept was administered in combination with ranibizumab or as a monotherapy once every four weeks for a total of three doses, with a follow-up visit at week 12. Of the 51 patients dosed, 49% were treatment naive and 51% were previously treated with anti-VEGF-A therapy. The previously-treated patients received an average of 17 prior treatments, equating to prior treatment over an average of 1.3 years, of an intravitreal VEGF-A inhibitor prior to enrolling in the trial. The Phase 1/2a trial was conducted at 14 trial sites in the United States.</w:t>
      </w:r>
    </w:p>
    <w:p>
      <w:pPr>
        <w:spacing w:after="0" w:line="19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Sozinibercept was well tolerated up to the highest dose tested both in combination with ranibizumab and as a monotherapy. No dose-limiting toxicities, or DLTs, were observed and the maximum tolerated dose, or MTD, was not reached. There were no treatment-related serious adverse events, or SAEs. The most common TEAEs were conjunctival hemorrhage, eye pain and corneal inflammation mainly related to the intravitreal injection procedure. TEAEs did not lead to permanent discontinuation of the study for any patient. The pharmacokinetic profile of sozinibercept was similar in the absence or presence of ranibizumab, and there was no evidence of sozinibercept immunogenicity in this clinical trial.</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Although the focus of this trial was safety, we also observed preliminary signals of clinical benefit. Improvements in visual acuity were observed in treatment-naive patients as well as patients previously treated with anti-VEGF-A therapy, as measured by the number of letters that could be read on a standard eye chart following sozinibercept monotherapy and sozinibercept combination therapy. As illustrated in the figure below, after 12 weeks, in patients across all dose groups, the mean change in visual acuity from baseline increased by +10.8 letters in treatment-naive patients and +4.9 letters in previously treated patients who received sozinibercept combination therapy.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Mean Change in Visual Acuity from Baseline to Week 12 in Treatment-Naive and Previously-Treated Wet AMD Patients Administered sozinibercept in Combination with Ranibizumab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112395</wp:posOffset>
            </wp:positionV>
            <wp:extent cx="2931795" cy="2177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93179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addition, improvements in visual acuity following treatment with sozinibercept combination therapy were consistent with anatomical outcomes, such as reductions in intraretinal and subretinal fluid. Retinal thickness, which is assessed by spectral domain optical coherence tomography, or SD-OCT, using a standard criterion called central subfield thickness, or CST, was also reduced following sozinibercept combination therapy.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2b Clinical Trial Results in Wet AMD</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Based on the positive results of the Phase 1/2a trial, we completed an international, multi-center, double-masked Phase 2b clinical trial of sozinibercept in combination with ranibizumab in a total of 366 treatment-naive patients in 2019. As illustrated in the figure below, patients were randomized into three groups to receive either 0.5 mg or 2.0 mg sozinibercept with 0.5 mg ranibizumab or ranibizumab monotherapy, which included a sham injection. A sham intravitreal injection involves pressing a syringe hub against the surface of the eye to mimic an intravitreal injection so that the patient remains masked to the treatment group to which they have been randomized. Administration was by intravitreal injection once every four weeks for 20 weeks (six treatments in total). The primary endpoint of the clinical trial was the mean change in BCVA from baseline on the ETDRS standardized eye chart at week 24. Secondary outcome measures included the proportion of patients gaining ≥15 letters in BCVA, changes in retinal thickness, change in intraretinal and subretinal fluid and proportion of patients losing ≥15 letters in BCVA.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of the Phase 2b Clinical Trial of sozinibercept  with Ranibizumab in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156845</wp:posOffset>
            </wp:positionV>
            <wp:extent cx="4800600" cy="13887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80060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illustrated in the figure below, 366 treatment-naive patients were randomized 1:1:1 to each of the three treatment groups. We used data from the 362 patients who had a baseline assessment of their visual acuity and completed at least one post-dose visit as the modified intent to treat population, or mITT, in all analyses. Key inclusion criteria for patients in the trial included CNV classified as either occult, minimally classic or predominantly classic, and BCVA on the ETDRS standardized eye chart of ≥25 and ≥60 letters. The Phase 2b trial was conducted at 109 trial sites in the United States, Europe, Israel and the United Kingdom.</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Patient Distribution in the Phase 2b Clinical Trial in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156845</wp:posOffset>
            </wp:positionV>
            <wp:extent cx="5151755" cy="30175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5175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Q4W refers to administration every four weeks. IVT refers to administration by intravitreal injection.</w:t>
      </w:r>
    </w:p>
    <w:p>
      <w:pPr>
        <w:spacing w:after="0" w:line="22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presentations of statistical results in this annual report, a p-value is a measure of statistical significance of the observed results, or the probability that the observed results were achieved purely by chance. By convention, a p-value of 0.05 or lower is commonly considered statistically significant. The FDA and comparable non-U.S. regulatory authorities utilize the reported statistical measures when evaluating the results of a clinical trial, including statistical significance as measured by p-value, to evaluate the reported evidence of a drug product’s safety and efficacy.</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Improvements in Visual Acuity</w:t>
      </w:r>
    </w:p>
    <w:p>
      <w:pPr>
        <w:spacing w:after="0" w:line="22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Phase 2b clinical trial met the primary endpoint, demonstrating a statistically significant superior mean gain in visual acuity at week 24 compared to baseline in the 2.0 mg sozinibercept combination therapy group compared to the ranibizumab monotherapy group. The figure below illustrates patients in the 2.0 mg sozinibercept combination therapy group had a mean visual acuity improvement of +14.2 letters relative to baseline, compared to +10.8 letters for those treated with ranibizumab monotherapy at week 24 (p=0.0107). This represents a statistically significant benefit of +3.4 letters and a greater than 30% relative improvement in vision outcomes in the sozinibercept combination group compared to ranibizumab monotherapy. Evidence of improved visual acuity was observed beginning as early as week 8 and continued throughout the course of the trial to week 24. Mean visual acuity in the lower dose 0.5 mg sozinibercept combination therapy group was not significantly different from the ranibizumab monotherapy group. However, evidence of a dose response was observed between the 2.0 mg and 0.5 mg sozinibercept combination therapy groups on several anatomical outcomes, such as retinal thickness and the proportion of patients with intraretinal and subretinal fluid at week 24.</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Mean Change in Visual Acuity from Baseline to Week 24 in Treatment-Naive Wet AMD Patients Administered Ranibizumab Monotherapy or Sozinibercept Combination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112395</wp:posOffset>
            </wp:positionV>
            <wp:extent cx="5151755" cy="254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5175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Error bars shown in all figures represent the SEM, or the standard error of the mean.</w:t>
      </w:r>
    </w:p>
    <w:p>
      <w:pPr>
        <w:spacing w:after="0" w:line="22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Secondary outcome measurements from the trial were also supportive of the primary endpoint. As illustrated in the figure below, we observed a greater proportion of patients gaining  15,  10 and  5 letters in the 2.0 mg sozinibercept combination therapy group compared to the ranibizumab monotherapy group. In addition, the proportion of patients losing  15,  10 and  5 letters was lower in the 2.0 mg sozinibercept combination therapy group compared to the ranibizumab monotherapy group. The Phase 2b trial was not designed for statistical significance on secondary and exploratory endpoints and was not powered to detect statistically significant differences in secondary outcome measurements.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Greater Proportion of Patients Gaining, and Fewer Patients Losing,  15,  10 and  5 Letters with Sozinibercept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129540</wp:posOffset>
            </wp:positionV>
            <wp:extent cx="4063365" cy="3471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063365"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Reductions in Retinal Thickness and Fluid</w:t>
      </w:r>
    </w:p>
    <w:p>
      <w:pPr>
        <w:spacing w:after="0" w:line="22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to the statistically significant improvement in visual acuity, treatment with sozinibercept combination therapy led to greater reductions in retinal thickness. The reductions in retinal thickness in patients is consistent with less fluid accumulation in the retina and reduced disease severity as increased fluid accumulation in the retina is associated with the loss of visual acuity in wet AMD patients. The figure below depicts the greater mean reduction in retinal thickness in the sozinibercept combination therapy group compared to the ranibizumab monotherapy group at week 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Greater Reduction in Retinal Thickness from Baseline to Week 24 following Sozinibercept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112395</wp:posOffset>
            </wp:positionV>
            <wp:extent cx="2905760" cy="2443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05760"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Fewer patients in the sozinibercept combination therapy group had subretinal fluid and intraretinal fluid present compared to the ranibizumab monotherapy group. The presence of subretinal fluid is a hallmark of wet AMD and its resolution is referred to as “drying” of the retina while intraretinal fluid is a prognostic biomarker for poor visual acuity and sub-optimal response to anti-VEGF-A therapies. As illustrated in the figure below, there were approximately 10% fewer patients with subretinal fluid and 5% fewer patients with intraretinal fluid following administration of sozinibercept combination therapy compared to ranibizumab monotherapy.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Fewer Patients with Subretinal and Intraretinal Fluid Present at Week 24 Following Sozinibercept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112395</wp:posOffset>
            </wp:positionV>
            <wp:extent cx="3505835" cy="26060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50583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Greater improvements in anatomical indicators of disease severity, including on exploratory endpoints of mean reduction in total lesion area and CNV area, were observed in the sozinibercept combination therapy group compared to ranibizumab monotherapy. As illustrated in the figure below, the patients treated with sozinibercept combination therapy had an approximately 39% further reduction in both total lesion area and CNV area compared to ranibizumab monotherapy.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Greater Reduction in Total Lesion Area and CNV Area from Baseline to Week 24 following Sozinibercept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112395</wp:posOffset>
            </wp:positionV>
            <wp:extent cx="3840480" cy="25203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4048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Improved Therapeutic Outcomes in Wet AMD Lesion Subtypes</w:t>
      </w:r>
    </w:p>
    <w:p>
      <w:pPr>
        <w:spacing w:after="0" w:line="22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 number of pre-specified subgroup and exploratory analyses were incorporated into the Phase 2b trial design in order to identify those wet AMD patients who may respond best to sozinibercept. The Phase 2b trial randomized patients with a broad range of lesion morphologies including occult, minimally classic and predominantly classic lesions. In addition, the Phase 2b trial investigated efficacy in post-hoc analyses in other wet AMD subtypes, including PCV and RAP. This trial was not designed for statistical significance on these subgroup and exploratory analyses and was not powered to detect statistically significant differences in related measurements.</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Patients enrolled in our Phase 2b trial consisted of 44% occult, 43% minimally classic and 13% predominantly classic lesion types, which is similar to the distribution reported in treatment-naive wet AMD patients. Predominantly classic patients typically respond well to VEGF-A inhibitor therapy and an additive benefit of sozinibercept combination therapy could not be discerned in this small patient group of only 15 patients per treatment arm. The majority of patients randomized in the Phase 2b trial had occult or minimally classic lesions. These patients did not respond as well to ranibizumab monotherapy as those with predominantly classic lesions. Patients with occult and minimally classic lesions treated with sozinibercept combination therapy experienced improvement in visual acuity beginning at week 8 and persisting through week 24 compared to ranibizumab monotherapy. The figure below illustrates the mean change in visual acuity over 24 weeks in each of the lesion classifications treated with sozinibercept combination therapy compared to ranibizumab monotherapy.</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RAP and PCV Lesion Subtypes</w:t>
      </w:r>
    </w:p>
    <w:p>
      <w:pPr>
        <w:spacing w:after="0" w:line="22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our Phase 2b clinical trial, over 85% of patients enrolled did not have RAP lesions detected at randomization and these patients responded better to sozinibercept than patients with RAP lesions. In patients without RAP lesions, the mean visual acuity gain from baseline to week 24 was +15.0 letters (n=103) with sozinibercept combination therapy, compared to +10.6 letters for those treated with ranibizumab monotherapy (n=102), a benefit of +4.4 letters.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Mean Change in Visual Acuity from Baseline to Week 24 in Patients Without RAP Lesions Following Sozinibercept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112395</wp:posOffset>
            </wp:positionV>
            <wp:extent cx="2983230" cy="2434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98323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patients without RAP lesions who had occult or minimally classic lesions, representing the majority of wet AMD patients, the mean visual acuity gain from baseline to week 24 was +16.1 letters with sozinibercept combination therapy (n=88) compared to +10.3 letters for those treated with ranibizumab monotherapy (n=87), a benefit of +5.7 letters (p=0.0002). This represents the patient population for which the primary analysis of the primary endpoint of the Phase 3 trials of sozinibercept combination therapy for the treatment of wet AMD will be first conducted, followed by analysis of the total patient population and the every eight week dosing groups.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Mean Change in Visual Acuity from Baseline to Week 24 in the combined group of RAP Absent Occult and Minimally Classic Lesions Following sozinibercept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112395</wp:posOffset>
            </wp:positionV>
            <wp:extent cx="5151755" cy="27260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51755"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Patients with RAP absent occult lesions demonstrated a mean visual acuity gain at week 24 of +16.8 letters with sozinibercept combination therapy (n=49) compared to +10.2 letters for those treated with ranibizumab monotherapy (n=47), a gain of +6.5 letters. Patients with RAP absent minimally classic lesions demonstrated a mean visual acuity gain at week 24 of +14.9 letters with sozinibercept combination therapy (n=39) compared to +10.0 letters for those treated with ranibizumab monotherapy (n=40), a gain of +4.7 letters.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Mean Change in Visual Acuity from Baseline to Week 24 in RAP Absent Occult and Minimally Classic Lesions Following Sozinibercept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112395</wp:posOffset>
            </wp:positionV>
            <wp:extent cx="5151755" cy="2322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5175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Improved Therapeutic Outcomes of Sozinibercept in PCV Lesions</w:t>
      </w:r>
    </w:p>
    <w:p>
      <w:pPr>
        <w:spacing w:after="0" w:line="22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patients with PCV lesions, the mean visual acuity gain from baseline to week 24 in the sozinibercept combination therapy group was +13.5 letters (n=22), compared to +6.9 letters in the ranibizumab monotherapy group (n=20). This equates to a benefit of +6.7 letters and is almost a two-fold improvement in visual acuity gain observed from baseline following sozinibercept combination therapy. Ranibizumab monotherapy was not observed to be as effective in patients with PCV compared to other wet AMD subtypes.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Safety and Tolerability</w:t>
      </w:r>
    </w:p>
    <w:p>
      <w:pPr>
        <w:spacing w:after="0" w:line="22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Sozinibercept was well tolerated in this Phase 2b trial with a very low incidence of ocular inflammation and no safety issues identified with the addition of sozinibercept to ranibizumab intravitreal therapy. The incidence of ocular TEAEs was similar in sozinibercept combination groups compared to the ranibizumab monotherapy group. TEAEs were considered potentially treatment related in approximately 15% of patients. The most common treatment-related TEAEs were eye pain, vitreous floaters, eye irritation and raised intraocular pressure. One patient discontinued from the trial due to a TEAE, which was not considered treatment related. Three patients treated with sozinibercept combination therapy had potentially treatment-related SAEs: one case each of vitritis, endophthalmitis and myocardial infarction.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Pivotal Phase 3 Clinical Trials in Wet AMD</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initiated two concurrent pivotal Phase 3 clinical trials for the treatment of wet AMD. These double-masked, sham-controlled Phase 3 clinical trials enroll treatment-naive patients to assess the efficacy and safety of 2.0 mg sozinibercept in combination with anti-VEGF-A therapy for treatment-naive patients with wet AMD compared to a standard of care anti-VEGF-A monotherapy. In addition, each trial is comparing the clinical efficacy of sozinibercept, administered in combination with the applicable VEGF-A inhibitor on an every 4-week and every 8-week dosing regimen to understand the durability of sozinibercept treatment effect with less frequent dosing. The primary endpoint of both trials will be the mean change in visual acuity from baseline to week 52. Patients will continue to be dosed until week 96 to further assess long-term safety at week 100. Based on the completion of enrollment in COAST in February 2024 and ShORe in May 2024, the 52-week top-line data readout of COAST is anticipated early in the second calendar quarter of 2025, and the topline data readout for ShORe is anticipated in mid-calendar year 2025. Pending the results of the primary efficacy phase at week 52 of the Phase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9" w:name="page90"/>
    <w:bookmarkEnd w:id="89"/>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clinical trials, we intend to submit Biologics License and Marketing Authorization Applications with the FDA and EMA respectively.</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Study of Sozinibercept  in Combination with Ranibizumab (ShORe) Phase 3 Trial</w:t>
      </w:r>
    </w:p>
    <w:p>
      <w:pPr>
        <w:spacing w:after="0" w:line="22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the Study of sozinibercept in combination with Ranibizumab, or ShORe, Phase 3 trial, 986 treatment-naive patients with wet AMD were randomized to one of three treatment groups. Patients randomized to the standard dosing arm will receive standard of care 0.5 mg ranibizumab every four weeks in combination with 2.0 mg sozinibercept on a standard every four weeks dosing regimen. In the extended dosing arm, 0.5 mg ranibizumab is administered every four weeks to week 52, in combination with 2.0 mg sozinibercept administered every four weeks for three total doses over 12 weeks, followed by sozinibercept dosing every eight weeks to week 52, with a sham injection administered at visits where sozinibercept is not administered. Patients randomized to the control arm receive 0.5 mg ranibizumab administered in combination with sham intravitreal injections administered every four weeks to week 52. The primary and secondary efficacy outcomes are determined at the end of the efficacy phase at week 52. Each patient continues to be treated for an additional year in the safety phase to reach week 100 to evaluate safety and tolerability over a total two-year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133350</wp:posOffset>
            </wp:positionV>
            <wp:extent cx="5151755" cy="10204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51755"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Combination of Sozinibercept with Aflibercept STudy (COAST) Phase 3 Trial</w:t>
      </w:r>
    </w:p>
    <w:p>
      <w:pPr>
        <w:spacing w:after="0" w:line="22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the Combination Sozinibercept with Aflibercept STudy, or COAST, Phase 3 trial, 998 treatment-naive wet AMD patients were randomized to one of three treatment groups. Patients randomized to the standard dosing arm receive 2.0 mg aflibercept administered every four weeks for three total doses over 12 weeks, followed by aflibercept dosing every eight weeks to week 52, in combination with 2.0 mg sozinibercept administered every four weeks to week 52. In the extended dosing arm, 2.0 mg aflibercept in combination with 2.0 mg sozinibercept is administered every four weeks for three total doses over 12 weeks, followed by dosing every eight weeks to week 52, with a sham injection administered at visits where sozinibercept and aflibercept are not administered. Patients randomized to the control arm, will receive 2.0 mg aflibercept administered every four weeks for three total doses over 12 weeks, followed by dosing every eight weeks to week 52, in combination with sham intravitreal injections administered every four weeks to week 52. Similar to ShORe, the primary and secondary efficacy outcomes of COAST are assessed at the end of the efficacy phase at week 52. Each patient continues to be treated for an additional year in the safety phase to reach week 100 to evaluate the safety and tolerability over a total two-year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51755" cy="9429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5175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For consistency, the ShORe and COAST Phase 3 trials build upon and maintain key features of our Phase 2b clinical trial of sozinibercept combination therapy for the treatment of wet AMD, while evaluating the administration of sozinibercept combination therapy over a longer treatment period and in a greater number of patients. In addition, the results of our Phase 2b clinical trial has informed the design of the Phase 3 trials. Analysis of the Phase 2b trial demonstrated that sozinibercept combination therapy increased visual acuity by a further +5.7 letters over ranibizumab monotherapy in wet AMD patients with RAP absent minimally classic and occult lesions, representing the majority of wet AMD patients. Based on these positive data, patients with RAP lesions are not eligible for randomization into COAST and ShORe and primary analysis of the primary endpoint of the Phase 3 trials will be first conducted in patients with minimally classic and occult lesions administered sozinibercept every four weeks and every eight weeks, followed by analysis on the total patient population.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Co-Formulation</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Sozinibercept is currently administered as a combination therapy consisting of a sequential injection of sozinibercept following intravitreal administration of a VEGF-A inhibitor. We plan to develop a co-formulation of sozinibercept with an approved and/or biosimilar anti-VEGF-A therapy to achieve VEGF-A, VEGF-C and VEGF-D inhibition following the administration of a single intravitreal injection of the co-formulated product. We believe that a co-formulated sozinibercept and VEGF-A inhibitor product could provide a treatment option for physicians to reduce the frequency and number of injections for patients.</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are currently assessing the feasibility of co-formulating sozinibercept with anti-VEGF-A therapy and intend to advance a co-formulated product through non-clinical studies, including IND-enabling safety and tolerability studies. We intend to file an IND for the co-formulated product prior to the initiation of clinical trials.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Diabetic Macular Edema</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Diabetic macular edema is a complication of DR, a disease affecting the blood vessels of the retina in diabetics. Chronically elevated blood glucose levels, or hyperglycemia, causes damage to the small blood vessels or capillaries in the retina in patients with diabetes. The consequent chronic decrease in oxygen supply to retinal cells results in tissue damage that is referred to as DR. Approximately one-third of patients with DR or up to 10% of diabetics develop DME, which is characterized by accumulation of fluid and retinal thickening within the macula and is responsible for most of the central visual loss experienced in the diabetic population. Central-involved DME is diagnosed when swelling or edema occurs from fluid leaking into the central fovea region of the macula.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Treatments for DME and Their Limitations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VEGF-A inhibitor therapy is the first-line standard of care therapy for DME. Ranibizumab, aflibercept and faricimab are approved for the treatment of DME, and similarly to wet AMD, many patients receive bevacizumab as an off-label, lower cost alternative VEGF-A inhibitor therapy. Many patients with central-involved DME require near-monthly administration of intravitreal VEGF-A inhibitors during the first 12 months of treatment, with fewer injections needed in subsequent years to maintain clinical benefit. VEGF-A inhibitors have largely replaced the use of laser photocoagulation as a treatment for DME.</w:t>
      </w:r>
    </w:p>
    <w:p>
      <w:pPr>
        <w:spacing w:after="0" w:line="187" w:lineRule="exact"/>
        <w:rPr>
          <w:sz w:val="20"/>
          <w:szCs w:val="20"/>
          <w:color w:val="auto"/>
        </w:rPr>
      </w:pPr>
    </w:p>
    <w:p>
      <w:pPr>
        <w:jc w:val="both"/>
        <w:ind w:firstLine="374"/>
        <w:spacing w:after="0"/>
        <w:rPr>
          <w:sz w:val="20"/>
          <w:szCs w:val="20"/>
          <w:color w:val="auto"/>
        </w:rPr>
      </w:pPr>
      <w:r>
        <w:rPr>
          <w:rFonts w:ascii="Times New Roman" w:cs="Times New Roman" w:eastAsia="Times New Roman" w:hAnsi="Times New Roman"/>
          <w:sz w:val="18"/>
          <w:szCs w:val="18"/>
          <w:color w:val="auto"/>
        </w:rPr>
        <w:t>The anti-inflammatory corticosteroid implant therapies dexamethasone (Ozurdex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fluocinolone acetonide (Illuvien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are also approved for use in central-involved DME. These agents, however, are rarely used as first-line therapy due to inferior visual acuity outcomes compared to anti-VEGF-A therapy. Patients with persistent DME and who are insufficiently responsive to anti-VEGF-A therapy have shown some treatment benefit with intravitreal corticosteroids. However, as intravitreal corticosteroids are associated with high rates of ocular adverse events including cataract progression and intraocular pressure elevation, switching to corticosteroids from an anti-VEGF-A therapy with a sub-optimal response needs to be carefully considered.</w:t>
      </w:r>
    </w:p>
    <w:p>
      <w:pPr>
        <w:spacing w:after="0" w:line="19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Despite the widespread use of treatments targeting VEGF-A in the management of DME, there is still a significant unmet need as many patients demonstrate a sub-optimal response, remain treatment refractory or require frequent injections for persistent leakage in the macula. Up to two-thirds of patients with central-involved DME treated with VEGF-A inhibitors do not show reductions in the fluid or clinically meaningful improvement in visual acuity. In addition, approximately 25% of DME patients treated with VEGF-A inhibitors continue to have macula thickening and swelling following treatment. This resistance may occur as treatment selective anti-VEGF-A monotherapies do not fully address all of the factors involved in the pathogenesis of DME. As such, combination therapies targeting alternative factors and pathways have the potential for improved clinical outcomes in DME patients.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the Treatment of DME</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It is estimated that between 1.3 million and 2.0 million people worldwide, including 14% of Type 1 diabetics and 6% of Type 2 diabetics, have DME. The risk of developing DME increases with time. According to the Wisconsin Epidemiologic Study of Diabetic Retinopathy, after 10 years of follow-up, 20% of patients with Type 1 diabetes and 25% of those with Type 2 diabetes will have developed DME. Ranibizumab and aflibercept, two VEGF-A inhibitors approved for the treatment of DME, generated combined annual worldwide sales approaching US$13 billion in 2022. Historically, approximately 20% of these sales are attributable to the treatment of DME.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for sozinibercept in DME</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believe that as a potent inhibitor of VEGF-C and VEGF-D, sozinibercept has the potential to provide significant therapeutic benefit to patients affected by DME. Although the underlying causes of wet AMD and DME differ, members of the VEGF family play a role in the progression of both diseases. VEGF-C and VEGF-D and their receptors are specifically implicated in the progression of diabetes. For example, patients with diabetes have higher levels of VEGF-C and VEGF-A and increased expression of both VEGFR-2 and VEGFR-3 in the retina compared to non-diabetics. The VEGF-A inhibitors ranibizumab and aflibercept, originally approved for treatment of wet AMD patients, have also been approved for treatment of DME patients. Similar to wet AMD, bevacizumab is also frequently used off-label as a treatment for DME. Faricimab was approved in 2022 for wet AMD and DME.</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our completed Phase 1b dose escalation clinical trial in patients with persistent DME, we observed what we believe to be promising evidence of a dose response of sozinibercept in combination with aflibercept, including further improvements in visual acuity despite patients’ having been previously treated with anti-VEGF-A therapy. In our completed Phase 2a clinical trial, we observed improved visual acuity outcomes and evidence of a reduction in retinal thickness in treatment-refractory DME patients following sozinibercept combination therapy.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1b Clinical Trial of sozinibercept in DME</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2018, we completed a Phase 1b dose-escalation clinical trial of sozinibercept in combination with aflibercept in nine patients with persistent DME that were previously treated with anti-VEGF-A therapies. Patients were administered three escalating doses (0.3 mg, 1.0 mg or 2.0 mg) of sozinibercept in combination with 2.0 mg aflibercept by intravitreal injections once every four weeks for a total of three doses. The primary analysis was conducted at week 12, four weeks after the final dose.</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Across all nine patients in the Phase 1b trial, a mean gain in visual acuity of +7.7 letters from baseline to week 12 was observed across all dose groups, with a clear dose response of improved visual acuity with increasing doses of sozinibercept. There was a corresponding mean decrease in retinal thickness at week 12 of -71 µm from baseline and six of nine (67%) patients had a  50% reduction in excess foveal thickness.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Dose-dependent Increases in Visual Acuity and Reduction in Retinal Thickness at Week 12 Following Treatment with Sozinibercept in Combination with Aflibercept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112395</wp:posOffset>
            </wp:positionV>
            <wp:extent cx="4166235" cy="24942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166235"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Five of the nine patients in the Phase 1b trial had bilateral, persistent treatment-refractory DME. In these patients, study eyes received sozinibercept in combination with aflibercept, and fellow eyes received standard of care anti-VEGF-A monotherapy. In these bilateral disease patients, the mean change in visual acuity from baseline to week 12 was +10.0 letters in the study eye and +2.6 letters in the fellow eye. The corresponding reduction in retinal thickness from baseline to week 12 was -80 µm for sozinibercept combination treated study eyes, compared to -6 µm in fellow eyes that received anti-VEGF-A monotherapy.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In Patients with Bilateral DME, Sozinibercept Combination Therapy Improved Visual Acuity and Reduced Retinal Thickness Compared to Fellow Eyes Treated with Anti-VEGF-A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112395</wp:posOffset>
            </wp:positionV>
            <wp:extent cx="3754755" cy="27774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754755"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0" w:hanging="372"/>
        <w:spacing w:after="0" w:line="282" w:lineRule="auto"/>
        <w:tabs>
          <w:tab w:leader="none" w:pos="1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bilateral disease and persistent DME in the fellow eye receiving anti-VEGF-A (ranibizumab or aflibercept) monotherapy. Prior anti-VEGF-A therapy in Fellow Eyes BL to Week 12 (5 patients): 3x Aflibercept, 3x Ranibizumab, 1x Ranibizumab, 4x Ranibizumab, 3x Aflibercept.</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Sozinibercept in combination with aflibercept was well tolerated at all dose levels, with no DLTs and the MTD was not reached. There were no treatment-related clinically significant changes in intraocular pressure, electrocardiograms or vital signs. The most common AEs were related to the intravitreal injection procedure.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2a Clinical Trial of Sozinibercept in DME</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Based on the positive results of our Phase 1b trial, we reported outcomes from a Phase 2a trial in persistent DME patients refractory to anti-VEGF-A therapy in June 2020. Similar to the Phase 1b trial, this proof-of-concept trial was designed to investigate the ability of sozinibercept to improve outcomes in persistent DME patients. The primary endpoints were clinical response rate in visual acuity as well as safety and tolerability.</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Clinical Trial Design</w:t>
      </w:r>
    </w:p>
    <w:p>
      <w:pPr>
        <w:spacing w:after="0" w:line="22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This Phase 2a trial was a randomized, double-masked, dose expansion trial that enrolled patients diagnosed with persistent center-involved DME despite regular administration of prior anti-VEGF-A monotherapy. These patients are considered to be a difficult-to-treat patient population since they have received prior anti-VEGF-A therapy and experienced a suboptimal clinical response. In our trial, these patients were defined as having visual acuity between 20/40 and 20/320 Snellen equivalent, or  73 and  24 BCVA letters on the ETDRS standardized eye chart, and retinal thickness of  320 µm on SD-OCT. In this Phase 2a trial, the mean number of prior intravitreal anti-VEGF-A injections was eight in each of the treatment groups, reflecting that the patients recruited into this trial were heavily pre-treated, with a mean of 39 days since the immediate prior injection to the start of the trial.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Phase 2a trial was conducted at 53 trial sites in the United States, Israel, Australia and Latvia. Of the 144 patients randomized in the trial, 115 patients conformed sufficiently with the trial protocol and were included in our analyses of clinical efficacy. Patients were randomized 2:1 to receive either 2.0 mg sozinibercept in combination with 2.0 mg aflibercept or a sham injection and 2.0 mg aflibercept. Patients received intravitreal injections once every four weeks for a total of three doses. The primary analysis was conducted at week 12, four weeks after the final dose.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of the Phase 2a Clinical Trial of Sozinibercept in Combination with Aflibercept in Persistent Diabetic Macular Edema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156845</wp:posOffset>
            </wp:positionV>
            <wp:extent cx="4166235" cy="10972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166235"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PRN refers to </w:t>
      </w:r>
      <w:r>
        <w:rPr>
          <w:rFonts w:ascii="Times New Roman" w:cs="Times New Roman" w:eastAsia="Times New Roman" w:hAnsi="Times New Roman"/>
          <w:sz w:val="18"/>
          <w:szCs w:val="18"/>
          <w:i w:val="1"/>
          <w:iCs w:val="1"/>
          <w:color w:val="auto"/>
        </w:rPr>
        <w:t>pro re nata</w:t>
      </w:r>
      <w:r>
        <w:rPr>
          <w:rFonts w:ascii="Times New Roman" w:cs="Times New Roman" w:eastAsia="Times New Roman" w:hAnsi="Times New Roman"/>
          <w:sz w:val="18"/>
          <w:szCs w:val="18"/>
          <w:color w:val="auto"/>
        </w:rPr>
        <w:t>, or treatment on an as needed basis.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Improvements in Visual Acuity</w:t>
      </w:r>
    </w:p>
    <w:p>
      <w:pPr>
        <w:spacing w:after="0" w:line="22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primary efficacy endpoint of the trial was the clinical response rate, defined as the proportion of patients receiving sozinibercept combination therapy that achieved a  5 letter gain in visual acuity at week 12 compared to baseline. Our predefined measure of success was a response rate of greater than or equal to 38%, based on historical observations that show limited ability to achieve a  5 letter improvement in DME patients on long-term anti-VEGF-A monotherapy. As an exploratory trial, this Phase 2a was not powered to detect statistical significance of sozinibercept combination therapy compared to aflibercept monotherapy.</w:t>
      </w:r>
    </w:p>
    <w:p>
      <w:pPr>
        <w:spacing w:after="0" w:line="18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observed that 52.8% of patients treated with sozinibercept combination therapy achieved a  5 letter improvement in visual acuity at week 12 compared to baseline, meeting the pre-specified primary efficacy endpoint for this trial.</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mean change in visual acuity at week 12 compared to baseline was +5.9 letters in patients receiving sozinibercept combination therapy and +6.1 letters in the aflibercept monotherapy group. In the sozinibercept combination therapy group, the percentage of patients with visual acuity gains of  10 and  15 letters was higher, and the percentage of patients who lost  5 letters was lower than that in the aflibercept monotherapy group. These measures of visual function are shown in the figure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Measures of Visual Acuity at Week 12 Following sozinibercept Combination Therapy and Aflibercept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156845</wp:posOffset>
            </wp:positionV>
            <wp:extent cx="4946015" cy="19545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4601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Patients treated with sozinibercept combination therapy also had decreased retinal thickness compared to aflibercept monotherapy, as shown in the figure below.</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Greater Reduction in Retinal Thickness from Baseline to Week 12 Following Sozinibercept Combination Therapy Compared to Aflibercept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112395</wp:posOffset>
            </wp:positionV>
            <wp:extent cx="4020185" cy="26485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02018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Prior Treatment History in Persistent DME Patients</w:t>
      </w:r>
    </w:p>
    <w:p>
      <w:pPr>
        <w:spacing w:after="0" w:line="22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Prior trials have shown that DME patients with mild visual acuity loss of 20/40 or better at baseline, show similar outcomes to any of the VEGF-A therapies: ranibizumab, aflibercept and bevacizumab. However, in patients with poorer baseline vision of 20/50 or worse, aflibercept has better outcomes compared to ranibizumab and bevacizumab over the first 12 months of treatment. It has also been shown that DME patients who experience inadequate responses to ranibizumab have achieved further anatomical and functional improvements upon switching to aflibercept.</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Due to the challenge of enrolling a large group of patients with identical prior treatment histories, we designed our Phase 2a trial to accelerate enrollment by randomizing patients with variable prior treatment histories. This strategy allowed us to more broadly understand the prior treatment history in persistent DME patients, which will inform the design of our future trials in DME.</w:t>
      </w:r>
    </w:p>
    <w:p>
      <w:pPr>
        <w:spacing w:after="0" w:line="17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order to explore the importance of differences in prior treatment history, we collected detailed anti-VEGF-A treatment histories for patients enrolled in our Phase 2a DME trial. Patients randomized into our Phase 2a trial had variable prior treatment histories which included infrequent or irregular dosing and/or therapy with aflibercept, ranibizumab and bevacizumab. Approximately one third of patients had a prior treatment history of having received only aflibercept, or aflibercept for their three anti-VEGF-A treatments immediately before trial enrollment. Approximately 11% of patients had a prior treatment history of having received only ranibizumab, or ranibizumab for their three anti-VEGF-A treatments immediately before trial enrolment, whereas approximately 44% of patients had received only bevacizumab prior to trial enrollment. Patients with a prior treatment history of bevacizumab were required to receive at least one injection of either aflibercept or ranibizumab immediately prior to randomization into the trial. Post-hoc analyses of the results from our Phase 2a trial suggest that some patients may have benefited from the increased efficacy of aflibercept and/or from the switch to aflibercept therapy as administered in our trial on an every four-week dosing cycle. In the subset of patients who had only received aflibercept, or received aflibercept for their three anti-VEGF-A treatments immediately before trial enrollment, referred to as treatment history of prior aflibercept, the mean improvement in visual acuity observed for the aflibercept monotherapy group was +3.4 letters (n=13), compared to a mean improvement of +7.4 letters for those patients with more variable prior treatment history who received aflibercept monotherapy (n=27) following randomization into the trial. This suggests that the majority of patients enrolled in the trial had not achieved a maximal response to all anti-VEGF-A therapies prior to enrolling in the trial.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5" w:name="page96"/>
    <w:bookmarkEnd w:id="95"/>
    <w:p>
      <w:pPr>
        <w:spacing w:after="0" w:line="19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Due to the observed increase in treatment benefit for patients with a variable treatment history who then received aflibercept every four weeks in the trial, the subset of patients with a treatment history of prior aflibercept may represent the most stringent and least variable patient population in which to test the ability of sozinibercept to provide additional benefit. In this more homogeneous patient population, as shown in the figure below, patients administered sozinibercept combination therapy demonstrated a mean improvement in visual acuity of +6.6 letters (n=22) from baseline to week 12, compared to +3.4 letters (n=13) in the aflibercept monotherapy group.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Greater Gains in Visual Acuity following Sozinibercept Combination Therapy in Patients with a Treatment History of Prior Aflibercept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156845</wp:posOffset>
            </wp:positionV>
            <wp:extent cx="3926205" cy="24688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92620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27.3% of patients gained  10 letters and 9.1% gained  15 letters of visual acuity from baseline to week 12 following sozinibercept combination therapy. There were no patients with a treatment history of prior aflibercept that gained  10 letters of visual acuity in the aflibercept monotherapy group. Furthermore, the proportion of patients who lost  1 letters was 9.1% in the sozinibercept combination therapy group and 23.1% in the aflibercept monotherapy group. We believe that these results, as shown in the figures below, strongly support the potential of sozinibercept to improve the visual acuity in patients with persistent DME despite prior treatment with anti-VEGF-A monotherapy.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Proportion of Patients with a Treatment History of Prior Aflibercept Who Gained and Lost Visual Acuity from Baseline to Week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156845</wp:posOffset>
            </wp:positionV>
            <wp:extent cx="5074920" cy="20231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07492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this subgroup of patients with a treatment history of prior aflibercept, anatomical changes were consistent with functional visual acuity outcomes. As shown in the figure below, a greater mean reduction in retinal thickness was observed in the sozinibercept combination therapy group compared to the aflibercept monotherapy group at week 12. In particular, 22.7% of patients in the sozinibercept combination therapy group experienced at least a 300 µm reduction in retinal thickness at week 12, compared to 7.7% of patients in the aflibercept monotherapy group.</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Greater Mean Reduction in Retinal Thickness following Sozinibercept Combination Therapy in Patients with a Treatment History of Prior Aflibercept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112395</wp:posOffset>
            </wp:positionV>
            <wp:extent cx="4277360" cy="25546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7736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Safety and Tolerability</w:t>
      </w:r>
    </w:p>
    <w:p>
      <w:pPr>
        <w:spacing w:after="0" w:line="22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Sozinibercept combination therapy was well tolerated. There was one potentially treatment-related SAE of cerebrovascular accident, or stroke, resulting in one patient discontinuing treatment and withdrawing from the trial. The most common TEAEs were conjunctival hemorrhage and increased intraocular pressure and were mainly related to the intravitreal injection procedure. TEAEs did not lead to discontinuation of the trial for any patient. The incidence of intra-ocular inflammation was low, occurring in one patient for each treatment group, and the observed events were manageable and able to be resolved.</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now have extensive global clinical dosing experience demonstrating a favorable tolerability profile following repeated intravitreal administration of sozinibercept in 399 patients, with over 1,800 doses of sozinibercept administered across three completed international clinical trials in two disease indications and in combination with the two leading standard of care anti-VEGF-A therapies, ranibizumab and aflibercept. In particular, across our clinical trials, the incidence of intra-ocular inflammation was similar across all treatment groups. In addition, we continue to collect safety and tolerability information from our ongoing Phase 3 clinical trials with sozinibercept.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Retinal Vein Occlusion</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Based on the positive clinical data from our clinical trials of sozinibercept in wet AMD and DME, we intend to prioritize future development in these two indications while exploring potential opportunities to develop sozinibercept in other ophthalmic indications such as RVO, DR and other diseases involving aberrant CNV.</w:t>
      </w:r>
    </w:p>
    <w:p>
      <w:pPr>
        <w:spacing w:after="0" w:line="17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RVO is a sight-threatening visual disorder resulting from blockage of one of the veins carrying blood out of the retina. This blocked vein can leak blood and fluid resulting in swelling that can cause macular edema. Persistent, inadequately-treated macular edema associated with RVO can blur vision, cause significant loss in visual acuity and eventually lead to blindness. Macular edema is the most common cause of vision loss in people who suffer from RVO.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7" w:name="page98"/>
    <w:bookmarkEnd w:id="97"/>
    <w:p>
      <w:pPr>
        <w:spacing w:after="0" w:line="19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Similar to wet AMD and DME, the first-line standard of care to treat macular edema associated with RVO is intravitreal anti-VEGF-A monotherapy. VEGF-A inhibitors however, are only effective in significantly improving vision in approximately 30% to 40% of patients with macular edema associated with RVO above sham control. The prevalence of RVO in people over the age of 50 has been reported to be 0.7%, or approximately 1.8 million people in the United States and Europe. Over 500,000 individuals in the United States and Europe have macular edema associated with RVO. We believe that sozinibercept has the potential to bring therapeutic benefit to patients suffering from macular edema secondary to RVO.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The biotechnology and pharmaceutical industries, and the ophthalmic disease subsector, are characterized by rapidly advancing technologies, evolving understanding of disease etiology, intense competition and a strong emphasis on intellectual property. While we believe that sozinibercept and our knowledge and experience provide us with certain competitive advantages, we face substantial potential competition from many different sources, including large and specialty pharmaceutical and biotechnology companies, academic research institutions and governmental agencies and public and private research institutions. Many of our current or potential competitors, either alone or with their collaboration partners, have significantly greater financial resources and expertise in research and development, manufacturing, pre-clinical studies, conducting clinical trials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Accordingly, our competitors may be more successful than we may be in developing, commercializing and achieving widespread market acceptance. In addition, our competitors’ products may be more effective or more effectively marketed and sold than any treatment we or our development partners may commercialize and may render our product candidates obsolete or noncompetitive before we can recover the expenses related to developing and commercializing our product candidates.</w:t>
      </w:r>
    </w:p>
    <w:p>
      <w:pPr>
        <w:spacing w:after="0" w:line="19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are developing sozinibercept for the treatment of wet AMD and additional retinal disease indications, such as DME and RVO, together with certain combination agents. Companies that have products that may compete with sozinibercept include Roche Group, Regeneron Pharmaceuticals, Inc. and Novartis AG, which have marketed anti-VEGF-A therapies including ranibizumab (Lucentis) and aflibercept (Eylea), each a standard of care treatment for wet AMD, and brolucizumab (Beovu). Faricimab (Vabysmo) is approved for wet AMD and DME. A higher dose version (8 mg) of aflibercept(Eylea HD) was recently approved that allow some patients less frequent dosing. Companies with products in development for the treatment of wet AMD and DME - include 4D Molecular Therapeutics Inc, RevOpsis Therapeutics, Ocugen, Inc., Ocular Therapeutix, Inc., EyePoint Pharmaceuticals, Inc., Clearside Biomedical, Inc., and Outlook Therapeutics, Inc. We are also aware of other companies that are working on therapies for the whole eye, including Santen, Inc. and Ocular Therapeutix, Inc. In addition, bevacizumab (Avastin), marketed by Genentech, Inc., is used off-label to treat wet AMD.</w:t>
      </w:r>
    </w:p>
    <w:p>
      <w:pPr>
        <w:spacing w:after="0" w:line="19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It is possible that our competitors will succeed in developing technologies that are more effective than our product candidates or that would render our technology obsolete or noncompetitive, or will succeed in developing biosimilar or interchangeable products for our product candidates. We anticipate that we will continue to face increasing competition in the future as new companies enter our market and scientific developments surrounding biosimilars and other retinal therapies continue to accelerate, particularly once ranibizumab and aflibercept approach loss of exclusivity. We cannot predict to what extent the entry of biosimilars or other competing products will impact potential future sales of our products or our product candidates.</w:t>
      </w:r>
    </w:p>
    <w:p>
      <w:pPr>
        <w:spacing w:after="0" w:line="18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With respect to our current and potential future product candidates, we believe that our ability to compete effectively and develop products that can be manufactured cost-effectively and marketed successfully will depend on our ability to:</w:t>
      </w:r>
    </w:p>
    <w:p>
      <w:pPr>
        <w:spacing w:after="0" w:line="162" w:lineRule="exact"/>
        <w:rPr>
          <w:sz w:val="20"/>
          <w:szCs w:val="20"/>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development of sozinibercept and any other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additional technology;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clinical trials which position our products for regulatory and commercial success;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94" w:lineRule="exact"/>
        <w:rPr>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proprietary position in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government and other public and private approvals on a timely basis;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key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effectively;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reimbursement for our products in approved indications;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efficient manufacturing processes and supply chain;</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laws, regulations and regulatory requirements and restrictions with respect to our business, including the commercialization of our products, including with respect to any changed or increased regulatory restrictions;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additional collaborations to advance the development and commercialization of our product candidates.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Commercial License Arrangement with Selexis SA</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October 2013, we entered into a commercial license agreement, or the Selexis Agreement, with Selexis SA, or Selexis, under which Selexis granted us a non-exclusive, worldwide, sublicensable license under certain patents, know-how and other intellectual property controlled by Selexis to use certain cell lines, deliverables and materials provide by Selexis to manufacture sozinibercept and related products and to use, sale and otherwise exploit such products.</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paid Selexis a nominal upfront payment upon entering into the Selexis Agreement. We are also required to make certain payments under the Selexis Agreement totaling approximately US$1.3 million upon the achievement of certain development and commercial milestones. We are also obligated to pay a low single-digit running royalty on worldwide net sales of the licensed products. Our royalty obligations will continue, on a product-by-product and country-by-country basis, until the expiration of the relevant patents, but will not extend beyond October 2024 in any event. After the expiration of the royalty term, our license will continue and become full paid, perpetual and irrevocable.</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Selexis Agreement will expire on the date of expiration of the last-to-expire of the license patents. Either party may terminate the Selexis Agreement for the other party’s uncured material breach or bankruptcy. We may also terminate the Selexis Agreement at any time upon prior notice to Selexis.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of June 30, 2024, we have rights to 15 issued U.S. patents, five U.S. patent applications, 66 issued non-U.S. patents and four pending non-U.S. applications. Our current issued patents and patent applications began expiring in September 2022 all are projected to expire between March 2025 and November 2034 although our most recent PCT and Taiwanese applications, do not expire until September 2043. National phase entry of our pending PCT application is due by 1 March 2025.</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With respect to soluble forms of VEGFR-3, we own and have licensed rights to patent families including issued patents in the United States and Europe (Switzerland, France, Germany and the UK), which began expiring in 2022 and are expected to continue expiring until 2031. These patents cover composition of matter and/or method of use claims, including claims directed at the treatment of eye diseases associated with abnormal blood vessel growth, such as wet AMD.</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With respect to sozinibercept, we own a patent family with three issued U.S. patents, an issued European patent validated in 38 countries and non-U.S. patents granted in Australia, Brazil, Canada, China, Colombia, Indonesia, Israel, India, South Korea, Mexico, Malaysia (2), New Zealand, Russia, Singapore and South Africa. Patent applications are pending in the United States and in Europe and Philippines. The three issued U.S. patents have claims covering the composition of matter of sozinibercept and its uses in treating ocular disorders and/or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nucleic acids, vectors, and host cells for producing it. These issued patents and pending patent applications, if issued, are expected to expire in 2034, not including any patent term extension.</w:t>
      </w:r>
    </w:p>
    <w:p>
      <w:pPr>
        <w:spacing w:after="0" w:line="16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actual protection afforded by a patent, which can vary from country to country, depends on the type of patent, the scope of its coverage as determined by the patent office or courts in the country, and the availability of legal remedies in the country. The information in the above list is based on our current assessment of patents that we own or control or have exclusively licensed. The information is subject to revision, for example, in the event of changes in the law or legal rulings affecting our patents or if we become aware of new information. Significant legal issues remain unresolved as to the extent and scope of available patent protection for biotechnology products and processes in the United States and other important markets outside the United States. We expect that litigation will likely be necessary to determine the term, validity, enforceability and/or scope of certain of our patents and other proprietary rights. An adverse decision or ruling with respect to one or more of our patents could result in the loss of patent protection for a product and, in turn, the introduction of competitor products or follow-on biologics to the market earlier than anticipated.</w:t>
      </w:r>
    </w:p>
    <w:p>
      <w:pPr>
        <w:spacing w:after="0" w:line="19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Patents expire, on a country by country basis, at various times depending on various factors, including the filing date of the corresponding patent application(s), the availability of patent term adjustment, patent term extension and supplemental protection certificates and requirements for terminal disclaimers. In most countries, including the United States, the patent term is 20 years from the earliest claimed filing date of a non-provisional patent application or its foreign equivalent in the applicable country.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In the United States, a patent may also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in the US.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 with extended rights limited to the approved product, its approved uses, and/or its manufacture.</w:t>
      </w:r>
    </w:p>
    <w:p>
      <w:pPr>
        <w:spacing w:after="0" w:line="19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 xml:space="preserve">Although we believe our owned and licensed patents and patent applications provide us with a competitive advantage, the patent positions of biotechnology and pharmaceutical companies can be uncertain and involve complex legal and factual questions. We may not be able to develop patentable products or processes or obtain patents from pending patent applications. In the event of patent issuance, the patents may not be sufficient to protect the proprietary technology owned by or licensed to us or our partners. Our current patents, or patents that issue on pending applications, may be challenged, invalidated, infringed or circumvented. In addition, changes to patent laws in the United States or in other countries may limit our ability to defend or enforce our patents, or may apply retroactively to affect the term and/or scope of our patents. Our patents have been and may in the future be challenged by third parties in post-issuance administrative proceedings or in litigation as invalid, not infringed or unenforceable under U.S. or foreign laws, or they may be infringed by third parties. As a result, we have or may be from time to time involved in the defense and enforcement of our patent or other intellectual property rights in a court of law and administrative tribunals, such as in USPTO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reexamination proceedings, foreign opposition proceedings or related legal and administrative proceedings in the United States and elsewhere. The costs of defending our patents or enforcing our proprietary rights in post-issuance administrative proceedings or litigation may be substantial and the outcome can be uncertain. An adverse outcome may allow third parties to use our proprietary technologies without a license from us.</w:t>
      </w:r>
    </w:p>
    <w:p>
      <w:pPr>
        <w:spacing w:after="0" w:line="19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Furthermore, we rely upon trade secrets and know-how and continuing technological innovation to develop and maintain our competitive position. We seek to protect our proprietary information, in part, by using confidentiality and invention assignment agreements with its commercial partners, collaborators, employees and consultants. These agreements are designed to protect our proprietary information and, in the case of the invention assignment agreements, to grant it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9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commercial success will also depend in part on not infringing upon the proprietary rights of third parties. It is uncertain whether the issuance of any third-party patent would require us to alter its development or commercial strategies for our product candidates or processes, or to obtain licenses or cease certain activities. Our breach of any license agreements or failure to obtain a license to proprietary rights that it may require to develop or commercialize its future products may have an adverse impact on us. If third parties prepare and file patent applications in the United States that also claim technology to which we have rights, we may have to participate in interference or derivation proceedings in the USPTO to determine priority of invention.</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of June 30, 2023, we or our subsidiaries have registered and own “Opthea” as a trademark in ten jurisdictions, including the United States and Europe. Other than the registered trademark listed above, we currently rely on our unregistered trademarks, trade names and service marks, as well as our domain names and logos, as appropriate, to market our brands and to build and maintain brand recognition.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non-U.S.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biologics such as those we are developing. We, along with third-party contractors, will be required to navigate the various nonclinical, clinical and commercial approval requirements of the governing regulatory agencies of the countries in which we wish to conduct studies or seek approval or licensure of sozinibercept or any future product candidate.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Biological Product Development</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the United States, the FDA regulates biologics under both the Federal Food, Drug and Cosmetic Act and the Public Health Service Act and their implementing regulations. Both drugs and biologics also are subject to other federal, state and local statutes and regulations. 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post-market regulations may subject an applicant to administrative or judicial sanctions. These sanctions could include, among other actions, the FDA’s refusal to approve pending applications, withdrawal of an approval, license revocation,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9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product candidates and any future biological product candidates we develop must be approved by the FDA through a biologics license application, or BLA, process before they may be legally marketed in the United States. The BLA is a request for approval to market the biologic for one or more specified indications and must contain proof of safety, purity and potency. The FDA review and approval process generally involves the following:</w:t>
      </w:r>
    </w:p>
    <w:p>
      <w:pPr>
        <w:spacing w:after="0" w:line="176" w:lineRule="exact"/>
        <w:rPr>
          <w:sz w:val="20"/>
          <w:szCs w:val="20"/>
          <w:color w:val="auto"/>
        </w:rPr>
      </w:pPr>
    </w:p>
    <w:p>
      <w:pPr>
        <w:ind w:left="760" w:hanging="378"/>
        <w:spacing w:after="0" w:line="282"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studies performed in accordance with the FDA’s current Good Laboratory Practices regulations;</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 and contain an Investigator’s Brochure that must be updated annually or when significant changes are made;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ethics committee at each clinical site before the trial is commenced;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purity and potency of the proposed biologic product candidate for its intended purpose;</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BLA after completion of all pivotal clinical trials that includes substantial evidence of safety, purity and potency from results of nonclinical testing and clinical trials; satisfactory completion of an FDA advisory committee review, if applicable;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94" w:lineRule="exact"/>
        <w:rPr>
          <w:sz w:val="20"/>
          <w:szCs w:val="20"/>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current good manufacturing practices, or cGMP, and to assure that the facilities, methods and controls are adequate to preserve the biological product’s continued safety, purity and potency, and of selected clinical investigation sites to assess compliance with GCP; and</w:t>
      </w:r>
    </w:p>
    <w:p>
      <w:pPr>
        <w:spacing w:after="0" w:line="179"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 to permit commercial marketing of the product for specific indications supported by the data from clinical trials that support use in specific indications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Nonclinical Trials and IND</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w:t>
      </w:r>
    </w:p>
    <w:p>
      <w:pPr>
        <w:spacing w:after="0" w:line="176"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trials. The IND also includes results of animal and in vitro studies assessing the toxicology, PK, pharmacology, and PD characteristics of the product candidate;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until the IND sponsor and the FDA resolve the outstanding concerns or questions. Submission of an IND therefore may or may not result in FDA authorization to begin a clinical trial.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For new indications, a separate new IND may be required.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trials and clinical study results to public registries. For purposes of BLA approval, human clinical trials are typically conducted in three sequential phases that may overlap.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180" w:lineRule="exact"/>
        <w:rPr>
          <w:sz w:val="20"/>
          <w:szCs w:val="20"/>
          <w:color w:val="auto"/>
        </w:rPr>
      </w:pPr>
    </w:p>
    <w:p>
      <w:pPr>
        <w:jc w:val="both"/>
        <w:ind w:left="760" w:hanging="378"/>
        <w:spacing w:after="0" w:line="266"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 The investigational product is initially introduced into healthy human subjects or patients with the target disease or condition. These trials are designed to test the safety, dosage tolerance, absorption, metabolism, distribution and elimination of the investigational product in humans, the side effects associated with increasing doses, and, if possible, to gain early evidence on effectiveness.</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product labeling.</w:t>
      </w:r>
    </w:p>
    <w:p>
      <w:pPr>
        <w:spacing w:after="0" w:line="1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These so-called Phase 4 trials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 Submission, Review and Approval</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Assuming successful completion of the clinical trials, the results of product development, nonclinical studies and clinical trials are submitted to the FDA as part of a BLA requesting approval to market the product for one or more indications. The BLA must include all relevant data available from pertinent preclinical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FDA, unless a waiver or exemption applies.</w:t>
      </w:r>
    </w:p>
    <w:p>
      <w:pPr>
        <w:spacing w:after="0" w:line="183"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Once a BLA has been submitted, the FDA’s goal is to review standard applications within ten months after it accepts the application for filing (a 60-day process), or, if the application qualifies for priority review, six months after the FDA accepts the application for filing. In both standard and priority reviews, the review process can be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9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9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Any marketing application for a biologic submitted to the FDA for approval may be eligible for FDA programs intended to expedite the FDA review and approval process, such as Priority Review, Fast-Track, Breakthrough Therapy and Accelerated Approval.</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 product is eligible for priority review if it has the potential to provide safe and effective therapy where no satisfactory alternative therapy exists or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 In July 2021, sozinibercept was granted Fast-Track Designation by the FDA for the treatment of wet AMD.</w:t>
      </w:r>
    </w:p>
    <w:p>
      <w:pPr>
        <w:spacing w:after="0" w:line="18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addition, a sponsor can request designation of a product candidate as a “breakthrough therapy.”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Drugs or biologics designated as breakthrough therapies are also eligible for accelerated approval. The FDA must take certain actions, such as holding timely meetings and providing advice, intended to expedite the development and review of an application for approval of a breakthrough therapy. The benefits of breakthrough therapy designation include the same benefits as Fast-Track designation, plus intensive guidance from the FDA to ensure an efficient drug development program.</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 that the time period for FDA review and approval will not be shortened. Furthermore, priority review, Fast-Track designation, breakthrough therapy designation, and accelerated approval do not change the standards for approval but may expedite the development or approval process.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which is a disease or condition that affects fewer than 200,000 individuals in the United States, or 200,000 or more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designation must be requested before submitting a BLA. After the FDA grants orphan designation, the generic identity of the therapeutic agent and its potential orphan use are disclosed publicly by the FDA. The orphan drug designation does not convey any advantage in, or automatically shorten the duration of, the regulatory review or approval process.</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for which it has such designation, the product is entitled to orphan exclusivity, which means that the FDA may not approve any other applications, including a full BLA, to market the same product for the same indication for seven years, except in limited circumstances, such as a showing of clinical superiority to the product with orphan drug exclusivity. Orphan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 A designated orphan product may not receive orphan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quality control and quality assurance,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9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83" w:lineRule="exact"/>
        <w:rPr>
          <w:sz w:val="20"/>
          <w:szCs w:val="20"/>
          <w:color w:val="auto"/>
        </w:rPr>
      </w:pPr>
    </w:p>
    <w:p>
      <w:pPr>
        <w:jc w:val="both"/>
        <w:ind w:left="760" w:hanging="378"/>
        <w:spacing w:after="0" w:line="266"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a product, mandated modification of promotional materials or issuance of corrective information, issuance by FDA or other regulatory authorities of safety alerts, Dear Healthcare Provider letters, press releases or other communications containing warnings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safety information about the product, or complete withdrawal of the product from the market or product recalls;</w:t>
      </w:r>
    </w:p>
    <w:p>
      <w:pPr>
        <w:spacing w:after="0" w:line="225" w:lineRule="exact"/>
        <w:rPr>
          <w:sz w:val="20"/>
          <w:szCs w:val="20"/>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post-approval clinical trials;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existing product approvals;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of the FDA to permit the import or export of products;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consent decrees or the imposition of civil or criminal penalties.</w:t>
      </w:r>
    </w:p>
    <w:p>
      <w:pPr>
        <w:spacing w:after="0" w:line="22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The FDA does not regulate the behavior of physicians in their choice of treatments. The FDA does, however, restrict manufacturer’s communications on the subject of off-label use of their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Reference Product Exclusivity</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or Affordable Care Act signed into law in 2010, includes a subtitle called the Biologics Price Competition and Innovation Act of 2009, which created an abbreviated approval pathway for biological products that are biosimilar to or interchangeable with an FDA-approved reference biological product. To date, a number of biosimilars have been licensed under the BPCIA, and numerous biosimilars have been approved in Europe. The FDA has issued several guidance documents outlining its approach to the review and approval of biosimilars.</w:t>
      </w:r>
    </w:p>
    <w:p>
      <w:pPr>
        <w:spacing w:after="0" w:line="18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8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 and Compliance Requirements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the United States, our current and future operations are subject to regulation by various federal, state and local authorities in addition to the FDA, including but not limited to, the Centers for Medicare and Medicaid Services, or CMS other divisions of the U.S. Department of Health and Human Services, or HHS (such as the Office of Inspector General, Office for Civil Rights and the Health Resources and Service Administration), the U.S. Department of Justice, or DOJ, and individual U.S. Attorney offices within the DOJ, and state and local governments. For example, our clinical research, sales, marketing and scientific/educational grant programs may have to comply with the anti-fraud and abuse provisions of the Social Security Act, the false claims laws, transparency and price reporting laws, the privacy and security provisions of the Health Insurance Portability and Accountability Act, or HIPAA and similar state laws, each as amended, as applicable. Our business operations and current and future arrangements with investigators, healthcare professionals, consultants, third-party payors and customers may be subject to healthcare laws, regulations and enforcement by the federal government and by authorities in the states and foreign jurisdictions in which we conduct our business. Such laws include, without limitation, state and federal anti-kickback, fraud and abuse, false claims, privacy and security, price reporting, and transparency laws. Some of our pre-commercial activities are subject to some of these laws.</w:t>
      </w:r>
    </w:p>
    <w:p>
      <w:pPr>
        <w:spacing w:after="0" w:line="19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in whole or in part, under Medicare, Medicaid or other federal healthcare programs. The term remuneration has been interpreted broadly to include anything of value. The Anti-Kickback Statute has been interpreted to apply to arrangements between therapeutic product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9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Additionally, the intent standard under the Anti-Kickback Statute was amended by the Affordable Care Act to a stricter standard such that a person or entity no longer needs to have actual knowledge of the statute or specific intent to violate it in order to have committed a violation. Further, courts have found that if “one purpose” of remuneration is to induce referrals, the federal Anti-Kickback statute is violated. Violations of the Anti-Kickback Statute can result in significant civil and criminal fines and penalties for each violation, imprisonment, and exclusion from federal healthcare programs. In addition, the Affordable Care Act codified case law that a claim including items or services resulting from a violation of the federal Anti-Kickback Statute constitutes a false or fraudulent claim for purposes of the federal False Claims Act, or the FCA, as discussed below.</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federal false claims laws, including the FCA, which can be enforced by private citizens through civil qui tam actions, and civil monetary penalty laws, prohibit any person or entity from, among other things, knowingly presenting, or causing to be presented, a false or fraudulent claim for payment to, or approval by, the federal government, including federal healthcare programs, such as Medicare and Medicaid,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 claim includes “any request or demand” for money or property presented to the U.S. government. Pharmaceutical and other healthcare companies have been, and continue to be, prosecuted under these laws, among other things, for allegedly providing free product to customers with the expectation that the customers would bill federal programs for the product and for causing false claims to be submitted because of the companies’ marketing of the product for unapproved, off-label, and thus generally non-reimbursable, uses.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9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Affordable Care Act amended the intent standard for certain healthcare fraud statutes under HIPAA such that a person or entity no longer needs to have actual knowledge of the statute or specific intent to violate it in order to have committed a violation. When an entity is determined to have violated the FCA, the government may impose civil fines and penalties for each false claim, plus treble damages, and exclude the entity from participation in Medicare, Medicaid and other federal healthcare programs.</w:t>
      </w:r>
    </w:p>
    <w:p>
      <w:pPr>
        <w:spacing w:after="0" w:line="18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on certain covered healthcare providers, health plans, and healthcare clearinghouses as well as their respective business associates and their covered subcontractors relating to the privacy, security and transmission of individually identifiable health information. Among other things, HITECH makes HIPAA’s privacy and security standards directly applicable to business associates, which are independent contractors or agents of covered entities that create, maintain, transmit,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are often not pre-empted by HIPAA, and may have a more prohibitive effect than HIPAA, thus complicating compliance efforts.</w:t>
      </w:r>
    </w:p>
    <w:p>
      <w:pPr>
        <w:spacing w:after="0" w:line="19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Additionally, the federal Physician Payments Sunshine Act, or the Sunshine Act, within the Affordable Care Act,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(defined to include (doctors, dentists, optometrists, podiatrists and chiropractors) certain other healthcare professionals (such as physicians assistants and nurse practitioners) and teaching hospitals, or to entities or individuals at the request of, or designated on behalf of, the physicians and teaching hospitals and to report annually certain ownership and investment interests held by physicians and their immediate family members. Failure to report accurately could result in penalties.</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Many states have similar statutes or regulations to the above federal laws that may be broader in scope and may apply regardless of payor. We may also be subject to state laws that require pharmaceutical companies to comply with the pharmaceutical industry’s voluntary compliance guidelines and the relevant compliance guidance promulgated by the federal government, and/or state laws that require drug manufacturers to report information related to payments and other transfers of value to physicians and other healthcare providers, drug pricing or marketing expenditures. Certain state and local laws also require the registration of pharmaceutical sales representatives. We may be subject to state and foreign laws governing the privacy and security of health information, some of which may be more stringent than those in the United States (such as the GDPR, which was adopted by the EU and subsequently became effective in May 2018). These laws may differ from each other in significant ways and may not have the same effect, further complicating compliance efforts.</w:t>
      </w:r>
    </w:p>
    <w:p>
      <w:pPr>
        <w:spacing w:after="0" w:line="19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pharmaceutical and biotechnology companies for use in sales and marketing, and to prohibit certain other sales and marketing practices. All of our activities are potentially subject to federal and state consumer protection and unfair competition laws. Additionally, to the extent that we have business operations in foreign countries or sell any of our products in foreign countries and jurisdictions, including Canada or the EU, we may be subject to additional regulation.</w:t>
      </w:r>
    </w:p>
    <w:p>
      <w:pPr>
        <w:spacing w:after="0" w:line="18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significant civil, criminal and/or administrative penalties, damages, fines, disgorgement,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its ability to operate our business and results of operations.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 in the U.S.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may obtain regulatory approval. In the United States and in foreign markets,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Third-party payors decide which medications they will pay for and establish reimbursement levels. Adequate coverage and reimbursement from governmental healthcare programs, such as Medicare and Medicaid in the United States, and commercial payors are critical to new product acceptance.</w:t>
      </w:r>
    </w:p>
    <w:p>
      <w:pPr>
        <w:spacing w:after="0" w:line="1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ability to commercialize any products successfully also will depend in part on the extent to which coverage and reimbursement for these products and related treatments will be available from third-party payors, which decide which therapeutics they will pay for and establish reimbursement levels. In the United States, the principal decisions about reimbursement for new medicines are typically made by CMS, an agency within HHS. CMS decides whether and to what extent our products will be covered and reimbursed under Medicare and private payors tend to follow CMS to a substantial degree. Coverage and reimbursement by a third-party payor may depend upon a number of factors, including the third-party payor’s determination that use of a therapeutic is:</w:t>
      </w:r>
    </w:p>
    <w:p>
      <w:pPr>
        <w:spacing w:after="0" w:line="187" w:lineRule="exact"/>
        <w:rPr>
          <w:sz w:val="20"/>
          <w:szCs w:val="20"/>
          <w:color w:val="auto"/>
        </w:rPr>
      </w:pPr>
    </w:p>
    <w:p>
      <w:pPr>
        <w:ind w:left="760" w:hanging="378"/>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cannot be sure that coverage or reimbursement will be available for any product that we commercialize and, if coverage and reimbursement are available, what the level of reimbursement will be. Coverage may also be more limited than the purposes for which the product is approved by the FDA or comparable foreign regulatory authorities. Reimbursement may impact the demand for, or the price of, any product for which we obtain regulatory approval.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may develop products that, once approved, may be administered by a physician.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8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Third-party payors are increasingly challenging the price, examining the medical necessity, and reviewing the cost-effectiveness of medical products, therapies and services, in addition to questioning their safety and efficacy. Obtaining reimbursement for our products may be particularly difficult because of the higher prices often associated with branded drugs and drugs administered under the supervision of a physician. We may need to conduct expensive pharmacoeconomic studies in order to demonstrate the medical necessity and cost-effectiveness of our products, in addition to the costs required to obtain FDA approvals. Our product candidates may not be considered medically necessary or cost-effective. Obtaining coverage and reimbursement approval of a product from a government or other third-party payor is a time-consuming and costly process that could require us to provide to each payor supporting scientific, clinical and cost-effectiveness data for the use of our product on a payor-by-payor basis, with no assurance that coverage and adequate reimbursement will be obtained.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its investment in product development. If reimbursement is not available or is available only at limited levels, we may not be able to successfully commercialize any product candidate that we successfully develop.</w:t>
      </w:r>
    </w:p>
    <w:p>
      <w:pPr>
        <w:spacing w:after="0" w:line="19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the increasing influence of health maintenance organizations, and additional legislative changes in the United States has increased, and we expect will continue to increase, the pressure on healthcare pricing. The downward pressure on the rise in healthcare costs in general, particularly prescription medicines, medical devices and surgical procedures and other treatments, has become very intense.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the ability to profitably sell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example, the Affordable Care Act has substantially changed healthcare financing and delivery by both governmental and private insurers. The Affordable Care Act among other things contains a number of provisions, including those governing enrollment in federal healthcare programs, reimbursement adjustments and changes to fraud and abuse laws.</w:t>
      </w:r>
    </w:p>
    <w:p>
      <w:pPr>
        <w:spacing w:after="0" w:line="176"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Since its enactment, there have been executive, legal and political challenges to certain aspects of the Affordable Care Act. By way of example, the Tax Cuts and Jobs Act, or TCJA, included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On June 17, 2021 the U.S. Supreme Court dismissed a challenge on procedural grounds that argued the Affordable Care Act is unconstitutional in its entirety because the “individual mandate” was repealed by Congress. On August 16, 2022, President Biden signed the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through a newly established manufacturer discount program. It is possible that the Affordable Care Act will be subject 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judicial or Congressional challenges in the future. It is unclear how any such challenges and the healthcare reform measures of the Biden administration will impact the Affordable Care Act.</w:t>
      </w:r>
    </w:p>
    <w:p>
      <w:pPr>
        <w:spacing w:after="0" w:line="16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Affordable Care Act was enacted. For example, in August 2011, President Obama signed into law the Budget Control Act of 2011, which, among other things, included aggregate reductions to Medicare payments to providers of 2% per fiscal year, which went into effect beginning on April 1, 2013 and will stay in effect until 2032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87" w:lineRule="exact"/>
        <w:rPr>
          <w:sz w:val="20"/>
          <w:szCs w:val="20"/>
          <w:color w:val="auto"/>
        </w:rPr>
      </w:pPr>
    </w:p>
    <w:p>
      <w:pPr>
        <w:jc w:val="both"/>
        <w:ind w:firstLine="374"/>
        <w:spacing w:after="0" w:line="251" w:lineRule="auto"/>
        <w:rPr>
          <w:sz w:val="20"/>
          <w:szCs w:val="20"/>
          <w:color w:val="auto"/>
        </w:rPr>
      </w:pPr>
      <w:r>
        <w:rPr>
          <w:rFonts w:ascii="Times New Roman" w:cs="Times New Roman" w:eastAsia="Times New Roman" w:hAnsi="Times New Roman"/>
          <w:sz w:val="18"/>
          <w:szCs w:val="18"/>
          <w:color w:val="auto"/>
        </w:rPr>
        <w:t xml:space="preserve">Additionally, there has been increasing legislative and enforcement interest in the United States with respect to specialty drug pricing practices. Specifically, there have been several recent U.S. presidential executive orders, Congressional inquiries and proposed and enacted federal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w:t>
      </w:r>
      <w:r>
        <w:rPr>
          <w:rFonts w:ascii="Times New Roman" w:cs="Times New Roman" w:eastAsia="Times New Roman" w:hAnsi="Times New Roman"/>
          <w:sz w:val="18"/>
          <w:szCs w:val="18"/>
          <w:color w:val="231F20"/>
        </w:rPr>
        <w:t>In addition, the IRA directs the HHS Secretary to establish a Drug Price Negotiation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Program (the “Program”) to lower prices for certain high-expenditure, single-source prescription drugs and biologics covered under Medicare Part B and Part D that have been approved by the FDA for at least 7 years for prescription drugs and at least 11 years for biologics. Under the Program, the HHS Secretary will publish a list of “selected drugs,” and will then negotiate maximum fair prices (“MFP”) with their manufacturers. The Program will be implemented in stages. Beginning in 2026, 10 Medicare Part D “selected drugs” will be subject to price negotiations. By 2029, and in subsequent years thereafter, the number will increase to 20 drugs and biologics covered under Medicare Part B and Part D. Agreements between HHS and manufacturers will remain in place until a drug or biologic is no longer considered a “selected drug” for negotiation purposes. Manufacturers who do not comply with the negotiated prices set under the Program will be subject to an excise tax based on a percentage of total sales of a “selected drug” up to 95% and potential civil monetary penalties. Further, beginning in October 2023, the IRA will require manufacturers that increase prices of certain Medicare Part B and Part D drugs or biologics at a rate greater than inflation to pay rebates to CMS or be subject to civil monetary penalties. HHS has and will continue to issue and update guidance as these programs are implemented, although the IRA may be subject to legal challenges. It is currently unclear how the IRA will be implemented but is likely to have significant impact on the pharmaceutical industry. In addition,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w:t>
      </w:r>
    </w:p>
    <w:p>
      <w:pPr>
        <w:spacing w:after="0" w:line="20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biopharmaceutical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 pricing.</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criteria and lower reimbursement, and in additional downward pressure on the price that we receive for any approved product.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 anticipated revenue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product candidates that we may successfully develop and for which we may obtain regulatory approval and may affect our overall financial condition and ability to develop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Product Approval Process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Non-Clinical Studies and Clinical Trials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Similar to the United States, the various phases of non-clinical research in the EU are subject to significant regulatory controls.</w:t>
      </w:r>
    </w:p>
    <w:p>
      <w:pPr>
        <w:spacing w:after="0" w:line="22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chemical or biological substances. In particular, non-clinical studies, both in vitro and in vivo, must be planned, performed, monitored, recorded, reported, and archived in accordance with the GLP principles, as set forth in Directive 2004/10/EC, which define a set of rules and criteria for a quality system for the organizational process and the conditions for non-clinical studies. These GLP standards reflect the Organization for Economic Co-operation and Development requirements.</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Clinical Trials Directive 2001/20/EC, the Directive 2005/28/EC on Good Clinical Practice, or GCP, and the related national implementing provisions of the individual EU member states currently govern the system for the approval of clinical trials in the EU.</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Clinical trials of medicinal products in the EU must be conducted in accordance with EU and national regulations of EU members states and the International Conference on Harmonization, or ICH, guidelines on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increasingly in EU member states, the sponsor is liable to provide “no fault” compensation to any study subject injured in the clinical trial.</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Under the applicable regulatory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related favorable opinion. The application for authorization of a clinical trial must be accompanied by, among other documents, a copy of the trial protocol and an investigational medicinal product dossier containing information about the manufacture and quality of the medicinal product under investigation as prescribed by Directive 2001/20/EC, Directive 2005/28/EC, where relevant the related implementing national provisions of the individual EU member states, and further detailed in applicable guidance documents. Any substantial changes to the trial protocol or to other information submitted with the clinical trial application must be notified to and approved by the relevant competent national authorities and ethics committees. Medicinal products used in clinical trials must be manufactured in accordance with good manufacturing practice (GMP).</w:t>
      </w:r>
    </w:p>
    <w:p>
      <w:pPr>
        <w:spacing w:after="0" w:line="19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April 2014, the new Clinical Trials Regulation, (EU) No 536/2014 (Clinical Trials Regulation) was adopted. The Regulation came into effect in the EU on January 31, 2022. The Clinical Trials Regulation is directly applicable in all the EU member states, repealing the Clinical Trials Directive 2001/20/EC. A three-year transition period is in place to move from the previous European Communities (Clinical Trials on Medicinal Products for Human Use) Regulations, SI No 190 of 2004 which transposed into law the provision of Council Directive 2001/20/EC. The transition period sets out the following key timelines:</w:t>
      </w:r>
    </w:p>
    <w:p>
      <w:pPr>
        <w:spacing w:after="0" w:line="181" w:lineRule="exact"/>
        <w:rPr>
          <w:sz w:val="20"/>
          <w:szCs w:val="20"/>
          <w:color w:val="auto"/>
        </w:rPr>
      </w:pPr>
    </w:p>
    <w:p>
      <w:pPr>
        <w:ind w:left="760" w:right="20" w:hanging="378"/>
        <w:spacing w:after="0" w:line="284"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From 31 January 2022 until 31 January 2023 - All initial clinical trial applications can be submitted under either the Directive or the Clinical Trial Regulation.</w:t>
      </w:r>
    </w:p>
    <w:p>
      <w:pPr>
        <w:spacing w:after="0" w:line="15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From 31 January 2023 </w:t>
      </w:r>
      <w:r>
        <w:rPr>
          <w:rFonts w:ascii="Times New Roman" w:cs="Times New Roman" w:eastAsia="Times New Roman" w:hAnsi="Times New Roman"/>
          <w:sz w:val="18"/>
          <w:szCs w:val="18"/>
          <w:color w:val="auto"/>
        </w:rPr>
        <w:t>- All initial clinical trial applications need to be submitted under the Clinical Trial Regulation.</w:t>
      </w:r>
    </w:p>
    <w:p>
      <w:pPr>
        <w:spacing w:after="0" w:line="225" w:lineRule="exact"/>
        <w:rPr>
          <w:rFonts w:ascii="Times New Roman" w:cs="Times New Roman" w:eastAsia="Times New Roman" w:hAnsi="Times New Roman"/>
          <w:sz w:val="18"/>
          <w:szCs w:val="18"/>
          <w:color w:val="auto"/>
        </w:rPr>
      </w:pPr>
    </w:p>
    <w:p>
      <w:pPr>
        <w:ind w:left="760" w:hanging="378"/>
        <w:spacing w:after="0" w:line="284"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From 31 January 2022 until the end of the transition period </w:t>
      </w:r>
      <w:r>
        <w:rPr>
          <w:rFonts w:ascii="Times New Roman" w:cs="Times New Roman" w:eastAsia="Times New Roman" w:hAnsi="Times New Roman"/>
          <w:sz w:val="18"/>
          <w:szCs w:val="18"/>
          <w:color w:val="auto"/>
        </w:rPr>
        <w:t>- Ongoing clinical trials previously authorized under the Directive can remain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Directive, or they can transition to the Clinical Trial Regulation.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92" w:lineRule="exact"/>
        <w:rPr>
          <w:sz w:val="20"/>
          <w:szCs w:val="20"/>
          <w:color w:val="auto"/>
        </w:rPr>
      </w:pPr>
    </w:p>
    <w:p>
      <w:pPr>
        <w:ind w:left="760" w:hanging="378"/>
        <w:spacing w:after="0" w:line="284"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31 January 2025 </w:t>
      </w:r>
      <w:r>
        <w:rPr>
          <w:rFonts w:ascii="Times New Roman" w:cs="Times New Roman" w:eastAsia="Times New Roman" w:hAnsi="Times New Roman"/>
          <w:sz w:val="18"/>
          <w:szCs w:val="18"/>
          <w:color w:val="auto"/>
        </w:rPr>
        <w:t>all ongoing clinical trials will be required to have transitioned to the Clinical Trial Regulation and will need to be migrated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CTIS.</w:t>
      </w:r>
    </w:p>
    <w:p>
      <w:pPr>
        <w:spacing w:after="0" w:line="16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new Clinical Trials Regulation aims to simplify and streamline the approval of clinical trials in the EU. The main characteristics of the regulation include: a streamlined application procedure via a single-entry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first by a single “reference” member state whose conclusions are then assessed by the competent authorities of all EU member states in which an application for authorization of a clinical trial has been submitted to “concerned” member states. Part II is assessed separately by each concerned EU member state.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 which provides Sponsors a reliable timeline to evaluate the approval of the clinical trial throughout Europe.</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Marketing Authorizations</w:t>
      </w:r>
    </w:p>
    <w:p>
      <w:pPr>
        <w:spacing w:after="0" w:line="22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To obtain a marketing authorization, or MA, for a product in the EU, an applicant must submit a Marketing Authorization Application, or MAA, either under a centralized procedure administered by the European Medicines Agency, or EMA, or one of the procedures administered by competent authorities in the EU member states (decentralized procedure, national procedure, or mutual recognition procedure). An MA may be granted only to an applicant established in the EU.</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 by the European Commission that is valid for all EU member states. Pursuant to Regulation (EC) No 726/2004, the centralized procedure is compulsory for specific products, including for (i) medicinal products derived from biotechnological processes, (ii) products designated as orphan medicinal products, (iii) advanced therapy medicinal products (ATMPs), and (iv) products with a new active substance indicated for the treatment of HIV/AIDS, cancer, neurodegenerative diseases, diabetes, auto-immune and other immune dysfunctions, and viral diseases. For products with a new active substance indicated for the treatment of other diseases and products that are highly innovative or for which a centralized process is in the interest of patients, the centralized procedure may be optional on the related approval of the EMA.</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Under the centralized procedure, the EMA’s Committee for Medicinal Products for Human Use (CHMP) is responsible for conducting the assessment of a product. The CHMP is also responsible for several post-authorization and maintenance activities, such as the assessment of modifications or extensions to an existing MA.</w:t>
      </w:r>
    </w:p>
    <w:p>
      <w:pPr>
        <w:spacing w:after="0" w:line="17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Under the centralized procedure in the EU, the maximum timeframe for the evaluation of an MAA is 210 days, excluding clock stops when additional information or written or oral explanation is to be provided by the applicant in response to questions of the CHMP. Accelerated assessment may be granted by the CHMP in exceptional cases, when a medicinal product targeting an unmet medical need is expected to be of major interest from the point of view of public health and in particular from the viewpoint of therapeutic innovation. If the CHMP accepts a request for accelerated assessment, the time limit of 210 days will be reduced to 150 days (not including clock stops). The CHMP can, however, revert to the standard time limit for the centralized procedure if it considers that it is no longer appropriate to conduct an accelerated assessment.</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Unlike the centralized authorization procedure, the decentralized MA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Heads of Medicines Agencies’ Coordination Group for Mutual Recognition and Decentralized Procedures – Human (CMDh) for review. The subsequent decision of the European Commission is binding on all EU member states.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9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mutual recognition procedure allows companies that have a medicinal product already authorized in one EU member state to apply for this authorization to be recognized by the competent authorities in other EU member states. Like the decentralized procedure, the mutual recognition procedure is based on the acceptance by the competent authorities of the EU member states of the MA of a medicinal product by the competent authorities of other EU member states. The holder of a national MA may submit an application to the competent authority of an EU member state requesting that this authority recognize the MA delivered by the competent authority of another EU member state.</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principle, an MA has an initial validity of five years. The MA may be renewed after five years on the basis of a re-evaluation of the risk-benefit balance by the EMA or by the competent authority of the EU member state in which the original MA was granted. To support the application, the MA holder must provide the EMA or the competent authority with a consolidated version of the eCTD (Common Technical Document) providing up-to-date data concerning the quality, safety and efficacy of the product, including all variations introduced since the MA was granted, at least nine months before the MA ceases to be valid. The European Commission or the competent authorities of the EU member states may decide on justified grounds relating to pharmacovigilance, to proceed with one further five-year renewal period for the MA. Once subsequently definitively renewed, the MA shall be valid for an unlimited period. Any authorization which is not followed by the actual placing of the medicinal product on the EU market (in case of centralized procedure) or on the market of the authorizing EU member state within three years after authorization ceases to be valid (the so-called sunset clause).</w:t>
      </w:r>
    </w:p>
    <w:p>
      <w:pPr>
        <w:spacing w:after="0" w:line="19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Innovative products that target an unmet medical need and are expected to be of major public health interest may be eligible for a number of expedited development and review programs, such as the Priority Medicines, or PRIME, scheme, which provides incentives similar to the breakthrough therapy designation in the U.S. PRIME is a voluntary scheme aimed at enhancing the EMA’s support for the development of medicinal products that target unmet medical needs. It permits increased interaction and early dialogue with companies developing promising medicinal products, to optimize their product development plans and speed up their evaluation to help the product reach patients earlier than normal. Product developers that benefit from PRIME designation are potentially eligible for accelerated assessment of their MAA although this is not guaranteed.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w:t>
      </w:r>
    </w:p>
    <w:p>
      <w:pPr>
        <w:spacing w:after="0" w:line="19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the EU, a “conditional” MA may be granted in cases where all the required safety and efficacy data are not yet available. The conditional MA is subject to conditions to be fulfilled for generating the missing data or ensuring increased safety measures. It is valid for one year and must be renewed annually until all related conditions have been fulfilled. Once any pending studies are provided, the conditional MA can be converted into a traditional MA. However, if the conditions are not fulfilled within the timeframe set by the EMA, the MA will cease to be renewed.</w:t>
      </w:r>
    </w:p>
    <w:p>
      <w:pPr>
        <w:spacing w:after="0" w:line="1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An MA may also be granted “under exceptional circumstances” where the applicant can show that it is unable to provide comprehensive data on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 an MA granted in exceptional circumstances is reserved to medicinal products intended to be authorized for treatment of rare diseases or unmet medical needs for which the applicable does not hold a complete data set that is required for the grant of a standard MA. However, unlike the conditional MA, an applicant for authorization in exceptional circumstances is not subsequently required to provide the missing data. Although the MA “under exceptional circumstances” is granted definitively, the risk-benefit balance of the medicinal product is reviewed annually, and the MA is withdrawn in case the risk-benefit ratio is no longer favorable.</w:t>
      </w:r>
    </w:p>
    <w:p>
      <w:pPr>
        <w:spacing w:after="0" w:line="18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to an MA, various other requirements apply to the manufacturing and placing on the EU market of medicinal products. Manufacture of medicinal products in the EU requires a manufacturing authorization, and import of medicinal products into the EU requires a manufacturing authorization allowing for import. The manufacturing authorization holder must comply with various requirements set out in the applicable EU laws, regulations and guidance. These requirements include compliance with EU GMP standards when manufacturing medicinal products and APIs, including the manufacture of APIs outside of the EU with the intention to import the APIs into the Union. Similarly, the distribution of medicinal products within the EU is subject to compliance with the applicable EU laws, regulations and guidelines, including the requirement to hold appropriate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authorizations for distribution granted by the competent authorities of the EU member states. MA holders and/or manufacturing and import authorization, or MIA holders and/or distribution authorization holders may be subject to civil, criminal or administrative sanctions, including suspension of manufacturing authorization, in case of non-compliance with the EU or EU member states’ requirements applicable to the manufacturing of medicinal products.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Data and Market Exclusivity</w:t>
      </w:r>
    </w:p>
    <w:p>
      <w:pPr>
        <w:spacing w:after="0" w:line="22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EU provides opportunities for data and market exclusivity related to MAs. Upon receiving an MA, innovative medicinal products are generally entitled to receive eight years of data exclusivity and 10 years of market exclusivity. Data exclusivity, if granted, prevents regulatory authorities in the EU from referencing the innovator’s data to assess a generic application or biosimilar application for eight years from the date of authorization of the innovative product, after which a generic or biosimilar MAA can be submitted, and the innovator’s data may be referenced. The market exclusivity period prevents a successful generic or biosimilar applicant from commercializing its product in the EU until 10 years have elapsed from the initial MA of the reference product in the EU. The overall ten-year period may, occasionally, be extended for a further year to a maximum of 11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Orphan Medicinal Products</w:t>
      </w:r>
    </w:p>
    <w:p>
      <w:pPr>
        <w:spacing w:after="0" w:line="22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Regulation (EC) No. 141/2000, as implemented by Regulation (EC) No. 847/2000 provides that a medicinal product can be designated as an orphan medicinal product by the European Commission if its sponsor can establish that (1) the product is intended for the diagnosis, prevention or treatment of a life-threatening or chronically debilitating condition; (2) either (a) such condition affects no more than five in ten thousand persons in the EU when the application is made, or (b) the product, without the benefits derived from orphan status, would not generate sufficient return in the EU; and (3) there exists no satisfactory method of diagnosis, prevention or treatment of the condition in question that has been authorized in the EU or, if such method exists, the product will be of significant benefit to those affected by that condition.</w:t>
      </w:r>
    </w:p>
    <w:p>
      <w:pPr>
        <w:spacing w:after="0" w:line="18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the EU, an application for designation as an orphan product can be made any time prior to the filing of the MAA. Orphan medicinal product designation entitles an applicant to incentives such fee reductions or fee waivers, protocol assistance, and access to the centralized MA procedure. Upon grant of an MA, orphan medicinal products are entitled to a ten-year period of exclusivity for the approved therapeutic indication, which means that the EMA cannot accept another MAA, or grant an MA, or accept an application to extend an MA for a similar product for the same indication for a period of ten years. The period of exclusivity is extended by two years for orphan medicinal products that have also complied with an agreed PIP. No extension to any supplementary protection certificate can be granted on the basis of pediatric trials for orphan indications. Orphan medicinal product designation does not convey any advantage in, or shorten the duration of, the regulatory review and approval process.</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period of exclusivity may, however, be reduced to six years if, at the end of the fifth year, it is established that the product no longer meets the criteria on the basis of which it received orphan medicinal product destination,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an MA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A company may voluntarily remove a product from the register of orphan products.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Where an MA is granted in relation to a medicinal product in the EU, the holder of the MA is required to comply with a range of regulatory requirements applicable to the manufacturing, marketing, promotion and sale of medicinal products.</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Similar to the United States, both MA holders and manufacturers of medicinal products are subject to comprehensive regulatory oversight by the EMA, the European Commission and/or the competent regulatory authorities of the individual EU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Coverage, Pricing and Reimbursement outside the United States</w:t>
      </w:r>
    </w:p>
    <w:p>
      <w:pPr>
        <w:spacing w:after="0" w:line="22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Outside the U.S., pharmaceutical companies, products and distributors are also generally subject to extensive governmental price controls and other market regulations. We believe the increasing emphasis on cost-containment initiatives in EEA and other countries has and will continue to put pressure on the pricing and usage of our products. In many countries, the prices of medical products are subject to varying price control mechanisms as part of national health systems that fund a large part of the cost of those products to consumers. Some countries operate positive and negative list systems under which products may only be marketed once a reimbursement price has been agreed. To obtain reimbursement or pricing approval, some of these countries may require the completion of comparative trials that compare the cost effectiveness of a particular product candidate to currently available therapies. Other countries allow companies to fix their own prices for medical products, but monitor and control company profits. Additional price controls in foreign countries or other changes in pricing regulation could restrict the amount that we are able to charge for our products. Accordingly, in markets outside the U.S., the reimbursement for our products may be reduced compared with the U.S. and may be insufficient to generate commercially reasonable revenue and profits.</w:t>
      </w:r>
    </w:p>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abroad, as in the U.S., to control healthcare costs may cause such organizations to limit both coverage and the level of reimbursement for new products approved and, as a result, they may not cover or provide adequate payment for our products. We expect to experience pricing pressures in connection with the sale of any of our products due to the trend toward managed healthcare, the increasing influence of health maintenance organizations and additional legislative changes.</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we are unable to establish or sustain coverage and adequate reimbursement for any of products from third-party payors, the adoption of those products and sales revenue will be adversely affected, which, in turn, could adversely affect the ability to market or sell those product candidates, if approved.</w:t>
      </w:r>
    </w:p>
    <w:p>
      <w:pPr>
        <w:spacing w:after="0" w:line="17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various EEA countries, we expect to be subject to continuous cost-cutting measures, such as lower maximum prices, lower or lack of reimbursement coverage and incentives to use cheaper products as an alternative. Health Technology Assessment, or HTA, of medicinal products is becoming an increasingly common part of the pricing and reimbursement procedures in some EEA countries, including countries representing major markets. The HTA process, which is currently governed by the national laws of these countries,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EEA Member States. On January 31, 2018, the European Commission adopted a proposal for a regulation on health technologies assessment. The proposed regulation is intended to boost cooperation among EEA Member States in assessing health technologies, including new medicinal products, and providing the basis for cooperation at the EEA level for joint clinical assessments in these areas. In June 2021, the European Parliament and Council reached a provisional agreement on the draft regulation. Entry into application of the Regulation could impose stricter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more detailed procedures to be followed by MAHs concerning conduct of HTA in relation to their products which may influence related pricing and reimbursement decisions.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Advertising Regulation</w:t>
      </w:r>
    </w:p>
    <w:p>
      <w:pPr>
        <w:spacing w:after="0" w:line="22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rules, the details are governed by regulations in individual EU member states and can differ from one country to another. Applicable laws require that promotional materials and advertising in relation to medicinal products comply with the product’s Summary of Product Characteristics, or SmPC, as approved by the competent authorities in connection with an MA, therefore all off-label promotion is prohibited. The SmPC is the document that provides information to physicians concerning the safe and effective use of the product. Promotional activity that does not comply with the SmPC is considered off-label and is prohibited in the EU. Direct-to-consumer advertising of prescription medicinal products is also prohibited in the EU.</w:t>
      </w:r>
    </w:p>
    <w:p>
      <w:pPr>
        <w:spacing w:after="0" w:line="19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 Regulation</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For other countries outside of the EU and the United States, such as countries in Eastern Europe, Latin America or Asia, the requirements governing the conduct of clinical trials, product licensing, pricing and reimbursement vary from country to country. Additionally, the clinical trials must be conducted in accordance with GCP requirements and the applicable regulatory requirements and the ethical principles that have their origin in the Declaration of Helsinki.</w:t>
      </w:r>
    </w:p>
    <w:p>
      <w:pPr>
        <w:spacing w:after="0" w:line="180"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Foreign Corrupt Practices Act</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Regulation</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are also subject to numerous federal, state and local laws and foreign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9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to regulation in the United States and the EEA, a variety of foreign regulations govern clinical trials, commercial sales and distribution of drugs. Pharmaceutical firms who wish to market their medicinal drugs outside the EEA and the United States must submit marketing authorization application to the national authorities of the concerned countries, such as the Pharmaceutical and Medical Device Agency, or PMDA in Japan. The approval process varies from jurisdiction to jurisdiction and the time to approval may be longer or shorter than that required by the FDA or European Commission.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are dependent on specialized third parties, who are subject to cGMP requirements and regulations, for the supply and manufacture of sozinibercept drug substance and drug product. We do not have any internal manufacturing and control capabilities. We source the drug substance for sozinibercept and our clinical trials on a purchase order basis. However, we believe that competitive pricing is achieved because there are a number of potential long-term replacements for our suppliers of drug substance.</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October 2013, we entered into a biopharmaceutical manufacturing agreement, or the Patheon Agreement, with Patheon Biologics Company, Australia Pty Ltd. and Patheon Biologics Company B.V., or collectively Patheon now part of ThermoFisher Scientific. The Patheon Agreement establishes the general terms and conditions pursuant to which Patheon or its affiliates will manufacture sozinibercept drug product for us in accordance with cGMP requirements. Under the Patheon Agreement, Patheon granted us a perpetual, royalty-free, fully paid-up, non-exclusive, worldwide, transferable and sublicensable license, under all of Patheon’s intellectual property rights embedded in the development and manufacture process to the extent necessary for developing, making, using and selling sozinibercept.</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Patheon Agreement will expire on the date that all of the manufacturing services to be performed by Patheon are completed. We may terminate the Patheon Agreement for any reason upon prior written notice. Patheon may terminate the Patheon Agreement upon prior written notice if Patheon has not performed any activities under the Patheon Agreement for certain period of time or if, despite Patheon’s commercially reasonably best efforts, Patheon determines that the services cannot be completed according to specifications approved by us or within a reasonable time after the originally planned timeframe. Either party may terminate the Patheon Agreement for the other party’s uncured material breach or bankruptcy. In addition, the Patheon Agreement will terminate if the parties are unable to reach agreement regarding necessary changes to the services based on the results of individual stage of development work. Upon termination of the Patheon Agreement, we are required to pay Patheon for services properly performed, including non-cancelable costs. Based upon the timing of the termination, we may also be required to pay Patheon certain close out cost for canceled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of June 30, 2024, we had 34 full-time employees, fifteen of whom had an M.D. or Ph.D. degree. None of our employees are represented by collective bargaining agreements. We believe that our management maintains good relations with our employees. As of June 30, 2024, our employees were based in Australia (8) and United States (24), with 27 employees in our research and development and commercialization department and seven employees in our general and administrative department.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currently not a party to any material legal proceedings.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9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4C.</w:t>
      </w:r>
      <w:r>
        <w:rPr>
          <w:sz w:val="20"/>
          <w:szCs w:val="20"/>
          <w:color w:val="auto"/>
        </w:rPr>
        <w:tab/>
      </w: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Opthea Limited is the parent company of two wholly-owned subsidiaries for which it holds 100% of the voting power: Vegenics Pty Ltd, incorporated in Australia in January 2006 and Opthea US Inc, incorporated in the United States in May 2021.</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4D.</w:t>
      </w:r>
      <w:r>
        <w:rPr>
          <w:sz w:val="20"/>
          <w:szCs w:val="20"/>
          <w:color w:val="auto"/>
        </w:rPr>
        <w:tab/>
      </w: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occupy approximately 1,938 square feet of office space in South Yarra, Victoria, Australia under a lease that expires in July 2025. We believe that our existing facilities are adequate to meet our current needs and that suitable additional alternative facilities will be available in the future on commercially reasonable terms to meet our future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Operating and Financial Review and Prospects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following “Operating and Financial Review and Prospects” should be read together with our consolidated financial statements and the accompanying notes included elsewhere in this annual report. The following discussion is based on our financial information prepared in accordance with IFRS, as issued by the IASB, which might differ in material respects from accounting principles generally accepted in other jurisdictions, including U.S. GAAP. This discussion includes both historical information and forward-looking information based upon current expectations that involve risk, uncertainties and assumptions. Our actual results may differ materially from management’s expectations as a result of various factors, including, but not limited to, those discussed in “Risk Factors” and elsewhere in this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a novel therapy for the treatment of highly prevalent and progressive retinal diseases. We are developing our Phase 3-ready product candidate, sozinibercept, a biologic drug designed to inhibit VEGF-C and VEGF-D, to complement VEGF-A inhibitors for the treatment of ophthalmic diseases. Anti-VEGF-A therapies represent the standard of care for wet age-related macular degeneration, or AMD, and other retinal diseases; however, there remains a significant unmet medical need as many patients do not adequately respond to these treatments. As the only biologic inhibitor of VEGF-C and VEGF-D in clinical development, sozinibercept differs from standard of care therapies and when administered in combination with a VEGF-A inhibitor, is designed to achieve broader inhibition of the vascular endothelial growth factor, or VEGF, family and target a mechanism of clinical resistance to improve visual acuity. Our lead indication for sozinibercept combination therapy is wet AMD, a chronic, progressive disease and the leading cause of vision loss for individuals over the age of 50. In a 366-patient Phase 2b clinical trial for the treatment of wet AMD, 2.0 mg sozinibercept, in combination with a standard of care anti-VEGF-A therapy, ranibizumab (Lucentis), met the primary endpoint of a statistically significant superior mean gain in visual acuity over ranibizumab monotherapy at week 24. We initiated two pivotal Phase 3 clinical trials in treatment-naive patients with wet AMD to evaluate the efficacy and safety of sozinibercept in combination with anti-VEGF-A therapies compared to anti-VEGF-A monotherapy. In total, we enrolled 1,984 patients across the COAST (n=998) and ShORe (n=986) trials, with patients recruited from more than 20 countries worldwide. Based on the completion of enrollment in COAST in February 2024 and ShORe in May 2024, the 52-week top-line data readout of COAST is anticipated early in the second calendar quarter of 2025, and the topline data readout for ShORe is anticipated in mid-calendar year 2025. In addition to our clinical trials in wet AMD, we have observed evidence of improved clinical outcomes in a Phase 1b/2a clinical trial of sozinibercept in combination with another standard of care anti-VEGF-A therapy, aflibercept (Eylea), in patients with treatment-refractory diabetic macular edema, or DME. We retain worldwide rights to develop and commercialize sozinibercept for the treatment of wet AMD and DME and believe that the novel treatment mechanism of sozinibercept has the potential to provide therapeutic benefit for other progressive eye diseases.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9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were founded in 1984 and completed our initial public offering and listing of ordinary shares on the Australian Securities Exchange in 1985. In October 2020, we completed a U.S, initial public offering of ADSs on Nasdaq. In April 2007, we acquired intellectual property relating to VEGF receptor 3 and subsequently developed the intellectual property for our lead product candidate, sozinibercept. Our development focus on the treatment of retinal diseases began in 2013. Since then, we have devoted substantially all of our efforts to organizing and staffing our company, business planning, raising capital, developing and manufacturing our lead product candidate, sozinibercept, conducting research and development activities, including preclinical studies and clinical trials, and providing general and administrative support for these operations. Our operations relating to the development of sozinibercept have been financed primarily through the issuance and sale of new ordinary shares totaling US$377.3 million through June 30, 2024. We have also received an aggregate of US$36.1 million (A$44.4 million) in cash tax incentives for the five fiscal years ended June 30, 2024 under the Research and Development, or R&amp;D, Tax Incentive Scheme for the funding of the development of and clinical trials for sozinibercept.</w:t>
      </w:r>
    </w:p>
    <w:p>
      <w:pPr>
        <w:spacing w:after="0" w:line="18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have incurred operating losses since 2013. Our ability to generate product revenue sufficient to achieve profitability will be dependent on the successful development and eventual commercialization of sozinibercept and any future product candidates. Our total comprehensive loss was US$92.8 million, US$142.5 million, and US$220.2 million for the years ended June 30, 2022, 2023 and 2024, respectively. As of June 30, 2024, we had an accumulated loss of US$579.7 million. We expect to continue to incur significant expenses for at least the next several years as we advance sozinibercept through late-stage clinical development, including our pivotal Phase 3 trials of sozinibercept in combination with anti-VEGF-A therapy for the treatment of wet AMD, and, if these results are favorable, seek regulatory approval for sozinibercept. In addition, we may also pursue development of sozinibercept for the treatment of additional indications, including DME, retinal vein occlusion and other indications in which sozinibercept has the potential to provide therapeutic benefit. In addition, if we obtain marketing approval for sozinibercept, we expect to incur significant commercialization expenses related to product manufacturing, marketing, sales and distribution. As a company whose ADSs are publicly traded in the United States, we have incurred and will continue to incur additional costs associated with operating as a public company in the United States, including significant additional legal, accounting, investor relations, compliance and other expenses.</w:t>
      </w:r>
    </w:p>
    <w:p>
      <w:pPr>
        <w:spacing w:after="0" w:line="19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complete the ongoing Phase 3 trials and report top-line data to support our continuing operations and pursue our growth strategy. Until such time as we can generate significant revenue from product sales, if ever, we expect to finance our operations through the sale of equity, debt financings, or other capital sources, which may include collaborations with other companies or other strategic transactions as well as Australian research and development tax incentives.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sozinibercept.</w:t>
      </w:r>
    </w:p>
    <w:p>
      <w:pPr>
        <w:spacing w:after="0" w:line="187"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biopharmaceutical product candidates, we are unable to predict the timing or amount of increased expenses or when or if we will be able to achieve or maintain profitability. Even if we are able to generate product sales, we may never become profitable. If we fail to become profitable or are unable to sustain profitability on a continuing basis, then we may be unable to continue our operations at planned levels and be forced to scale back or discontinue our operations.</w:t>
      </w:r>
    </w:p>
    <w:p>
      <w:pPr>
        <w:spacing w:after="0" w:line="1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August 24, 2023, we announced a A$80.0 million capital raise consisting of an A$10.0 million private placement ("2023 Placement") and a A$70.0 million fully underwritten accelerated non-renounceable entitlement offer (“2023 ANREO”). On August 28, 2023, Opthea announced an increase in the 2023 Placement by a further A$10.0 million to increase the overall raise to A$90.0 million (approximately US$58.2 million). The Placement and the fully underwritten institutional component of the ANREO, which closed on August 25, 2023, together raised approximately A$73.7 million (approximately US$47.7 million) and the fully underwritten retail component of the 2023 ANREO, which closed in September 21, 2023, raised approximately A$16.3 million (approximately US$10.5 million). The A$90.0 million (US$58.2 million) proceeds from the 2023 Placement and 2023 ANREO will be used to continue advancing the clinical development of sozinibercept for the treatment of wet age related macular degeneration (wet AMD) including to progress our Phase 3 clinical trials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December 2023, we received US$35.0 million from Ocelot SPV LP (“Ocelot”), an affiliate of Carlyle and Abingworth, for the third tranche of funding under the Development Funding Agreement, as amended (the “DFA,” or “Funding Agreement”). In addition, we received additional funding of US$50.0 million from a new co-Investor (together with Ocelot, the “Investors”), bringing the total funding received under the Funding Agreement to US$170.0 million, the maximum amount allowed under the terms of the Funding Agreement. As such, we no longer have any committed external source of funds. If sozinibercept is approved in a major market (as defined in the Funding Agreement), within 90 days of approval, we must make a fixed payment to the Investors followed by six annual payments. The Investors will also receive a variable payment of 7% of net sales. To date, the Investors have invested $170 million. If sozinibercept is approved, the Investors will receive four times invested capital, or $680.0 million over approximately six years. We anticipate that profits generated by the sales of sozinibercept should be able to fund this repayment, however there can be no assurances that we will have sufficient cash resources to repay this amount when it is due.</w:t>
      </w:r>
    </w:p>
    <w:p>
      <w:pPr>
        <w:spacing w:after="0" w:line="21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June 2024, Opthea announced a non-underwritten institutional placement (“2024 Placement”) and partially underwritten ANREO of A$227.3 million (approximately US$151.9 million), which was completed in July 2024. On June 14, 2024, we announced the completion of the Placement and the partially underwritten institutional component of the ANREO, which together raised approximately A$171.5 million (approximately US$114.3 million). On June 19, 2024, we announced the opening of the fully underwritten retail component of the 2024 ANREO to raise approximately A$55 million (approximately US$37.6 million), which was completed on July 17, 2024. See Note 39, Events after the Balance Sheet Date, for more information. The proceeds from the 2024 Placement and 2024 ANREO will be used to continue advancing the clinical development of sozinibercept for the treatment of wet-age related macular degeneration (wet AMD), including to progress our Phase 3 clinical trials and for general corporate purposes.</w:t>
      </w:r>
    </w:p>
    <w:p>
      <w:pPr>
        <w:spacing w:after="0" w:line="21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 of June 30, 2024, we had cash and cash equivalents of US$172.5 million. We believe that our existing cash and cash equivalents as of June 30, 2024, as well as proceeds of approximately US$37.6 million from the 2024 fully underwritten retail component of the 2024 ANREO, will enable us to fund our operating and research and development expenses into the third calendar quarter of 2025 and through the anticipated topline data readouts dates for our Phase 3 clinical trials. However, such proceeds will not be sufficient to fully fund all anticipated costs of the Phase 3 clinical trials and Opthea will require additional funding to reach commercialization of Sozinibercept in any indication, including wet AMD. In addition, as a result of among other things, certain obligations under the Funding Agreement and applicable law regarding liquidity, we expect to raise or obtain additional capital from external sources, in on or more transactions, earlier than the third calendar quarter of 2025 or anticipated topline data readout dates of our Phase 3 clinical trials. In addition, the forecast of our cash runway, following receipt of the proceeds from the 2024 Equity Offering, is subject to a number of assumptions, including assumptions and forecasts regarding Clinical Research Organization (“CRO”), CDMO and labor costs, costs to retain and attract any required personnel, and costs to engage additional consultants and advisors. We have in the past incurred significantly increased costs in connection with the activities conducted by third party CROs, CDMOs and other service providers to prepare for and progress our Phase 3 clinical trials, and may continue to incur higher than expected costs for such activities in the future, including due to factors outside our control.</w:t>
      </w:r>
    </w:p>
    <w:p>
      <w:pPr>
        <w:spacing w:after="0" w:line="21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amounts and timings of our expenditures will depend upon and have been impacted in the past, and may continue to be impacted by, numerous factors, including historical or future delays in completing our clinical trials, particularly as it relates to enrollment, the timing of regulatory submissions, the performance and costs efficiency of CROs and any continuing impacts of the COVID-19 pandemic, the global supply chain and macroeconomic challenges. In particular, delays in patient enrollment have in the past resulted, and may in the future result in increased costs or delays and other impacts on the timing of our Phase 3 clinical trials. We have in the past incurred significantly increased costs in connection with the activities conducted by third party CROs, CDMOs and other service providers to prepare for and progress our Phase 3 clinical trials, and may continue to incur higher than expected costs for such activities in the future. We have based this estimate on assumptions that may prove to be wrong, and we could exhaust our available capital resources sooner than we expect. We may also experience future delays in our clinical development or commercialization of sozinibercept for an indication, including due to factors and conditions set forth above or other factors that we cannot presently anticipate. We intend to focus our development efforts on achieving commercialization of sozinibercept for the treatment of wet AMD, and we will require additional funding to reach commercialization of sozinibercept in any indication, including wet AMD. In addition, we may require additional external funding to meet the minimum cash condition under the Funding Agreement or to pay for development and commercialization costs in excess of funding received under the Funding Agreement, including prior to the readout of top-line results for our Phase 3 clinical trials for sozinibercept for the treatment of wet AMD.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1" w:name="page122"/>
    <w:bookmarkEnd w:id="121"/>
    <w:p>
      <w:pPr>
        <w:spacing w:after="0" w:line="19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will need to raise significant additional funds to complete both trials’ two-year efficacy and safety phase, file a biologics license application with the FDA and EMA, potentially launch Sozinibercept, if approved, and meet the obligations under the Funding Agreement including the minimum cash condition and payment of development and commercialization costs in excess of funding received under the Funding Agreement. As a result of, among other things, certain obligations under the Funding Agreement, and applicable law regarding liquidity we expect to raise or obtain additional capital from external sources earlier than the third calendar quarter of 2025 or anticipated topline data readout dates of our Phase 3 clinical trials. See “—Liquidity and Capital Resources.”</w:t>
      </w:r>
    </w:p>
    <w:p>
      <w:pPr>
        <w:spacing w:after="0" w:line="1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5A.</w:t>
      </w:r>
      <w:r>
        <w:rPr>
          <w:sz w:val="20"/>
          <w:szCs w:val="20"/>
          <w:color w:val="auto"/>
        </w:rPr>
        <w:tab/>
      </w:r>
      <w:r>
        <w:rPr>
          <w:rFonts w:ascii="Times New Roman" w:cs="Times New Roman" w:eastAsia="Times New Roman" w:hAnsi="Times New Roman"/>
          <w:sz w:val="18"/>
          <w:szCs w:val="18"/>
          <w:b w:val="1"/>
          <w:bCs w:val="1"/>
          <w:color w:val="auto"/>
        </w:rPr>
        <w:t>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Revenue consists of sales-based royalties in connection with the out-licensing of certain intellectual property assets that are unrelated to our core business and the development of sozinibercept and are not currently under development. These licenses are primarily used by third-party licensees for research purposes, and we expect revenue from these out-licensing arrangements to be nominal in future periods. These are variable consideration amounts and are recognized when the sales by our license partners to third parties occur, as the performance obligation to transfer the intellectual property to the license partner is already satisfied.</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To date, we have not generated any revenue from sales of approved products. Because of the numerous risks and uncertainties associated with product development and regulatory approval, we are unable to predict the amount, timing or whether we will be able to obtain revenue from sales of approved products, and we may never succeed in obtaining regulatory approval for sozinibercept or any other product candidate. If our development efforts for sozinibercept are successful and result in an approved and marketed product, or if we enter into additional collaboration or license agreements with third parties, we may generate revenue in the future from a combination of product sales or payments from such collaboration or license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income primarily comprises funding under a one-time Australian government grant and the Australian Tax Office.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Research and development expenses comprise the research project costs related to the development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clinical trials, for sozinibercept for the treatment of wet AMD and DME. R&amp;D expenses also include:</w:t>
      </w:r>
    </w:p>
    <w:p>
      <w:pPr>
        <w:spacing w:after="0" w:line="160" w:lineRule="exact"/>
        <w:rPr>
          <w:sz w:val="20"/>
          <w:szCs w:val="20"/>
          <w:color w:val="auto"/>
        </w:rPr>
      </w:pPr>
    </w:p>
    <w:p>
      <w:pPr>
        <w:ind w:left="760" w:hanging="378"/>
        <w:spacing w:after="0" w:line="282"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clinical development of our product candidates, including under agreements with third parties, such as consultants and CROs;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and purchasing drug products for use in our clinical trials, including under agreements with third parties, such as consultants and CDMOs;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or allocated expenses for rent, maintenance of facilities and insurance;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expenses for all R&amp;D staff;</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insurance.</w:t>
      </w:r>
    </w:p>
    <w:p>
      <w:pPr>
        <w:spacing w:after="0" w:line="225"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We expense R&amp;D costs as incurred and have not capitalized any amounts of R&amp;D costs as of June 30, 2023 and 2024. In the years ended June 30, 2022, 2023 and 2024, we have made advance payments for R&amp;D activities that will be provided by our CROs in future periods for use in R&amp;D activities.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9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direct R&amp;D expenses are tracked on a program-by-program basis for our product candidate and consist primarily of R&amp;D employee-based benefits, external costs, such as fees paid to CROs, CDMOs, research laboratories and outside consultants in connection with our process development, manufacturing and clinical development activities. We do not allocate laboratory supplies and facilities, including depreciation and other indirect costs, to specific programs because these costs are deployed across multiple development activities and indications for sozinibercept and, as such, are not separately classified. We use internal resources primarily to conduct our research activities as well as for managing our process development, manufacturing and clinical development activities. These employees work across multiple development programs and, therefore, we do not track these costs by program.</w:t>
      </w:r>
    </w:p>
    <w:p>
      <w:pPr>
        <w:spacing w:after="0" w:line="18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R&amp;D expenses in fiscal years after June 30, 2024 are expected to comprise costs of a similar nature to that recorded to date. Product candidates in later stages of clinical development, such as sozinibercept, generally have higher development costs than those in earlier stages of clinical development, primarily due to the increased size and duration of later-stage clinical trials. We expect that our R&amp;D expenses will increase in connection with our planned clinical development, manufacturing and regulatory approval activities in the near term and in the future, including as we continue our pivotal Phase 3 clinical trials of sozinibercept in combination with anti-VEGF-A therapy for the treatment of wet AMD.</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At this time, we cannot accurately estimate or know the nature, timing and costs of the efforts that will be necessary to complete the clinical development of sozinibercept and any future product candidates. We may never succeed in achieving regulatory approval for any of our product candidates. The duration, costs and timing of clinical trials and development of our product candidates will depend on a variety of factors, including:</w:t>
      </w:r>
    </w:p>
    <w:p>
      <w:pPr>
        <w:spacing w:after="0" w:line="176" w:lineRule="exact"/>
        <w:rPr>
          <w:sz w:val="20"/>
          <w:szCs w:val="20"/>
          <w:color w:val="auto"/>
        </w:rPr>
      </w:pPr>
    </w:p>
    <w:p>
      <w:pPr>
        <w:ind w:left="760" w:hanging="378"/>
        <w:spacing w:after="0" w:line="282" w:lineRule="auto"/>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our planned clinical trials as well as other R&amp;D activities, including any impacts of the COVID-19 pandemic and macroeconomic challenges such as inflationary pressures and supply chain disruptions;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regulatory approvals;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maintaining, prosecuting, defending and enforcing patent claims and other intellectual property rights;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raise necessary additional funds;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third-party insurance coverage and adequate reimbursement;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market, commercialize and achieve market acceptance for any products that receive regulatory approval;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sozinibercept combination therapy following approval in any indication; and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agreements with third-party suppliers and manufacturers for clinical supply and commercial manufacturing of sozinibercept, or any other product candidate, if approved.</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factors with respect to the development of sozinibercept could significantly change the duration, costs and timing associated with clinical trials and development of sozinibercept.</w:t>
      </w:r>
    </w:p>
    <w:p>
      <w:pPr>
        <w:spacing w:after="0" w:line="160"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Patent and Intellectual Property Expenses</w:t>
      </w:r>
      <w:r>
        <w:rPr>
          <w:rFonts w:ascii="Times New Roman" w:cs="Times New Roman" w:eastAsia="Times New Roman" w:hAnsi="Times New Roman"/>
          <w:sz w:val="18"/>
          <w:szCs w:val="18"/>
          <w:color w:val="auto"/>
        </w:rPr>
        <w:t>. Patent and Intellectual Property expenses comprise the cost of outside patent attorneys to manage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prosecute our patent portfolio.- license and patent assignment costs in respect of our in-license agreements for certain technologies not currently under development and unrelated to our out-licensing arrangements under which we receive sales-based royalties.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9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Administrative Expenses</w:t>
      </w:r>
      <w:r>
        <w:rPr>
          <w:rFonts w:ascii="Times New Roman" w:cs="Times New Roman" w:eastAsia="Times New Roman" w:hAnsi="Times New Roman"/>
          <w:sz w:val="18"/>
          <w:szCs w:val="18"/>
          <w:color w:val="auto"/>
        </w:rPr>
        <w:t>. Administrative expenses comprise employee benefit expenses, including share-based payment expenses; investor relations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insurance costs; audit, accountancy and legal fees; other personnel-related expenses; and depreciation expense. We anticipate that our administrative expenses will increase in the future as we increase our headcount to support development of sozinibercept and our continued research activities. We also anticipate that we will incur increased accounting, audit, legal, regulatory, compliance and director and officer insurance costs as well as investor and public relations expenses associated with being a public company in the United States.</w:t>
      </w:r>
    </w:p>
    <w:p>
      <w:pPr>
        <w:spacing w:after="0" w:line="183"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Occupancy Expenses</w:t>
      </w:r>
      <w:r>
        <w:rPr>
          <w:rFonts w:ascii="Times New Roman" w:cs="Times New Roman" w:eastAsia="Times New Roman" w:hAnsi="Times New Roman"/>
          <w:sz w:val="18"/>
          <w:szCs w:val="18"/>
          <w:color w:val="auto"/>
        </w:rPr>
        <w:t>. Occupancy expenses represent the costs relating to our headquarters in Melbourne, Australia, including lease maintenance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incidental costs.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 – Interest income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Finance income primarily comprises of income from interest on bank deposits.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Foreign Exchange Gain (Loss)</w:t>
      </w:r>
    </w:p>
    <w:p>
      <w:pPr>
        <w:spacing w:after="0" w:line="22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Net foreign exchange gain (loss) represents the impact of the variance in exchange rates between the U.S. dollar and the Australian dollar, Euro, British Pound and Canadian dollar on our cash and cash equivalents, financial assets, financial liabilities and foreign currency denominated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Income tax benefit represents the cash incentive amount receivable under the R&amp;D Tax Incentive Scheme, an Australian Federal Government program under which eligible companies with annual aggregated revenue of less than A$20.0 million can receive cash amounts equal to 43.5% of eligible R&amp;D expenditures from the Australian Taxation Office, or the ATO. The ATO may also make other changes to the eligibility of R&amp;D expenditures, including placing a cap on the amount of non-clinical trial R&amp;D expenses claimed under the scheme.</w:t>
      </w:r>
    </w:p>
    <w:p>
      <w:pPr>
        <w:spacing w:after="0" w:line="1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R&amp;D Tax Incentive Scheme incentive relates to eligible expenditures incurred in Australia and, under certain circumstances, in other countries in connection with the development of sozinibercept. The R&amp;D tax incentive is applied annually to eligible expenditures incurred during the fiscal year following an annual application and subsequent filing of our income tax return subsequent to fiscal year end. We estimate the amount of R&amp;D tax incentive after the completion of a fiscal year based on eligible Australia and overseas expenditures incurred during that year. We expect to continue applying for the R&amp;D tax incentive as we further develop sozinibercept. In particular, we intend to apply for the costs expected to be incurred in Australia related to our pivotal Phase 3 clinical trials of sozinibercept in combination with anti-VEGF-A therapy for the treatment of wet AMD to be eligible for the R&amp;D tax incentive for future fiscal years once incurred. However, there can be no assurance that the ATO will allow these costs to be eligible for the tax incentive.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Fiscal Years Ended June 30, 2022, 2023 and 2024</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statement of profit or loss and other comprehensive income for the periods presented. In the current year the Group changed its presentation in the consolidated statement of profit or loss and other comprehensive income to reflect expenses by business function. Prior year comparative amounts have been reclassified to conform with the updated presentation in the consolidated statement of profit or loss and other comprehensive income.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6"/>
                <w:szCs w:val="16"/>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348"/>
        </w:trPr>
        <w:tc>
          <w:tcPr>
            <w:tcW w:w="6580" w:type="dxa"/>
            <w:vAlign w:val="bottom"/>
          </w:tcPr>
          <w:p>
            <w:pPr>
              <w:spacing w:after="0"/>
              <w:rPr>
                <w:sz w:val="24"/>
                <w:szCs w:val="24"/>
                <w:color w:val="auto"/>
              </w:rPr>
            </w:pP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US$</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169"/>
        </w:trPr>
        <w:tc>
          <w:tcPr>
            <w:tcW w:w="658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0"/>
                <w:szCs w:val="20"/>
                <w:color w:val="auto"/>
              </w:rPr>
            </w:pPr>
          </w:p>
        </w:tc>
      </w:tr>
      <w:tr>
        <w:trPr>
          <w:trHeight w:val="241"/>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1"/>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 (included amounts owed by related parties $3,042</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(2023: $900)) </w:t>
            </w:r>
            <w:r>
              <w:rPr>
                <w:rFonts w:ascii="Times New Roman" w:cs="Times New Roman" w:eastAsia="Times New Roman" w:hAnsi="Times New Roman"/>
                <w:sz w:val="14"/>
                <w:szCs w:val="14"/>
                <w:color w:val="auto"/>
              </w:rPr>
              <w:t>1</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(176,326 )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(128,829 )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(81,445 )</w:t>
            </w:r>
          </w:p>
        </w:tc>
      </w:tr>
      <w:tr>
        <w:trPr>
          <w:trHeight w:val="245"/>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Administrative expenses </w:t>
            </w:r>
            <w:r>
              <w:rPr>
                <w:rFonts w:ascii="Times New Roman" w:cs="Times New Roman" w:eastAsia="Times New Roman" w:hAnsi="Times New Roman"/>
                <w:sz w:val="14"/>
                <w:szCs w:val="14"/>
                <w:color w:val="auto"/>
              </w:rPr>
              <w:t>1</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(15,778 )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(21,582 )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(15,291 )</w:t>
            </w:r>
          </w:p>
        </w:tc>
      </w:tr>
      <w:tr>
        <w:trPr>
          <w:trHeight w:val="20"/>
        </w:trPr>
        <w:tc>
          <w:tcPr>
            <w:tcW w:w="658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(192,104 )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(150,411 )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(96,736 )</w:t>
            </w:r>
          </w:p>
        </w:tc>
      </w:tr>
      <w:tr>
        <w:trPr>
          <w:trHeight w:val="20"/>
        </w:trPr>
        <w:tc>
          <w:tcPr>
            <w:tcW w:w="65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(191,842 )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(150,026 )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(96,537 )</w:t>
            </w:r>
          </w:p>
        </w:tc>
      </w:tr>
      <w:tr>
        <w:trPr>
          <w:trHeight w:val="234"/>
        </w:trPr>
        <w:tc>
          <w:tcPr>
            <w:tcW w:w="6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240" w:type="dxa"/>
            <w:vAlign w:val="bottom"/>
            <w:tcBorders>
              <w:top w:val="single" w:sz="8" w:color="CFF0FC"/>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200" w:type="dxa"/>
            <w:vAlign w:val="bottom"/>
            <w:tcBorders>
              <w:top w:val="single" w:sz="8" w:color="CFF0FC"/>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top w:val="single" w:sz="8" w:color="CFF0FC"/>
            </w:tcBorders>
          </w:tcPr>
          <w:p>
            <w:pPr>
              <w:spacing w:after="0"/>
              <w:rPr>
                <w:sz w:val="20"/>
                <w:szCs w:val="20"/>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on DFA</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(30,263 )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(13,462 )</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remeasurement of financial liability - DFA</w:t>
            </w:r>
            <w:r>
              <w:rPr>
                <w:rFonts w:ascii="Times New Roman" w:cs="Times New Roman" w:eastAsia="Times New Roman" w:hAnsi="Times New Roman"/>
                <w:sz w:val="14"/>
                <w:szCs w:val="14"/>
                <w:color w:val="auto"/>
              </w:rPr>
              <w:t>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2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loss on derivative - investor options</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(11,224 )</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foreign exchange(loss)/gain</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(489 )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(2,814 )</w:t>
            </w:r>
          </w:p>
        </w:tc>
      </w:tr>
      <w:tr>
        <w:trPr>
          <w:trHeight w:val="20"/>
        </w:trPr>
        <w:tc>
          <w:tcPr>
            <w:tcW w:w="65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(229,654 )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(148,447 )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(99,116 )</w:t>
            </w: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9,412</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00" w:type="dxa"/>
            <w:vAlign w:val="bottom"/>
          </w:tcPr>
          <w:p>
            <w:pPr>
              <w:spacing w:after="0"/>
              <w:rPr>
                <w:sz w:val="20"/>
                <w:szCs w:val="20"/>
                <w:color w:val="auto"/>
              </w:rPr>
            </w:pPr>
          </w:p>
        </w:tc>
      </w:tr>
      <w:tr>
        <w:trPr>
          <w:trHeight w:val="278"/>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(220,242 )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(142,521 )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(92,817 )</w:t>
            </w:r>
          </w:p>
        </w:tc>
      </w:tr>
      <w:tr>
        <w:trPr>
          <w:trHeight w:val="221"/>
        </w:trPr>
        <w:tc>
          <w:tcPr>
            <w:tcW w:w="6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for the period, net of tax</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for the year</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(220,242 )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(142,521 )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(92,817 )</w:t>
            </w:r>
          </w:p>
        </w:tc>
      </w:tr>
      <w:tr>
        <w:trPr>
          <w:trHeight w:val="20"/>
        </w:trPr>
        <w:tc>
          <w:tcPr>
            <w:tcW w:w="65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-2108200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-2108200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-1782445</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-1782445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-521970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-505460</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-521970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-505460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-187960</wp:posOffset>
            </wp:positionV>
            <wp:extent cx="774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8" w:lineRule="exact"/>
        <w:rPr>
          <w:sz w:val="20"/>
          <w:szCs w:val="20"/>
          <w:color w:val="auto"/>
        </w:rPr>
      </w:pPr>
    </w:p>
    <w:p>
      <w:pPr>
        <w:ind w:left="180" w:hanging="172"/>
        <w:spacing w:after="0"/>
        <w:tabs>
          <w:tab w:leader="none" w:pos="18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Figures have been reclassified as described in Note 3 to the consolidated financial statements.</w:t>
      </w:r>
    </w:p>
    <w:p>
      <w:pPr>
        <w:spacing w:after="0" w:line="29" w:lineRule="exact"/>
        <w:rPr>
          <w:rFonts w:ascii="Times New Roman" w:cs="Times New Roman" w:eastAsia="Times New Roman" w:hAnsi="Times New Roman"/>
          <w:sz w:val="18"/>
          <w:szCs w:val="18"/>
          <w:i w:val="1"/>
          <w:iCs w:val="1"/>
          <w:color w:val="auto"/>
        </w:rPr>
      </w:pPr>
    </w:p>
    <w:p>
      <w:pPr>
        <w:ind w:left="180" w:hanging="172"/>
        <w:spacing w:after="0"/>
        <w:tabs>
          <w:tab w:leader="none" w:pos="18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Figures have been reclassified as described in Note 13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23742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Revenue was US$125 thousand for the fiscal year ended June 30, 2024, compared to US$108 thousand for the fiscal year ended June 30, 2023. This increase was due to higher sales-based royalties received under our out-licensing arrangements. Revenue for the years ended June 30, 2024 and 2023 consisted of sales-based royalties in connection with the out-licensing of certain intellectual property assets that are unrelated to our core business and the development of sozinibercept which are not currently under development.</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Revenue was US$108 thousand for the fiscal year ended June 30, 2023, compared to US$91 thousand for the fiscal year ended June 30, 2022. This increase was due to higher sales-based royalties received under our out-licensing arrangements. Revenue for the years ended June 30, 2023 and 2022 consisted of sales-based royalties in connection with the out-licensing of certain intellectual property assets that are unrelated to our core business and the development of sozinibercept which are not currently under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income was US$137 thousand for the fiscal year ended June 30, 2024, compared to US$277 thousand for the fiscal year ended June 30, 2023.</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income was US$277 thousand for the fiscal year ended June 30, 2023, compared to US$108 thousand for the fiscal year ended June 30,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US$176.3 million for the fiscal year ended June 30, 2024, compared to US$128.8 million for the fiscal year ended June 30, 2023. This increase was primarily due to costs relating to our Phase 3 clinical trial of sozinibercept in combination with anti-VEGF-A therapy for the treatment of wet AMD, particularly with the completion of enrollment of the global Phase 3 trials, the expansion of our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clinical team, and chemistry, manufacturing and controls costs incurred during the fiscal year ended June 30, 2024 relative to costs incurred during the fiscal year ended June 30, 2023.</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US$128.8 million for the fiscal year ended June 30, 2023, compared to US$81.4 million for the fiscal year ended June 30, 2022. This increase was primarily due to costs relating to our Phase 3 clinical trial of sozinibercept in combination with anti-VEGF-A therapy for the treatment of wet AMD and chemistry and manufacturing and controls costs incurred during the fiscal year ended June 30, 2023 relative to costs incurred during the fiscal year ended June 30, 2022.</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are broken down as set forth in the table below. Both Financial Years 2023 and 2022 have been retrospectively reclassified to conform with the 2024 classification:</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40" w:type="dxa"/>
            <w:vAlign w:val="bottom"/>
            <w:gridSpan w:val="2"/>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580" w:type="dxa"/>
            <w:vAlign w:val="bottom"/>
            <w:gridSpan w:val="2"/>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348"/>
        </w:trPr>
        <w:tc>
          <w:tcPr>
            <w:tcW w:w="654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r>
      <w:tr>
        <w:trPr>
          <w:trHeight w:val="259"/>
        </w:trPr>
        <w:tc>
          <w:tcPr>
            <w:tcW w:w="654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2"/>
                <w:szCs w:val="22"/>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1"/>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related to the ShORe Phase 3 clinical trial of sozinibercept in wet AMD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59,472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36,675</w:t>
            </w:r>
          </w:p>
        </w:tc>
        <w:tc>
          <w:tcPr>
            <w:tcW w:w="100" w:type="dxa"/>
            <w:vAlign w:val="bottom"/>
          </w:tcPr>
          <w:p>
            <w:pPr>
              <w:spacing w:after="0"/>
              <w:rPr>
                <w:sz w:val="20"/>
                <w:szCs w:val="20"/>
                <w:color w:val="auto"/>
              </w:rPr>
            </w:pPr>
          </w:p>
        </w:tc>
      </w:tr>
      <w:tr>
        <w:trPr>
          <w:trHeight w:val="250"/>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related to the COAST Phase 3 clinical trial of sozinibercept in wet AMD</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69,947</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50,544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27,520</w:t>
            </w: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related to the Phase 2b clinical trial of sozinibercept in wet AMD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related to the Phase 1b/2a clinical trial of sozinibercept in DME</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Chemistry manufacturing and controls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14,430</w:t>
            </w:r>
          </w:p>
        </w:tc>
        <w:tc>
          <w:tcPr>
            <w:tcW w:w="100" w:type="dxa"/>
            <w:vAlign w:val="bottom"/>
          </w:tcPr>
          <w:p>
            <w:pPr>
              <w:spacing w:after="0"/>
              <w:rPr>
                <w:sz w:val="20"/>
                <w:szCs w:val="20"/>
                <w:color w:val="auto"/>
              </w:rPr>
            </w:pPr>
          </w:p>
        </w:tc>
      </w:tr>
      <w:tr>
        <w:trPr>
          <w:trHeight w:val="243"/>
        </w:trPr>
        <w:tc>
          <w:tcPr>
            <w:tcW w:w="6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direct non-clinical expenses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9,197</w:t>
            </w:r>
          </w:p>
        </w:tc>
        <w:tc>
          <w:tcPr>
            <w:tcW w:w="2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176,326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128,829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81,445</w:t>
            </w:r>
          </w:p>
        </w:tc>
        <w:tc>
          <w:tcPr>
            <w:tcW w:w="10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-187960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Administrative expenses were US$15.8 million for the fiscal year ended June 30, 2024, compared to US$21.6 million for the year ended June 30, 2023. This decrease was primarily due to US$5.7 million in professional and advisory fees that were incurred in fiscal year ended June 30, 2023 and a decrease of US$1.2 million for insurance and consultancy costs in fiscal year ended June 30, 2024 offset by an US$1.1 million increase in personnel-related expenses, resulting from increased headcount as we built out the US management team in the fiscal year ended June 30, 2024.</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Administrative expenses were US$21.6 million for the fiscal year ended June 30, 2023, compared to US$15.3 million for the year ended June 30, 2022. This increase was primarily due to a US$5.7 million increase in professional and advisory fees and expenses and a US$0.6 million increase in personnel-related expenses, each resulting from increased headcount as we built out the US team to aid continued clinical trial oversight and management and capital raising activities in the fiscal year ended June 30,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on DFA</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Interest expense on the DFA was US$30.3 million for the fiscal year ended June 30, 2024, compared to US$13.5 million for the fiscal year ended June 30, 2023. This increase was due to the accretion of the financial liability recognized upon the receipt of payments under the DFA. The interest expense is a non-cash item.</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Interest expense on the DFA was US$13.5 million for the fiscal year ended June 30, 2023, compared to US$nil for the fiscal year ended June 30, 2022. This increase was due to the accretion of the financial liability recognized upon the receipt of payments under the DFA. The interest expense is a non-cash item.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remeasurement of financial liability - DFA</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There was a US$0.4 million gain on remeasurement of the DFA for the fiscal year ended June 30, 2024, compared to US$12.3 million for the fiscal year ended June 30, 2023. The small gain in fiscal year ended June 30, 2024 was due to a remeasurement of the financial liability as a result of the additional $50.0 million option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funding above the original committed funding under the DFA and Amended and Restated DFA. The gain on remeasurement on the DFA is a non-cash item.</w:t>
      </w:r>
    </w:p>
    <w:p>
      <w:pPr>
        <w:spacing w:after="0" w:line="23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There was a US$12.3 million gain on remeasurement of the DFA for the fiscal year ended June 30, 2023, compared to no remeasurement adjustment for the fiscal year ended June 30, 2022. This increase was due to the remeasurement of the financial liability regarding the assumptions on the anticipated timing of repayments under the DFA. The gain on remeasurement of the DFA is a non-cash item.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loss on investor options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There was a US$11.2 million value loss on investor options for the fiscal year ended June 30, 2024, compared to US$nil loss for the fiscal year ended June 30, 2023. This increase was due to the new issues of options in the current financial year. The fair value adjustment on investor options is a non-cash item.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14042"/>
        </w:rPr>
        <w:t>Equity and Investor Options - 2024</w:t>
      </w:r>
    </w:p>
    <w:p>
      <w:pPr>
        <w:spacing w:after="0" w:line="22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June 14, 2024, the Company offered approximately 139.5 million new shares at the offer price of A$0.40 per new share and approximately 46.5 million new options to eligible shareholders with an exercise price of A$1.00 on the basis of 1 new option for every 3 new shares issued under the retail offer of the 2024 ANREO; and approximately 142.9 million institutional and placement options with an exercise price of A$1.00 to participants in the placement and institutional offer of the 2024 ANREO on the basis of 1 Institutional option for every 3 new shares issued under the Placement (“2024 Investor Options”). Pursuant to the 2024 ANREO, the company raised gross proceeds of A$227.3 million. Each 2024 Investor Option entitles the holder to one ordinary share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14042"/>
        </w:rPr>
        <w:t>Equity and Investor Options -2023</w:t>
      </w:r>
    </w:p>
    <w:p>
      <w:pPr>
        <w:spacing w:after="0" w:line="22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August 28, 2023, the Company offered approximately 35.4 million new shares at the offer price of A$0.46 per new share and approximately 18.0 million new options to eligible shareholders with an exercise price of A$0.80 on the basis of 1 new option for every 2 new shares issued under the retail offer of the 2023 ANREO; and approximately 80.0 million institutional and placement options with an exercise price of A$0.80 to participants in the placement and institutional offer of the 2023 ANREO on the basis of 1 Institutional option for every 2 new shares issued under the Placement (“2023 Investor Options”). Pursuant to the 2023 ANREO, the company raised gross proceeds of A$90 million. Each Option entitles the holder to one ordinary share of the company.</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Considering that the 2023 Investor Options are traded on the Australian Stock Exchange, we use the quoted price at the balance sheet date as the fair value of the options. The 2024 Investor Options have been fair valued based on the using a Black-Scholes model using relevant inputs including an expected volatility based on the implied volatility data from 2023 Investor Options, historical share price volatility, and other relevant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Foreign Exchange Loss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Net foreign exchange differences were a loss of US$0.1 million for the fiscal year ended June 30, 2024, compared to a loss of US$0.5 million for the fiscal year ended June 30, 2023. The decrease was primarily the result of net variances of the exchange rate between the Australian dollar and U.S. dollar on Australian dollar-denominated cash and cash equivalents, financial assets, financial liabilities and foreign currency denominated transactions.</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Net foreign exchange differences were a loss of US$0.5 million for the fiscal year ended June 30, 2023, compared to a loss of US$2.8 million for the fiscal year ended June 30, 2022. The decrease was primarily the result of net variances of the exchange rate between the Australian dollar and U.S. dollar on Australian dollar-denominated cash and cash equivalents, financial assets, financial liabilities and foreign currency denominated transactions.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Income tax benefit was US$9.4 million for the fiscal year ended June 30, 2024, compared to US$5.9 million for the fiscal year ended June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was due to higher R&amp;D tax incentive receivable recognized during the fiscal year ended June 30, 2024 based on eligible spend.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Income tax benefit was US$5.9 million for the fiscal year ended June 30, 2023, compared to US$6.3 million for the fiscal year ended June 30,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decrease was due to lower R&amp;D tax incentive receivable recognized during the fiscal year ended June 30, 2023 based on eligible spend.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5B. Liquidity and Capital Resources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liquidity and capital resources discussion that follows contains certain estimates as of the date of this annual report of our estimated future sources and uses of liquidity (including estimated future capital resources and capital expenditures) and future financial and operating results. These estimates reflect numerous assumptions made by us with respect to industry performance, general business, economic, regulatory, market and financial conditions and other future events, and matters specific to our businesses, all of which are difficult or impossible to predict and many of which are beyond our control.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operations relating to the development of sozinibercept have been financed primarily through the issuance and sale of new ordinary shares totaling US$377.3 million in the five years ended June 30, 2024. We have also received an aggregate of US$170.0 million in the five years ended June 30, 2024, under the Development Funding Agreement, pursuant to which Investor agreed to provide funding to support our development of sozinibercept for the treatment of wet AMD. We have also received an aggregate of US$36.1 million (A$44.4 million) in the five fiscal years ended June 30, 2024, under the R&amp;D Tax Incentive Scheme for the funding of the development and clinical trials of sozinibercept.</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February 2022, we established an “at the market” program (the “ATM Program”) with Jefferies LLC (“Jefferies”). Pursuant to the ATM Program, we may offer and sell up to US$75.0 million of our ordinary shares in the form of ADSs, with each ADS representing eight ordinary shares, through Jefferies.</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Sales of ADSs under the ATM Program may be made from time to time, with the timing and amount of any sales to be determined by us based on a variety of factors. We may determine to sell some, all or none of the ADSs under the ATM Program and may terminate the ATM Program at our discretion. We, through Jefferies, may sell ADSs by any lawful method deemed to be an “at-the-market offering” defined by Rule 415(a)(4) under the Securities Act of 1933, as amended. Sales made through the ATM Program may be made at market prices prevailing at the time of a sale or at prices related to prevailing market prices. As a result, actual sales prices may vary.</w:t>
      </w:r>
    </w:p>
    <w:p>
      <w:pPr>
        <w:spacing w:after="0" w:line="183"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To effectuate the establishment of the ATM Program, we have entered into a Sales Agreement with Jefferies, acting as sales agent, forward purchaser and forward seller (the “Sales Agreement”). The Sales Agreement provides that, in addition to the issuance and sale of ADSs through Jefferies as sales agent, we may, from time to time, enter into forward sale agreements (each, a “Forward Sale Agreement”) with Jefferies, in its capacity as forward purchaser. To hedge each such Forward Sale Agreement, Jefferies or its affiliate will, at our request, attempt to borrow from third parties and then sell a number of ADSs equal to the number of ADSs underlying each such forward purchase agreement. We will not initially receive any proceeds from any sale of ADSs borrowed by Jefferies, or its affiliate, and sold through Jefferies. Instead, we expect to fully physically settle each Forward Sale Agreement, if any, with Jefferies on one or more dates specified by us on or prior to the maturity date of such Forward Sale Agreement. On physical settlement, we will receive aggregate net cash proceeds equal to the number of ADSs specified in such Forward Sale Agreement multiplied by the relevant forward price per ADS, as adjusted pursuant to the terms of such Forward Sale Agreement. However, subject to certain exceptions, we may also elect to cash settle or net share settle a particular Forward Sale Agreement, in which case we may not receive any proceeds from the issuance of ADSs, and we will instead receive or pay cash (in the case of cash settlement) or receive or deliver ADSs (in the case of net share settlement). As a result, the timing of any issuances of ADSs will depend on a variety of factors, including timing of sales under the ATM Program and the method of settlement of any Forward Sale Agreements. During the year ended June 30, 2024, no sales of our ordinary shares were made under the ATM Program</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June 30, 2024, we had cash and cash equivalents of US$172.5 million, and we had an accumulated loss of US$579.7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5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believe that our existing cash and cash equivalents as of June 30, 2024, as well as the additional US$34.8 million net proceeds from the 2024 Equity Retail Offering, will enable us to fund our operating and research and development expenses into the third calendar quarter of 2025 and through the anticipated topline data readout dates for our Phase 3 clinical trials. We have based these estimates on assumptions and forecasts, including CRO, CDMO and labor costs, costs to retain and attract any required personnel and costs to engage additional consultants and advisors. We have in the past incurred significantly increased costs in connection with the activities conducted by third party CROs, CDMOs and other service providers to prepare for and progress our Phase 3 clinical trials, and may continue to incur higher than expected costs for such activities in the future, including due to factors outside our control. If any additional factors cause the Phase 3 clinical trials to be further delayed or more costly, including higher than expected CRO, CDMO or labor costs, then we will need to obtain additional financing earlier than our forecast to report top-line data. Further, while we expect to have sufficient funds into the third calendar quarter of 2025 and through the anticipated topline data readout dates for our Phase 3 clinical trials, we will not have sufficient funds to fully fund all anticipated costs of the Phase 3 clinical trials and Opthea will require additional funding to reach commercialization of Sozinibercept in any indication, including wet AMD.</w:t>
      </w:r>
    </w:p>
    <w:p>
      <w:pPr>
        <w:spacing w:after="0" w:line="19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will need to raise significant additional funds to complete both trials’ two-year efficacy and safety phase, file a biologics license application with the FDA and EMA, potentially launch Sozinibercept, if approved, and meet the obligations under the Funding Agreement including the minimum cash condition and payment of development and commercialization costs in excess of funding received under the Funding Agreement. As a result of among other things certain obligations under the Funding Agreement and applicable law regarding liquidity, we expect to raise or obtain additional capital from external sources, in one or more transactions, earlier than the third calendar quarter of 2025 or anticipated topline data readout dates of our Phase 3 clinical trials.</w:t>
      </w:r>
    </w:p>
    <w:p>
      <w:pPr>
        <w:spacing w:after="0" w:line="18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and seek marketing approval for, sozinibercept. In addition, if we obtain marketing approval for sozinibercept or any future product candidates, we expect to incur significant commercialization expenses related to sales, marketing, manufacturing and distribution to the extent that such sales, marketing and distribution are not the responsibility of any future collaborators. We have incurred and will continue to incur additional costs associated with operating as a public company in the United States. Accordingly, we will need to obtain substantial additional funding in connection with our continuing operations.</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Conducting clinical trials is a time-consuming, expensive and uncertain process that takes many years to complete, and we may never generate the necessary data or results required to obtain marketing approval and achieve product sales. In addition, sozinibercept or any future product candidate, if approved, may not achieve commercial success. Our commercial revenues, if any, will be derived from sales of sozinibercept and any future product candidate that we do not expect to be commercially available for many years, if at all. Accordingly, we will need to continue to rely on additional financing to achieve our business objectives. Adequate additional financing may not be available to us on acceptable terms, or at all. We may also require external funding to meet the minimum cash condition under the Funding Agreement and to pay development and commercialization costs in excess of funding received under the Funding Agreement, including prior to the readout of top-line results for our Phase 3 clinical trials for sozinibercept for the treatment of wet AMD. For more information as to the risks associated with our future funding needs, see “Item 3D—Risk Factors—Risks Related to Our Financial Position and Need for Capital.”</w:t>
      </w:r>
    </w:p>
    <w:p>
      <w:pPr>
        <w:spacing w:after="0" w:line="18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Until we can generate a sufficient amount of revenue from the sale of approved products, if ever, we expect to finance our operating activities through our existing liquidity, including future financing activities, including a combination of equity offerings, including through our ATM program, exercise of the 2023 Investor Options and 2024 Investor Options, debt financings, collaborations, strategic alliances and licensing arrangements. However, the Funding Agreement limits the type of financings we may pursue in the future. To the extent that we raise additional capital through the sale of equity or convertible debt securities, the ownership interest of our equity holders will be diluted, and the terms of these new securities may include liquidation or other preferences that adversely affect your rights as a holder of ADSs. Debt financing, if available, may involve agreements that include covenants limiting or restricting our ability to take specific actions, such as incurring additional debt, making capital expenditures or declaring dividends. If we raise funds through collaborations, strategic alliances or licensing arrangements with third parties, we may have to relinquish valuable rights to our technologies, intellectual property, future revenue streams or product candidates. If we are unable to raise additional funds through equity or debt financings when needed, we may be required to delay, limit, reduce or terminate our product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development or future commercialization efforts or grant rights to develop and market product candidates that we would otherwise prefer to develop and market ourselves.</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have in the past experienced delays in our Phase 3 clinical trials, including the establishment of trial sites and patient recruitment delays, and incurred significantly increased costs in connection with the activities conducted by third-parties that assist us with clinical development, including CROs, CDMOs and other service providers to prepare for and progress our Phase 3 clinical trials. We may also experience further delays in our clinical development of commercialization of sozinibercept for an indication, including due to factors and conditions set forth above or other factors that we cannot presently anticipate. Our present and future funding requirements, both short and long-term will depend on many factors, including, among other things:</w:t>
      </w:r>
    </w:p>
    <w:p>
      <w:pPr>
        <w:spacing w:after="0" w:line="183" w:lineRule="exact"/>
        <w:rPr>
          <w:sz w:val="20"/>
          <w:szCs w:val="20"/>
          <w:color w:val="auto"/>
        </w:rPr>
      </w:pPr>
    </w:p>
    <w:p>
      <w:pPr>
        <w:ind w:left="76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our clinical trials for sozinibercept, including our pivotal Phase 3 clinical trials of sozinibercept in combination with anti-VEGF-A therapies for the treatment of wet AMD, and any future product candidates we may develop;</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expanding our organization, including our management infrastructure;</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patent applications and maintaining and enforcing patents or defending against claims of infringement raised by third parties;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 for our product candidates and any delays we may encounter as a result of evolving regulatory requirements or adverse results with respect to any of these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costs incurred or might be incurred by CROs and CDMOs in connection with our ongoing Phase 3 clinical trials of sozinibercept;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our contractual obligations, including under the Funding Agreement:</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activities undertaken in connection with the commercialization of sozinibercept, together with the costs involved in the creation of a sales and marketing organization;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listed company in both Australia and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License Agreement with Selexis SA</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October 2013, we entered into a commercial license agreement, or the Selexis Agreement, with Selexis SA, or Selexis, under which Selexis granted us a non-exclusive, worldwide, sublicensable license under certain patents, know-how and other intellectual property controlled by Selexis to use certain cell lines, deliverables and materials provided by Selexis to manufacture sozinibercept and related products and to use, sell and otherwise exploit such products.</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paid Selexis a nominal upfront payment upon entering into the Selexis Agreement. We are also required to make certain payments under the Selexis Agreement totaling approximately US$1.3 million upon the achievement of certain development and commercial milestones. We are also obligated to pay a low single-digit running royalty on worldwide net sales of the licensed products. Our royalty obligations will continue, on a product-by-product and country-by-country basis, until the expiration of the relevant patents, but will not extend beyond October 2024 in any event. After the expiration of the royalty term, our license will continue and become full paid, perpetual and irrevocable.</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Selexis Agreement will expire on the date of expiration of the last-to-expire of the license patents. Either party may terminate the Selexis Agreement for the other party’s uncured material breach or bankruptcy. We may also terminate the Selexis Agreement at any time upon prior notice to Selexis.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Funding Agreement</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August 12, 2022, we entered into a Development Funding Agreement (as amended and restated, the “Funding Agreement”) with Ocelot SPV LP ("Ocelot"), an affiliate of Carlyle and Abingworth, in collaboration with Carlyle and Abingworth’s recently formed development company Launch Therapeutics (“Launch Tx”),</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which Ocelot agreed to provide funding to support our development of sozinibercept for the treatment of wet AMD. On December 22, 2023, we entered into an Amended and Restated Development Funding Agreement with Ocelot as collateral agent, pursuant to which a new co-Investor (collectively with Ocelot, “Investors”) provided an additional US$50.0 million in funding, bringing the total funding received under the Funding Agreement to US$170.0 million, the maximum amount under the terms of the Funding Agreement.</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Pursuant to the Funding Agreement, we will be required to use commercially reasonable efforts to develop sozinibercept for the treatment of wet AMD in accordance with the Funding Agreement, including pursuant to certain development timelines set forth therein</w:t>
      </w:r>
    </w:p>
    <w:p>
      <w:pPr>
        <w:spacing w:after="0" w:line="162"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In return, Opthea will pay to Investors (1) upon the first to occur of regulatory approval of sozinibercept for the treatment of wet AMD in the United States, United Kingdom or European Union (“Regulatory Approval”), fixed payments equal to a total of approximately two times the funding provided, consisting of seven payments, with the first payment due within 90 days after Regulatory Approval and the remaining six payments payable over a six-year period thereafter, and (2) variable payments equal to 7% of net sales of sozinibercept for the treatment of wet AMD for each calendar quarter.</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At the time that Investors receives an aggregate of four times the funding provided (US$680.0 million as Investors have funded the full US$170.0 million under the Funding Agreement) (the “Cap”), Opthea’s payment obligations under the Funding Agreement will be fully satisfied.</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have the option to satisfy our payment obligations to Investor upon Regulatory Approval or a change of control of Opthea by paying an amount equal to the present value of the remaining payments payable to Investor subject to a mid-single-digit discount rate. We also have an option to buy out the remaining payments at any time by paying an amount equal to the remaining payments due subject to a proposed discount rate, which Investor may accept or reject. Upon a change of control of Opthea, an acceleration payment of a specified multiple of the funding provided is payable, net of payments already made to Investor and creditable against future payments to Investor.</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will grant Investor a security interest in all of our assets (other than intellectual property not related to sozinibercept). The security interest will terminate when Investor receives payments and/or change of control acceleration payments equal to two times the funding provided or upon certain terminations of the Funding Agreement (the “Release Date”). The Funding Agreement also includes customary representations and warranties and covenants, including certain negative covenants regarding limitations on incurrence of indebtedness, liens, investments, restricted payments, sales of assets, and royalty sales. The negative covenants will terminate upon the Release Date.</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Funding Agreement terminates upon the payment of all payments owing to Investor, unless earlier terminated by Investor if:</w:t>
      </w:r>
    </w:p>
    <w:p>
      <w:pPr>
        <w:spacing w:after="0" w:line="225" w:lineRule="exact"/>
        <w:rPr>
          <w:sz w:val="20"/>
          <w:szCs w:val="20"/>
          <w:color w:val="auto"/>
        </w:rPr>
      </w:pPr>
    </w:p>
    <w:p>
      <w:pPr>
        <w:ind w:left="760" w:right="20" w:hanging="378"/>
        <w:spacing w:after="0" w:line="282"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Opthea fails to comply with certain covenants and agreements set forth in the Funding Agreement, including failure to make required payments or develop sozinibercept as set forth in the Funding Agreement;</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Opthea suffers a material adverse event;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material adverse patent impact on Opthea’s intellectual property covering sozinibercept;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certain irresolvable disagreements within the joint steering committee overseeing Opthea’s development of sozinibercept;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interests of Opthea are invalidated or terminated other than as set forth in the Funding Agreement; or</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Phase 3 clinical trial of sozinibercept is completed or terminated and (1) the primary endpoint is not met or (2) Investor reasonably determines that the results of any such trial do not support regulatory approval.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Funding Agreement may also be earlier terminated by Opthea if Investor fails to fund as provided in the Funding Agreement. The Funding Agreement may be terminated by either party (i) if the other party materially breaches the Funding Agreement (“Material Breach”), (ii) if sozinibercept fails to receive regulatory approval in the United States or European Union, (iii) upon the bankruptcy of the other party, (iv) if a serious safety concern arises in an sozinibercept clinical trial or (v) upon a change of control of Opthea.</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certain instances, upon the termination of the Funding Agreement, we will be obligated to pay Investor a multiple, which may vary based on the termination event of the amounts paid to us under the Funding Agreement, including specifically,</w:t>
      </w:r>
    </w:p>
    <w:p>
      <w:pPr>
        <w:spacing w:after="0" w:line="162" w:lineRule="exact"/>
        <w:rPr>
          <w:sz w:val="20"/>
          <w:szCs w:val="20"/>
          <w:color w:val="auto"/>
        </w:rPr>
      </w:pPr>
    </w:p>
    <w:p>
      <w:pPr>
        <w:jc w:val="both"/>
        <w:ind w:left="760" w:hanging="378"/>
        <w:spacing w:after="0" w:line="261" w:lineRule="auto"/>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the Cap in the event that Investor terminates the agreement due to (w) failure by Opthea to comply with certain covenants and agreements set forth in the Funding Agreement, including failure to make required payments or develop sozinibercept as set forth in the Funding Agreement,</w:t>
      </w:r>
    </w:p>
    <w:p>
      <w:pPr>
        <w:jc w:val="both"/>
        <w:ind w:left="760" w:hanging="4"/>
        <w:spacing w:after="0" w:line="253" w:lineRule="auto"/>
        <w:tabs>
          <w:tab w:leader="none" w:pos="103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of Opthea, (y) a safety concern resulting from gross negligence on the part of Opthea or due to a safety concern that was material on the Effective Date and the material data showing such safety concern was not publicly known, disclosed to Investor, or in the diligence room made available to Investor or (z) the security interests of Investor being invalidated or terminated other than as set forth in the Funding Agreement;</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multiples of such amounts in the event the Funding Agreement is terminated due to Material Breach by Opthea; and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small multiple of such amounts in the event of certain irresolvable disagreements within the executive review committee overseeing Opthea’s development of sozinibercept.</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addition, if following certain events of termination of the Funding Agreement, Opthea continues to develop sozinibercept for the treatment of wet AMD and obtains Regulatory Approval, it will make the payments to Investor as if the Funding Agreement had not been terminated, less any payments made upon termination.</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Funding Agreement also includes a minimum cash requirement, and Opthea may need to obtain additional funding to meet this requirement in the future, including prior to the expected readout of top-line results for its Phase 3 clinical trials. To the extent that Opthea raises additional capital through the sale of equity or convertible debt securities to meet this requirement, Opthea’s equity holders will be diluted.</w:t>
      </w:r>
    </w:p>
    <w:p>
      <w:pPr>
        <w:spacing w:after="0" w:line="176"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The payments required under the Funding Agreement are significant. Failure to generate sufficient revenue to make such payments if and as they become due, or failure to otherwise finance such payments would have a material adverse effect on our business. In addition, if we are unable to comply with our obligations under the Funding Agreement and/or one of the termination events described above occurs, our payment obligations thereunder may be accelerated. The acceleration of payments under the Funding Agreement would have a material impact on our business and we may not be able to make such payments at such time. We may also require additional external funding to meet the minimum cash condition under our development funding agreement with Investor, including prior to the readout of top-line results for our Phase 3 clinical trials for Sozinibercept (OPT-302) for the treatment of wet AMD. If we unable to obtain such additional external funding and as such are unable to meet the minimum cash condition, we are required to provide notice to the Investors. Under the Funding Agreement, upon receipt of such notice, the Investors have the option, but not the obligation, to contribute additional funds under the terms of the Funding Agreement if we are unable to raise sufficient capital in a timely manner. If the Investors choose not to contribute additional funds and we are unable to raise additional capital, we may become insolvent or may otherwise be in material breach under the Funding Agreement for failing to fund development and commercialization costs in excess of the funding received, which will result in significant payments becoming due under the Funding Agreement. Based on our current cash flow estimates, and in the absence of any additional external funding, we expect to be unable to meet the minimum cash condition prior to the third calendar quarter of 2025 and may have to provide notice to the Investors at such time.</w:t>
      </w:r>
    </w:p>
    <w:p>
      <w:pPr>
        <w:spacing w:after="0" w:line="19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Furthermore, the obligations under the Funding Agreement are secured by a lien on all of our assets (other than intellectual property not related to Sozinibercept (OPT-302)). The security interest will terminate when Investor receives payments and/or change of control acceleration payments equal to two times the funding provided or upon certain terminations of the Funding Agreement. A default under the Funding Agreement, including in the event of our insolvency or our inability to pay development and commercialization costs in excess of funding received under the Funding Agreement, may result in a foreclosure on our intellectual property and seizure of all of our assets and could result in us having to pay the Investors multiples of the amounts paid to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may need to implement further internal controls and processes to ensure compliance with all obligations under the Funding Agreement, otherwise we could inadvertently default under 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13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6"/>
                <w:szCs w:val="16"/>
                <w:color w:val="auto"/>
              </w:rPr>
            </w:pPr>
          </w:p>
        </w:tc>
        <w:tc>
          <w:tcPr>
            <w:tcW w:w="13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348"/>
        </w:trPr>
        <w:tc>
          <w:tcPr>
            <w:tcW w:w="6580" w:type="dxa"/>
            <w:vAlign w:val="bottom"/>
          </w:tcPr>
          <w:p>
            <w:pPr>
              <w:spacing w:after="0"/>
              <w:rPr>
                <w:sz w:val="24"/>
                <w:szCs w:val="24"/>
                <w:color w:val="auto"/>
              </w:rPr>
            </w:pP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US$</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169"/>
        </w:trPr>
        <w:tc>
          <w:tcPr>
            <w:tcW w:w="658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(161,015 )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(120,608 )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(71,335 )</w:t>
            </w: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r>
      <w:tr>
        <w:trPr>
          <w:trHeight w:val="243"/>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243,728</w:t>
            </w: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167,285</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82,680</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46,655</w:t>
            </w:r>
          </w:p>
        </w:tc>
        <w:tc>
          <w:tcPr>
            <w:tcW w:w="20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(71,180 )</w:t>
            </w:r>
          </w:p>
        </w:tc>
      </w:tr>
      <w:tr>
        <w:trPr>
          <w:trHeight w:val="20"/>
        </w:trPr>
        <w:tc>
          <w:tcPr>
            <w:tcW w:w="65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-170815</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For the year ended June 30, 2024, net cash used in operating activities was US$161.0 million, attributable to a net loss of US$220.2 million adjusted for US$36.9 million in non-cash items as well as a net cash inflow from changes in operating assets and liabilities of US$17.3 million, and inflow of a R&amp;D tax incentive of US$5.9 million received. Non-cash adjustments of US$36.9 million consisted of add back of US$9.4 million in income tax benefit recognized in profit and loss and the remeasurement gain on the DFA of US$0.4 million offset by positive US$0.1 million in net exchange differences, fair value loss add back on the investor options of US$11.2 million, US$5.1 million in share-based payments, US$30.3 million of non-cash interest expense on the DFA and US$103 thousand in depreciation expense.</w:t>
      </w:r>
    </w:p>
    <w:p>
      <w:pPr>
        <w:spacing w:after="0" w:line="18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For the year ended June 30, 2023, net cash used in operating activities was US$120.6 million, attributable to a net loss of US$142.5 million adjusted for US$1.7 million in non-cash items as well as a net cash inflow from changes in operating assets and liabilities of US$13.9 million, and inflow of a R&amp;D tax incentive of US$6.3 million received. Non-cash adjustments of US$1.7 million consisted of US$5.9 million in income tax benefit recognized in profit or loss and the gain on remeasurement of the DFA of US$12.3 offset by US$0.5 million in net exchange differences, US$5.8 million in share-based payments, US$13.5 million of non-cash interest expense on the DFA and US$101 thousand in depreciation expense.</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For the year ended June 30, 2022, net cash used in operating activities was US$71.3 million, attributable to a net loss of US$92.8 million adjusted for US$1.8 million in non-cash items as well as a net cash inflow from changes in operating assets and liabilities of US$14.7 million, and inflows of a R&amp;D tax incentive of US$4.9 million received. Non-cash adjustments of US$1.8 million consisted of US$6.3 million in income tax benefit recognized in profit or loss offset by US$2.8 million in net exchange differences, US$5.2 million in share-based payments and US$78 thousand in depreciation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the years ended June 30, 2022, 2023 and 2024, net cash provided by investing activities was cash outflow of US$17 thousand, US$22 thousand and US$33 thousand, respectively, attributable to cash payments for the purchase of computer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the year ended June 30, 2024, net cash provided by financing activities was US$243.7 million, attributable to $158.8 million from capital placement, US$85.0 million under the Development Funding agreement. Net cash provided by financing activities also included US$89 thousand in respect of the payment of lease liabilities.</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the year ended June 30, 2023, net cash provided by financing activities was US$167.3 million, attributable to $81.8 million from capital placement, US$1.0 million received on the exercise of options granted to employees and US$84.5 million under the Development Funding agreement. Net cash provided by financing activities also included US$71 thousand in respect of the payment of lease liabilities.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9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the year ended June 30, 2022, net cash provided by financing activities was US$171 thousand, attributable to US$257 thousand received on the exercise of options granted to employees. Net cash provided by financing activities also included US$86 thousand in respect of the payment of lease liabilities</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5C.</w:t>
      </w:r>
      <w:r>
        <w:rPr>
          <w:sz w:val="20"/>
          <w:szCs w:val="20"/>
          <w:color w:val="auto"/>
        </w:rPr>
        <w:tab/>
      </w:r>
      <w:r>
        <w:rPr>
          <w:rFonts w:ascii="Times New Roman" w:cs="Times New Roman" w:eastAsia="Times New Roman" w:hAnsi="Times New Roman"/>
          <w:sz w:val="18"/>
          <w:szCs w:val="18"/>
          <w:b w:val="1"/>
          <w:bCs w:val="1"/>
          <w:color w:val="auto"/>
        </w:rPr>
        <w:t>Research and Development, Patents and Licenses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a description of the amount spent during each of the last three fiscal years on company-sponsored research and development activities, as well as the components of research and development expenses, see “Item 5A—Operating Results – Results of Operations.”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a description of our research and development process, see “Item 4B—Business Overview.”</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5D.</w:t>
      </w:r>
      <w:r>
        <w:rPr>
          <w:sz w:val="20"/>
          <w:szCs w:val="20"/>
          <w:color w:val="auto"/>
        </w:rPr>
        <w:tab/>
      </w:r>
      <w:r>
        <w:rPr>
          <w:rFonts w:ascii="Times New Roman" w:cs="Times New Roman" w:eastAsia="Times New Roman" w:hAnsi="Times New Roman"/>
          <w:sz w:val="18"/>
          <w:szCs w:val="18"/>
          <w:b w:val="1"/>
          <w:bCs w:val="1"/>
          <w:color w:val="auto"/>
        </w:rPr>
        <w:t>Trend Information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a discussion of trends, see “Item 4B—Business Overview,” “Item 5A—Operating Results” and “Item 5B—Liquidity and Capital Resources.”</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5E.</w:t>
      </w:r>
      <w:r>
        <w:rPr>
          <w:sz w:val="20"/>
          <w:szCs w:val="20"/>
          <w:color w:val="auto"/>
        </w:rPr>
        <w:tab/>
      </w:r>
      <w:r>
        <w:rPr>
          <w:rFonts w:ascii="Times New Roman" w:cs="Times New Roman" w:eastAsia="Times New Roman" w:hAnsi="Times New Roman"/>
          <w:sz w:val="18"/>
          <w:szCs w:val="18"/>
          <w:b w:val="1"/>
          <w:bCs w:val="1"/>
          <w:color w:val="auto"/>
        </w:rPr>
        <w:t>Critical Accounting 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believe that the following accounting policies involve a high degree of estimation and complexity. Accordingly, these are the policies we believe are the most critical to aid in fully understanding and evaluating our consolidated financial condition and results of our operations. See note 3 to our consolidated financial statements appearing elsewhere in this annual report for a description of our other significant accounting policies. The preparation of our consolidated financial statements in conformity with IFRS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Funding - Financial liability</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414042"/>
        </w:rPr>
        <w:t>The Group evaluated the Funding Agreement and determined it to be a research and development funding arrangement with the characteristics of a debt instrument, as the transfer of financial risk to DFA Investors was not considered substantive and genuine.</w:t>
      </w:r>
    </w:p>
    <w:p>
      <w:pPr>
        <w:spacing w:after="0" w:line="189" w:lineRule="exact"/>
        <w:rPr>
          <w:sz w:val="20"/>
          <w:szCs w:val="20"/>
          <w:color w:val="auto"/>
        </w:rPr>
      </w:pPr>
    </w:p>
    <w:p>
      <w:pPr>
        <w:jc w:val="both"/>
        <w:ind w:firstLine="374"/>
        <w:spacing w:after="0" w:line="224" w:lineRule="exact"/>
        <w:rPr>
          <w:sz w:val="20"/>
          <w:szCs w:val="20"/>
          <w:color w:val="auto"/>
        </w:rPr>
      </w:pPr>
      <w:r>
        <w:rPr>
          <w:rFonts w:ascii="Times New Roman" w:cs="Times New Roman" w:eastAsia="Times New Roman" w:hAnsi="Times New Roman"/>
          <w:sz w:val="18"/>
          <w:szCs w:val="18"/>
          <w:color w:val="414042"/>
        </w:rPr>
        <w:t>Accordingly, the Group has recorded payments received under the Funding Agreement as part of a development financing liability in its consolidated balance sheet. The Group measures the overall development financing liability at amortized cost based on the estimated timing of regulatory approval and attainment of certain sales milestones and the contractual success fee payments expected to be due therefrom, as discounted using an imputed interest rate. The development financing liability will be accreted as interest expense to its expected future repayment amount over the expected life of the agreement using the effective interest rate method. If the dates are delayed from those used at reporting date, it is expected that a remeasurement will result in a non</w:t>
      </w:r>
      <w:r>
        <w:rPr>
          <w:rFonts w:ascii="MS PGothic" w:cs="MS PGothic" w:eastAsia="MS PGothic" w:hAnsi="MS PGothic"/>
          <w:sz w:val="18"/>
          <w:szCs w:val="18"/>
          <w:color w:val="414042"/>
        </w:rPr>
        <w:t>‑</w:t>
      </w:r>
      <w:r>
        <w:rPr>
          <w:rFonts w:ascii="Times New Roman" w:cs="Times New Roman" w:eastAsia="Times New Roman" w:hAnsi="Times New Roman"/>
          <w:sz w:val="18"/>
          <w:szCs w:val="18"/>
          <w:color w:val="414042"/>
        </w:rPr>
        <w:t>cash gain.</w:t>
      </w:r>
    </w:p>
    <w:p>
      <w:pPr>
        <w:spacing w:after="0" w:line="1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At each reporting date, the Group reassess the estimated timing of regulatory approval and attainment of sales milestones and the expected fixed and variable contractual success fee payments due therefrom. If the timing and/or amount of such expected payments is materially different from the estimates used on the initial recognition date, the Group will adjust the accretion of the development financing liability using the previously determined imputed interest rate.</w:t>
      </w:r>
    </w:p>
    <w:p>
      <w:pPr>
        <w:spacing w:after="0" w:line="180" w:lineRule="exact"/>
        <w:rPr>
          <w:sz w:val="20"/>
          <w:szCs w:val="20"/>
          <w:color w:val="auto"/>
        </w:rPr>
      </w:pPr>
    </w:p>
    <w:p>
      <w:pPr>
        <w:jc w:val="both"/>
        <w:ind w:firstLine="374"/>
        <w:spacing w:after="0" w:line="220" w:lineRule="exact"/>
        <w:rPr>
          <w:sz w:val="20"/>
          <w:szCs w:val="20"/>
          <w:color w:val="auto"/>
        </w:rPr>
      </w:pPr>
      <w:r>
        <w:rPr>
          <w:rFonts w:ascii="Times New Roman" w:cs="Times New Roman" w:eastAsia="Times New Roman" w:hAnsi="Times New Roman"/>
          <w:sz w:val="18"/>
          <w:szCs w:val="18"/>
          <w:color w:val="auto"/>
        </w:rPr>
        <w:t>At June 30, 2023 the Group performed a remeasurement of the carrying amount of the Financial Liability. The expected timeline for approval and commercial launch have been delayed by twelve months, thus extending date of expected repayments. As the Group has more time to repay the amounts owed, the carrying value of the Financial Liability at June 30, 2023 was adjusted downward to reflect this delay. The remeasurement resulted in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gain on revaluation of $12.3 million. This change is recorded on the Profit or Loss statement as a gain on remeasurement of financial liability.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ind w:right="540" w:firstLine="749"/>
        <w:spacing w:after="0" w:line="245" w:lineRule="exact"/>
        <w:rPr>
          <w:sz w:val="20"/>
          <w:szCs w:val="20"/>
          <w:color w:val="auto"/>
        </w:rPr>
      </w:pPr>
      <w:r>
        <w:rPr>
          <w:rFonts w:ascii="Times New Roman" w:cs="Times New Roman" w:eastAsia="Times New Roman" w:hAnsi="Times New Roman"/>
          <w:sz w:val="18"/>
          <w:szCs w:val="18"/>
          <w:color w:val="414042"/>
        </w:rPr>
        <w:t>If the timelines for approval and launch are accelerated, the Group would anticipate a remeasurement resulting in a non</w:t>
      </w:r>
      <w:r>
        <w:rPr>
          <w:rFonts w:ascii="MS PGothic" w:cs="MS PGothic" w:eastAsia="MS PGothic" w:hAnsi="MS PGothic"/>
          <w:sz w:val="18"/>
          <w:szCs w:val="18"/>
          <w:color w:val="414042"/>
        </w:rPr>
        <w:t>‑</w:t>
      </w:r>
      <w:r>
        <w:rPr>
          <w:rFonts w:ascii="Times New Roman" w:cs="Times New Roman" w:eastAsia="Times New Roman" w:hAnsi="Times New Roman"/>
          <w:sz w:val="18"/>
          <w:szCs w:val="18"/>
          <w:color w:val="414042"/>
        </w:rPr>
        <w:t>cash charge to be recognized in the Consolidated Statement of Profit or Loss.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Liability - Investor options</w:t>
      </w:r>
    </w:p>
    <w:p>
      <w:pPr>
        <w:spacing w:after="0" w:line="256" w:lineRule="exact"/>
        <w:rPr>
          <w:sz w:val="20"/>
          <w:szCs w:val="20"/>
          <w:color w:val="auto"/>
        </w:rPr>
      </w:pPr>
    </w:p>
    <w:p>
      <w:pPr>
        <w:jc w:val="both"/>
        <w:ind w:firstLine="374"/>
        <w:spacing w:after="0" w:line="218" w:lineRule="exact"/>
        <w:rPr>
          <w:sz w:val="20"/>
          <w:szCs w:val="20"/>
          <w:color w:val="auto"/>
        </w:rPr>
      </w:pPr>
      <w:r>
        <w:rPr>
          <w:rFonts w:ascii="Times New Roman" w:cs="Times New Roman" w:eastAsia="Times New Roman" w:hAnsi="Times New Roman"/>
          <w:sz w:val="18"/>
          <w:szCs w:val="18"/>
          <w:color w:val="auto"/>
        </w:rPr>
        <w:t>The Group accounts for investor options as a derivative financial liability. Such derivatives are measured at fair value with subsequent changes in fair value accounted for through profit and loss. For the investor options that are traded on the Australian Securities Exchange, we use the quoted price at the balance sheet date as the fair value of the options. For the investor options issued on June 14, 2024, fair values were determined internally using Binomial models as a quoted price was not available as at year end. Key inputs to the valuation include the share price at grant date, expected term, volatility, dividend yield, risk free rate and exercise price. Where relevant, the expected life used in the model has been adjusted based on management’s best estimate for the effects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transferability, exercise restrictions (including the probability of meeting market conditions attached to the option), and behavioral considerations. Expected volatility is based on the historical share price volatility over the past two years. These investor options were listed for trading on the Australian Securities Exchange in July 2024. Should the quoted price differ from the internally determined fair value, this could have a material impact on the amounts recognized in derivative financial liabilities and in the profit and loss.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 Transactions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provide benefits to our directors and employees (including key management personnel) in the form of share-based payments, whereby employees render services in exchange for ordinary shares or rights over ordinary shares (equity-settled transactions). The cost of these equity-settled transactions with employees is measured by reference to the fair value at the date at which they are granted. Binomial models are used to value the options issued, with key assumptions being the listed price per ordinary share on the grant date, the option exercise price, expected volatility of the underlying ordinary shares based on the historical share price volatility and the risk-free interest rate.</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cost of the equity-settled transactions is recognized, together with a corresponding increase in equity, over the period in which the performance conditions are fulfilled (the vesting period), ending on the date on which the relevant employees become fully entitled to the award (the vesting date). The charge to profit or loss for the period is the cumulative amount less the amounts already charged in previous periods. There is a corresponding credit to equity.</w:t>
      </w:r>
    </w:p>
    <w:p>
      <w:pPr>
        <w:spacing w:after="0" w:line="180" w:lineRule="exact"/>
        <w:rPr>
          <w:sz w:val="20"/>
          <w:szCs w:val="20"/>
          <w:color w:val="auto"/>
        </w:rPr>
      </w:pPr>
    </w:p>
    <w:p>
      <w:pPr>
        <w:jc w:val="both"/>
        <w:ind w:firstLine="374"/>
        <w:spacing w:after="0" w:line="232" w:lineRule="exact"/>
        <w:rPr>
          <w:sz w:val="20"/>
          <w:szCs w:val="20"/>
          <w:color w:val="auto"/>
        </w:rPr>
      </w:pPr>
      <w:r>
        <w:rPr>
          <w:rFonts w:ascii="Times New Roman" w:cs="Times New Roman" w:eastAsia="Times New Roman" w:hAnsi="Times New Roman"/>
          <w:sz w:val="18"/>
          <w:szCs w:val="18"/>
          <w:color w:val="auto"/>
        </w:rPr>
        <w:t>Until an award has vested, any amounts recorded are contingent and will be adjusted if more or fewer awards vest than were originally anticipated to do so. Should one or more of the assumptions and estimates used in estimating the fair value of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payments change, this could have a material impact on the amounts recognized in equity and employee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 relating to the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to Accounting Standards that are Mandatorily Effective for the Current Year</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have adopted all of the new and revised Standards and Interpretations issued by the IASB that are relevant to our operations and effective for the current year.</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During the fiscal year ended June 30, 2024, we applied a number of amendments to IFRS and Interpretations issued by the IASB that are effective for an annual period that begins on or after January 1, 2023. Their adoption has not had any material impact on the disclosures or on the amounts reported in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and Revised International Financial Reporting Standards and Interpretations on Issue But not Yet Effective</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new and revised International Financial Reporting Standards, Interpretations and amendments that have been issued but are not yet effective, are not expected to have a material impact on the amounts recognized or disclosures included in our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35" w:name="page136"/>
    <w:bookmarkEnd w:id="13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Qualitative and Quantitative Disclosures about Market Risk</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of June 30, 2024, we had cash and cash equivalents of US$172.5 million, including US$80.7 million in short term deposit accounts. We have limited exposure to interest rate risk. Our exposure to market interest rates relates primarily to the short-term deposits. The deposits are held with two of Australia’s largest banks. Our cash and cash equivalents are not locked into long-term deposits at fixed rates so as to mitigate the risk of earning interest below the current floating rate. We do not have any credit facilities bearing variable interest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 a result of services provided by non-related entities in the United States, Canada, United Kingdom and Europe, part of our financial assets and liabilities and foreign currency denominated transactions are affected by movements in the applicable exchange rate. We do not enter into any hedging transactions. We enter into forward rate foreign exchange rate contracts in respect of the settlement of supplier invoices denominated in U.S. dollars to mitigate the risk of movements in the Australian dollar and U.S dollar exchange rates. As of June 30, 2024 and June 30, 2023, we had US$141.4 million and US$60.4 million, respectively, in net exposure to the Australian dollar and U.S. dollar, primarily in payables and cash. An increase or decrease of the Australian dollar to U.S. dollar exchange rate by 10% would increase our after-tax loss by US$9.0 million (2023: US$3.8 million) or decrease our after tax loss by US$11.0 million (2023: US$4.7 million), respectively. As we continue our clinical development activities, we expect to face continued exposure to exchange rate risk from the U.S. dollar. There was minimal or insignificant exposure to the British Pound, Euro and Canadian dollar during the years ended June 30, 2023 and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a company with less than US$1.235 billion in revenue during our last fiscal year, we qualify as an “emerging growth company” as defined in the JOBS Act. As an emerging growth company, we may take advantage of specified reduced disclosure and other requirements that are otherwise applicable generally to public companies. These provisions include:</w:t>
      </w:r>
    </w:p>
    <w:p>
      <w:pPr>
        <w:spacing w:after="0" w:line="176" w:lineRule="exact"/>
        <w:rPr>
          <w:sz w:val="20"/>
          <w:szCs w:val="20"/>
          <w:color w:val="auto"/>
        </w:rPr>
      </w:pPr>
    </w:p>
    <w:p>
      <w:pPr>
        <w:ind w:left="760" w:right="20" w:hanging="378"/>
        <w:spacing w:after="0" w:line="282" w:lineRule="auto"/>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auditor attestation requirement of Section 404 of the Sarbanes-Oxley Act of 2002, or the Sarbanes-Oxley Act, in the assessment of our internal controls over financial reporting; and</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may take advantage of these exemptions until such time that we are no longer an emerging growth company. Accordingly, the information that we provide shareholders and holders of the ADSs may be different than you might obtain from other public companies. We will cease to be an emerging growth company upon the earliest to occur of (i) the last day of the fiscal year in which we have more than US$1.235 billion in annual revenue; (ii) the last day of the fiscal year in which we qualify as a “large accelerated filer”; (iii) the date on which we have, during the previous three-year period, issued more than US$1.0 billion in non-convertible debt securities; and (iv) June 30,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Status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are also considered a “foreign private issuer” under U.S. securities laws. In our capacity as a foreign private issuer, we are exempt from certain rules under the Securities Exchange Act of 1934, as amended, that impose certain disclosure obligations and procedural requirements for proxy solicitations under Section 14 of the Exchange Act. In addition, our senior management, the members of our board of directors and our principal shareholders are exempt from the reporting and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promptly as U.S. companies whose securities are registered under the Exchange Act. In addition, we are not required to comply with Regulation FD, which restricts the selective disclosure of material information.</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will remain a foreign private issuer until such time that 50% or more of our outstanding voting securities are held by U.S. residents and any of the following three circumstances applies: (i) the majority of the members of board of directors or our senior management are U.S. citizens or residents; (ii) more than 50% of our assets are located in the United States; or (iii) our business is administered principally in the United States.</w:t>
      </w:r>
    </w:p>
    <w:p>
      <w:pPr>
        <w:spacing w:after="0" w:line="180"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We have taken advantage of certain reduced reporting and other requirements in this annual report. Accordingly, the information contained herein may be different from the information you receive from other public companies.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Directors, Senior Management and Employees</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6A.</w:t>
      </w:r>
      <w:r>
        <w:rPr>
          <w:sz w:val="20"/>
          <w:szCs w:val="20"/>
          <w:color w:val="auto"/>
        </w:rPr>
        <w:tab/>
      </w:r>
      <w:r>
        <w:rPr>
          <w:rFonts w:ascii="Times New Roman" w:cs="Times New Roman" w:eastAsia="Times New Roman" w:hAnsi="Times New Roman"/>
          <w:sz w:val="18"/>
          <w:szCs w:val="18"/>
          <w:b w:val="1"/>
          <w:bCs w:val="1"/>
          <w:color w:val="auto"/>
        </w:rPr>
        <w:t>Directors and Senior Management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our directors, senior management and key employees as of June 30, 2024.</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1"/>
                <w:szCs w:val="21"/>
                <w:color w:val="auto"/>
              </w:rPr>
            </w:pPr>
          </w:p>
        </w:tc>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Senior Management and Key Employees</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Fred Guerard (1)</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Megan Baldwin, Ph.D.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Innovation Officer and Executive Director</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Peter Lang (1)</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Timothy E Morris (2)</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Karen Adams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Finance and Company Secretary</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Judith Robertson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Kevin Bitter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Strategy &amp; Corporate Development</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Joel Naor (3)</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Mark O’Neill</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Chemistry, Manufacturing and Controls</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Fang Li</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Regulatory</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Julie Clark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Clinical Development</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Bruno Gagnon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Global Clinical Operations</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40" w:type="dxa"/>
            <w:vAlign w:val="bottom"/>
          </w:tcPr>
          <w:p>
            <w:pPr>
              <w:spacing w:after="0"/>
              <w:rPr>
                <w:sz w:val="21"/>
                <w:szCs w:val="2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Julia Haller, M.D.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Jeremy Levin, D.Phil, MB BChir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Chairperson</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Lawrence Gozlan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Sujal Shah</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Susan Orr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Anshul Thakral</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Daniel Spiegelman (4)</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Quinton Oswald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38" w:lineRule="exact"/>
        <w:rPr>
          <w:sz w:val="20"/>
          <w:szCs w:val="20"/>
          <w:color w:val="auto"/>
        </w:rPr>
      </w:pPr>
    </w:p>
    <w:p>
      <w:pPr>
        <w:ind w:left="640" w:hanging="258"/>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Guerard and Mr. Lang were appointed October 27, 2023.</w:t>
      </w:r>
    </w:p>
    <w:p>
      <w:pPr>
        <w:spacing w:after="0" w:line="27"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Morris's employment was terminated October 24, 2023.</w:t>
      </w:r>
    </w:p>
    <w:p>
      <w:pPr>
        <w:spacing w:after="0" w:line="9"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Naor resigned on July 15, 2023.</w:t>
      </w:r>
    </w:p>
    <w:p>
      <w:pPr>
        <w:spacing w:after="0" w:line="9" w:lineRule="exact"/>
        <w:rPr>
          <w:rFonts w:ascii="Times New Roman" w:cs="Times New Roman" w:eastAsia="Times New Roman" w:hAnsi="Times New Roman"/>
          <w:sz w:val="18"/>
          <w:szCs w:val="18"/>
          <w:color w:val="auto"/>
        </w:rPr>
      </w:pPr>
    </w:p>
    <w:p>
      <w:pPr>
        <w:ind w:left="680" w:hanging="298"/>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Mr.Spiegelman resigned as a director in April 2024.</w:t>
      </w:r>
    </w:p>
    <w:p>
      <w:pPr>
        <w:spacing w:after="0" w:line="20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business addresses for our senior management and board of directors is Opthea Limited, Suite 0403, Level 4, 650 Chapel Street, South Yarra, VIC 3141, Australia.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Management and Key Employees</w:t>
      </w:r>
    </w:p>
    <w:p>
      <w:pPr>
        <w:spacing w:after="0" w:line="22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Frederic Guerard, PharmD, MS </w:t>
      </w:r>
      <w:r>
        <w:rPr>
          <w:rFonts w:ascii="Times New Roman" w:cs="Times New Roman" w:eastAsia="Times New Roman" w:hAnsi="Times New Roman"/>
          <w:sz w:val="18"/>
          <w:szCs w:val="18"/>
          <w:color w:val="auto"/>
        </w:rPr>
        <w:t>has served as our Chief Executive Officer since October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414042"/>
        </w:rPr>
        <w:t>Dr. Guerard’s career in the pharmaceutical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414042"/>
        </w:rPr>
        <w:t>spans over 25 years and includes multiple leadership, strategic and commercial roles. Dr.Guerard served as the Chief Executive Officer of Graybug Vision, Inc., a clinical-stage pharmaceutical company developing potentially transformative therapies for ocular diseases. He led the clinical development of a late-stage wet AMD product candidate. Dr.Guerard led the merger of Graybug with CalciMedica, Inc. and remains a non-executive Board member of CalciMedica. Before Graybug, Dr.Guerard acted as the Worldwide Business Franchise Head of Ophthalmology at Novartis. In this role, he successfully led the integration of Novartis retina and Alcon Pharmaceuticals and accelerated the rejuvenation of the product pipeline through strategic acquisitions and licensing transactions in dry-eye, presbyopia, and inherited retinal diseases. Prior to this role, he served as Global Franchise Head of Pharmaceuticals at Alcon. He has also held multiple leadership positions at Novartis, including Head of United Kingdom and Ireland, Head and Country President of Australia and New Zealand, Head of Marketing and Sales for Emerging Growth Markets Region, Head and Country President Egypt, and Cluster Head North and West Africa. He has served on the Board of the Association of the British Pharmaceutical Industry (ABPI) and on the Board of Medicines Australia.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8" w:name="page139"/>
    <w:bookmarkEnd w:id="138"/>
    <w:p>
      <w:pPr>
        <w:spacing w:after="0" w:line="19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Megan Baldwin, Ph.D., </w:t>
      </w:r>
      <w:r>
        <w:rPr>
          <w:rFonts w:ascii="Times New Roman" w:cs="Times New Roman" w:eastAsia="Times New Roman" w:hAnsi="Times New Roman"/>
          <w:sz w:val="18"/>
          <w:szCs w:val="18"/>
          <w:color w:val="auto"/>
        </w:rPr>
        <w:t>has served as our Founder, Chief Executive Officer and Executive Director since October 2023. From October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Dr. Baldwin has served as our Chief Executive Officer and Managing Director from February 2014 until October 2023 Dr. Baldwin has served as our Founder, Chief Innovation Officer and Executive Director. Since joining our company in 2008, Dr. Baldwin has held various positions, including Head of Preclinical R&amp;D from February 2009 to November 2012 and Chief Executive Officer of Opthea Pty Ltd., previously a wholly-owned subsidiary, from November 2012 to December 2015. Dr. Baldwin has over 20 years of experience focusing on angiogenesis and therapeutic strategies for ophthalmic and cancer indications. Prior to joining our company, Dr. Baldwin was employed at Genentech, Inc. (now a subsidiary of the Roche Group), a leader in the field of angiogenesis-based therapies for cancer and other diseases. Dr. Baldwin earned a Bachelor of Science with Honours and a Ph.D. in Medicine from the University of Melbourne. We believe that Dr. Baldwin’s business expertise and her daily insight into corporate matters as our Chief Innovation Officer qualify her to serve on our board of directors.</w:t>
      </w:r>
    </w:p>
    <w:p>
      <w:pPr>
        <w:spacing w:after="0" w:line="18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Peter Lang, </w:t>
      </w:r>
      <w:r>
        <w:rPr>
          <w:rFonts w:ascii="Times New Roman" w:cs="Times New Roman" w:eastAsia="Times New Roman" w:hAnsi="Times New Roman"/>
          <w:sz w:val="18"/>
          <w:szCs w:val="18"/>
          <w:color w:val="auto"/>
        </w:rPr>
        <w:t>has served as our Chief Financial Officer since October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414042"/>
        </w:rPr>
        <w:t>Mr. Lang comes to Opthea with over 25 years of experience delivering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414042"/>
        </w:rPr>
        <w:t>strategic, operational, and financial solutions, with deep expertise in the healthcare and biopharmaceutical sectors. He has held leadership roles at biopharmaceutical companies and well-recognized global and boutique investment banks. In addition, Mr. Lang has a long track record of working with management teams and boards to optimize companies’ growth plans, capital structures, and return on capital. Prior to joining Opthea, Mr. Lang served as the Chief Financial Officer of Aerie Pharmaceuticals, Inc., a fully integrated pharmaceutical company focused on the discovery, development, and commercialization of first-in-class ophthalmic therapies for the treatment of patients with eye diseases. He co-led the successful strategic and financial repositioning of Aerie, including reinvigorating its commercial glaucoma franchise, refocusing the R&amp;D pipeline, and improving the financial and operation results of the Company, ultimately resulting in a ~$950 million cash acquisition of Aerie by Alcon AG. Before Aerie, Peter was Managing Director and Partner at Ridge Advisory, LLC, a boutique advisory and banking firm. Prior to his work at Ridge Advisory, Mr. Lang served in various leadership roles in the healthcare investment banking divisions of well-respected firms, including HSBC, Bank of America Merrill Lynch, UBS Investment Bank, and Leerink Partners.</w:t>
      </w:r>
    </w:p>
    <w:p>
      <w:pPr>
        <w:spacing w:after="0" w:line="19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Timothy Morris, </w:t>
      </w:r>
      <w:r>
        <w:rPr>
          <w:rFonts w:ascii="Times New Roman" w:cs="Times New Roman" w:eastAsia="Times New Roman" w:hAnsi="Times New Roman"/>
          <w:sz w:val="18"/>
          <w:szCs w:val="18"/>
          <w:color w:val="auto"/>
        </w:rPr>
        <w:t>served as our Chief Financial Officer from October 2022 to October 2023. Mr. Morris is a veteran pharmaceutical executive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extensive professional finance and accounting background in both public and private companies, including over 25 years in public biotechnology companies as CFO. Prior to joining Opthea, he served as Chief Operating Officer/Chief Financial Officer at Humanigen, Inc. since August 2020. Previously, Mr. Morris was Chief Financial Officer of Iovance Biotherapeutics which raised over US$1 billion in four offerings to fund expansion of the clinical development program, build manufacturing capability and to prepare for commercialization. Prior to IOVA, Mr. Morris was Chief Financial Officer of AcelRx Pharmaceuticals, VIVUS Inc., and Questcor Pharmaceuticals Inc. He is currently on the Board of Directors of DBV Technologies S.A., Aquestive Therapeutics, Humanetics Corporation and Univercells S.A. Mr. Morris earned his Bachelor of Science in Business from California State University, Chico.</w:t>
      </w:r>
    </w:p>
    <w:p>
      <w:pPr>
        <w:spacing w:after="0" w:line="18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Karen Adams, </w:t>
      </w:r>
      <w:r>
        <w:rPr>
          <w:rFonts w:ascii="Times New Roman" w:cs="Times New Roman" w:eastAsia="Times New Roman" w:hAnsi="Times New Roman"/>
          <w:sz w:val="18"/>
          <w:szCs w:val="18"/>
          <w:color w:val="auto"/>
        </w:rPr>
        <w:t>has served as our Vice President Finance since May 2021 and as our Company Secretary since June 2021. Prior to joining Opthea, 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Adams was the Chief Financial Officer of the Victor Smorgon Group, an investment management company, from December 2018 to May 2021. From February 2014 to August 2018, she served as the Director of Finance of Nexvet Biopharma Pty Ltd, a veterinary biologic therapeutics company. Karen holds a Graduate Degree in Business from Swinburne University and is a member of the Australian Society of Chartered Accountant, Graduate of Australian Institute of Company Directors and a Fellow of the Institute of Company Secretaries.</w:t>
      </w:r>
    </w:p>
    <w:p>
      <w:pPr>
        <w:spacing w:after="0" w:line="18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Judith Robertson </w:t>
      </w:r>
      <w:r>
        <w:rPr>
          <w:rFonts w:ascii="Times New Roman" w:cs="Times New Roman" w:eastAsia="Times New Roman" w:hAnsi="Times New Roman"/>
          <w:sz w:val="18"/>
          <w:szCs w:val="18"/>
          <w:color w:val="auto"/>
        </w:rPr>
        <w:t>has served as our Chief Commercial Officer since January 1, 2022. Ms. Robertson served as a member of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June 2021 to January 1, 2022. Since 2019, Ms. Robertson has served as a member of the board of directors of Durect Corporation, a biotechnology company. From December 2020 to April 2021, Ms. Robertson served as the Chief Commercial Officer of Eleusis Ltd. From December 2016 she served as the Chief Commercial Officer of Aerie Pharmaceuticals Inc., a publicly held biotechnology company. Prior to Aerie, Ms. Robertson was Vice President Immunology and Ophthalmology Global Commercial Strategy Leader at Johnson and Johnson, Janssen Pharmaceuticals, and Vice President, Ophthalmology Global Business Franchise Head at Novartis (formerly Alcon). Ms. Robertson’s prior experience also includes sales and marketing roles at Novartis, Bristol Myers Squibb and Searle USA. Ms. Robertson received Bachelor of Arts from Ryerson University and a Master of Business Administration from Kellogg School of Management at Northwestern University.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9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414042"/>
        </w:rPr>
        <w:t xml:space="preserve">Julie Clark MD </w:t>
      </w:r>
      <w:r>
        <w:rPr>
          <w:rFonts w:ascii="Times New Roman" w:cs="Times New Roman" w:eastAsia="Times New Roman" w:hAnsi="Times New Roman"/>
          <w:sz w:val="18"/>
          <w:szCs w:val="18"/>
          <w:color w:val="414042"/>
        </w:rPr>
        <w:t>has served as our Senior Vice President of Clinical Development of Opthea since February 2024. Dr. Clark brings more than 15 years</w:t>
      </w:r>
      <w:r>
        <w:rPr>
          <w:rFonts w:ascii="Times New Roman" w:cs="Times New Roman" w:eastAsia="Times New Roman" w:hAnsi="Times New Roman"/>
          <w:sz w:val="18"/>
          <w:szCs w:val="18"/>
          <w:i w:val="1"/>
          <w:iCs w:val="1"/>
          <w:color w:val="414042"/>
        </w:rPr>
        <w:t xml:space="preserve"> </w:t>
      </w:r>
      <w:r>
        <w:rPr>
          <w:rFonts w:ascii="Times New Roman" w:cs="Times New Roman" w:eastAsia="Times New Roman" w:hAnsi="Times New Roman"/>
          <w:sz w:val="18"/>
          <w:szCs w:val="18"/>
          <w:color w:val="414042"/>
        </w:rPr>
        <w:t>of experience in ophthalmology and clinical development, encompassing expertise in early and late-stage development programs, regulatory submissions, and approvals. Her impactful contributions contributed to the approval and successful launches of several pivotal retinal therapies, including Eylea, Jetrea, and Beovu. Previously, as the Chief Medical Officer at Adverum, Dr. Clark played a pivotal role in pioneering intravitreal gene therapy for retinal diseases. In her most recent role as Vice President Clinical Development at IvericBio, an Astellas Company, she led the clinical development program that culminated in the August 2023 FDA approval of Izervay – an innovative complement inhibitor indicated for the treatment of geographic atrophy secondary to age-related macular degeneration. Dr. Clark earned an M.D. from Wake Forest University School of Medicine and holds a B.S. in Biology from Wake Forest University. Additionally, she earned an M.S. in Biotechnology from the Center for Biotechnology Education and Advanced Biotechnology Studies at Johns Hopkins University. Her academic achievements underscore her commitment to excellence in ophthalmology, medical research, and patient care</w:t>
      </w:r>
    </w:p>
    <w:p>
      <w:pPr>
        <w:spacing w:after="0" w:line="18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Fang Li PhD </w:t>
      </w:r>
      <w:r>
        <w:rPr>
          <w:rFonts w:ascii="Times New Roman" w:cs="Times New Roman" w:eastAsia="Times New Roman" w:hAnsi="Times New Roman"/>
          <w:sz w:val="18"/>
          <w:szCs w:val="18"/>
          <w:color w:val="auto"/>
        </w:rPr>
        <w:t>has served as our Senior Vice President Regulatory Affairs of Opthea since February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414042"/>
        </w:rPr>
        <w:t>Dr. Li is an accomplished regulatory affairs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414042"/>
        </w:rPr>
        <w:t>professional with over three decades of experience in pharmaceutical development and regulatory affairs. She has held leadership positions at Novartis, Alcon, and Bausch &amp; Lomb, where her contributions encompass health authority interactions, U.S. Food and Drug Administration advisory committee meetings, and guiding regulatory teams. Dr. Li’s significant achievements include her pivotal role in securing FDA approvals for numerous ophthalmology products, including Jetrea, Lotemax Ointment, and Systane Complete. She also contributed to the development and registration of critical medicines, including Beovu, Pazeo, Lotemax Gel, Besivance, and Vyzulta. Dr. Li received a Regulatory Affairs certification in 2005. She possesses a comprehensive skill set that spans various pharmaceutical domains including expertise in Chemistry, Manufacturing, and Controls, clinical development, product labeling, advertising and promotion.</w:t>
      </w:r>
    </w:p>
    <w:p>
      <w:pPr>
        <w:spacing w:after="0" w:line="18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John Han PharmD </w:t>
      </w:r>
      <w:r>
        <w:rPr>
          <w:rFonts w:ascii="Times New Roman" w:cs="Times New Roman" w:eastAsia="Times New Roman" w:hAnsi="Times New Roman"/>
          <w:sz w:val="18"/>
          <w:szCs w:val="18"/>
          <w:color w:val="auto"/>
        </w:rPr>
        <w:t>has served as our Vice President, Medical Affairs of Opthea since April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414042"/>
        </w:rPr>
        <w:t>Dr. Han’s career in biotechnology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414042"/>
        </w:rPr>
        <w:t>pharmaceutical industry spans over 25 years, with 19 years in ophthalmology. He brings experience in early and late-stage drug development in both anterior and posterior ophthalmology. He has a proven track record of success in supporting several product launches, including launch of Eylea for multiple retinal indications. Recently, Dr. Han held the position as Vice President of Medical Affairs at Adverum. He has held various prominent leadership positions in the industry as well as in pharmacy practice. Industry experience spans various therapeutic areas in ophthalmology, oncology, cardiology, and metabolism, working with small molecules, biologics, and gene therapies. Prior experience includes work at Regeneron, Amgen, Chiron, and Bayer. He also served as a faculty member in academia. Dr. Han holds a PharmD from University of California San Francisco School of Pharmacy and a graduate from University of California Berkeley in Immunology and Microbiology.</w:t>
      </w:r>
    </w:p>
    <w:p>
      <w:pPr>
        <w:spacing w:after="0" w:line="18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Mark O Neill MSc. B Chem Eng, </w:t>
      </w:r>
      <w:r>
        <w:rPr>
          <w:rFonts w:ascii="Times New Roman" w:cs="Times New Roman" w:eastAsia="Times New Roman" w:hAnsi="Times New Roman"/>
          <w:sz w:val="18"/>
          <w:szCs w:val="18"/>
          <w:color w:val="auto"/>
        </w:rPr>
        <w:t>has served as our Vice President of Chemistry, Manufacturing and Controls since January 2022. Mr. O’Neill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most recently head of Process Development for Avexis Gene therapies where he orchestrated all product development and technical operations activities pertaining to the startup and licensure of Zolgensma drug substance manufacturing at the Colorado site. Prior to Avexis, he was Vice President and General Manager of the Thermo Fisher Groningen Single Use Biologics Manufacturing Facility in Groningen, The Netherlands, where he oversaw all operations including startup of commercial manufacturing and initial commercial licensure at the facility. Mr. O’Neill has over 30 years of experience in the manufacturing of biopharmaceuticals including 20 years with Amgen where he gained extensive experience in all aspects of lifecycle management including Quality, Engineering, Production, Development, Supply Chain and Business Development. Mark holds a Master of Science Degree from Colorado School of Mines in Environmental and Chemical Engineering and a Bachelor of Science Degree in Chemical Engineering from the University of Colorado</w:t>
      </w:r>
    </w:p>
    <w:p>
      <w:pPr>
        <w:spacing w:after="0" w:line="18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Bruno Gagnon, </w:t>
      </w:r>
      <w:r>
        <w:rPr>
          <w:rFonts w:ascii="Times New Roman" w:cs="Times New Roman" w:eastAsia="Times New Roman" w:hAnsi="Times New Roman"/>
          <w:sz w:val="18"/>
          <w:szCs w:val="18"/>
          <w:color w:val="auto"/>
        </w:rPr>
        <w:t>has served as our Senior Vice President, Global Clinical Operations since July 2022. Mr Gagnon is former Sr. Vice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Operations at Eidos Therapeutics, a BridgeBio company in San Francisco, CA. Mr. Gagnon also served as Vice President of Clinical Operations at BioMarin Pharmaceutical. Previously, held positions of increasing responsibilities at Roche Diagnostics, Chiron and Hoechst Marion Roussel (now Sanofi). Over his 30-year career, functions under his leadership have included Global Clinical Trial Management, Patient Advocacy, Medical Writing, Outsourcing and Contracts, Supply Chain Management, Clinical Data Management, Clinical Systems, Document Management and Clinical Training. He has earned a Bachelor’s Degree from the School of Pharmacy, Laval University and a Master’s in Pharmaceutical Sciences from University of Montreal, both in Quebec, Canada.</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9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414042"/>
        </w:rPr>
        <w:t xml:space="preserve">Kevin Bitter </w:t>
      </w:r>
      <w:r>
        <w:rPr>
          <w:rFonts w:ascii="Times New Roman" w:cs="Times New Roman" w:eastAsia="Times New Roman" w:hAnsi="Times New Roman"/>
          <w:sz w:val="18"/>
          <w:szCs w:val="18"/>
          <w:color w:val="414042"/>
        </w:rPr>
        <w:t>has served as our Vice President &amp; Corporate Strategy since November 22, 2023. K</w:t>
      </w:r>
      <w:r>
        <w:rPr>
          <w:rFonts w:ascii="Times New Roman" w:cs="Times New Roman" w:eastAsia="Times New Roman" w:hAnsi="Times New Roman"/>
          <w:sz w:val="18"/>
          <w:szCs w:val="18"/>
          <w:color w:val="000000"/>
        </w:rPr>
        <w:t>evin brings broad experience in strategic planning and</w:t>
      </w:r>
      <w:r>
        <w:rPr>
          <w:rFonts w:ascii="Times New Roman" w:cs="Times New Roman" w:eastAsia="Times New Roman" w:hAnsi="Times New Roman"/>
          <w:sz w:val="18"/>
          <w:szCs w:val="18"/>
          <w:i w:val="1"/>
          <w:iCs w:val="1"/>
          <w:color w:val="414042"/>
        </w:rPr>
        <w:t xml:space="preserve"> </w:t>
      </w:r>
      <w:r>
        <w:rPr>
          <w:rFonts w:ascii="Times New Roman" w:cs="Times New Roman" w:eastAsia="Times New Roman" w:hAnsi="Times New Roman"/>
          <w:sz w:val="18"/>
          <w:szCs w:val="18"/>
          <w:color w:val="000000"/>
        </w:rPr>
        <w:t>corporate development for life sciences companies, including two completed M&amp;A transactions. Most recently, he led business development at Graybug Vision to in-license several development programs for retinal and corneal diseases. Prior to Graybug, he was responsible for strategic projects at Corium. Kevin holds a BS in Finance and Marketing from New York University.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Jeremy Levin, D.Phil., MB Bchir </w:t>
      </w:r>
      <w:r>
        <w:rPr>
          <w:rFonts w:ascii="Times New Roman" w:cs="Times New Roman" w:eastAsia="Times New Roman" w:hAnsi="Times New Roman"/>
          <w:sz w:val="18"/>
          <w:szCs w:val="18"/>
          <w:color w:val="auto"/>
        </w:rPr>
        <w:t>has served as the Chairperson of our board of directors since October 2020. Since March 2015, Dr. Levin has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Chief Executive Officer, and since April 2014, as the chairperson of the board of directors, of Ovid Therapeutics Inc., a biopharmaceutical company. From May 2012 to October 2013, Dr. Levin served as the President and Chief Executive Officer of Teva Pharmaceutical Industries Ltd., a publicly held pharmaceutical company. From September 2007 to December 2012, Dr. Levin held several roles at Bristol-Myers Squibb Company, a publicly held pharmaceutical company, ultimately serving as the Senior Vice President of Strategy, Alliances and Transactions. Dr. Levin also served as a member of the executive committee at Bristol-Myers Squibb Company. Dr. Levin earned a Bachelor of Arts in Zoology, Master of Arts in Cell Biology and D.Phil. in Chromatin Structure, all from University of Oxford, and a Bachelor of Medicine, Bachelor of Surgery from the University of Cambridge. We believe Dr. Levin’s extensive experience in the global biotechnology and pharmaceutical industry qualify him to serve on our board of directors.</w:t>
      </w:r>
    </w:p>
    <w:p>
      <w:pPr>
        <w:spacing w:after="0" w:line="18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Lawrence Gozlan </w:t>
      </w:r>
      <w:r>
        <w:rPr>
          <w:rFonts w:ascii="Times New Roman" w:cs="Times New Roman" w:eastAsia="Times New Roman" w:hAnsi="Times New Roman"/>
          <w:sz w:val="18"/>
          <w:szCs w:val="18"/>
          <w:color w:val="auto"/>
        </w:rPr>
        <w:t>has served as a member of our board of directors since July 2020. Since 2007, Mr. Gozlan has served as the Life Sciences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Manager of Jagen Pty Ltd., an international investment organization. Mr. Gozlan has also served as a member of the board of directors of Alterity Therapeutics Ltd., a drug development company, since 2011. Mr. Gozlan earned a Bachelor of Science in Microbiology and Immunology from the University of Melbourne. We believe Mr. Gozlan’s extensive investment experience in biotechnology and life sciences companies qualify him to serve on our board of directors.</w:t>
      </w:r>
    </w:p>
    <w:p>
      <w:pPr>
        <w:spacing w:after="0" w:line="18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Julia Haller, M.D. </w:t>
      </w:r>
      <w:r>
        <w:rPr>
          <w:rFonts w:ascii="Times New Roman" w:cs="Times New Roman" w:eastAsia="Times New Roman" w:hAnsi="Times New Roman"/>
          <w:sz w:val="18"/>
          <w:szCs w:val="18"/>
          <w:color w:val="auto"/>
        </w:rPr>
        <w:t>has served as a member of our board of directors since June 2021. Since 2007, Dr. Haller has served as Ophthalmologist-in-Chief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William Tasman, ME Endowed Chair at Wills Eye Hospital in Philadelphia. Dr. Haller is Professor and Chair of the Department of Ophthalmology at the Sidney Kimmel Medical College at Thomas Jefferson University as well as a director of Bristol Myers Squibb, a biopharmaceutical company and Outlook Therapeutics, a biopharmaceutical company. She is also a member of the National Academy of Medicine, the Chair of the College of Physicians of Philadelphia, Chair of the Heed Ophthalmic Society, past president of the Women in Medicine Legacy Foundation, and serves on several prestigious boards including John Hopkins Medical and Surgical Association (immediate past president), the Association of University Professors of Ophthalmology, and the Society of Heed Fellows. Dr. Haller received a Bachelor of Arts from Princeton University and an M.D. from Harvard Medical School. We believe Dr. Haller’s extensive experience as an internationally recognized ophthalmologist and vitreoretinal surgeon qualify her to serve on our board of directors.</w:t>
      </w:r>
    </w:p>
    <w:p>
      <w:pPr>
        <w:spacing w:after="0" w:line="18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Susan Orr, OD </w:t>
      </w:r>
      <w:r>
        <w:rPr>
          <w:rFonts w:ascii="Times New Roman" w:cs="Times New Roman" w:eastAsia="Times New Roman" w:hAnsi="Times New Roman"/>
          <w:sz w:val="18"/>
          <w:szCs w:val="18"/>
          <w:color w:val="auto"/>
        </w:rPr>
        <w:t>has served as a member of our board of directors since April 2022. Dr. Orr is an experienced medical and business leader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specialization in identifying, developing, and commercializing ophthalmic therapeutic product candidates. Since February 2020, Dr. Orr has served as the Chief Medical Officer at Claris Biotherapeutics, a biotechnology firm, and is a member of the Retina Global Board of Directors. From October 2018 to November 2019, Dr. Orr was the Chief Executive Officer at Notal Vision, an ophthalmic remote monitoring service provider. From July 2016 to September 2018, Dr. Orr served as Notal Vision’s Chief Medical Officer and Vice President of Medical Affairs. Prior to joining Notal Vision, Dr. held leadership roles at Alcon and Janssen across Marketing, Strategy, Business Development, and multiple Development functions, following 10 years in private practice in Canada. Dr. Orr earned a Bachelor of Science and a Doctor of Optometry from the University of Waterloo. We believe Dr. Orr’s extensive experience in ophthalmology and leadership qualifies her to serve on our board of directors.</w:t>
      </w:r>
    </w:p>
    <w:p>
      <w:pPr>
        <w:spacing w:after="0" w:line="185"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Quinton Oswald </w:t>
      </w:r>
      <w:r>
        <w:rPr>
          <w:rFonts w:ascii="Times New Roman" w:cs="Times New Roman" w:eastAsia="Times New Roman" w:hAnsi="Times New Roman"/>
          <w:sz w:val="18"/>
          <w:szCs w:val="18"/>
          <w:color w:val="auto"/>
        </w:rPr>
        <w:t>has served as a member of our board of directors since April 2022. Mr. Oswald brings over 25 years of international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experience, including onsite assignments in the U.S, Europe and South Africa. From April 2016 to December 2018, Mr. Oswald was the Chief Executive Officer of Notal Vision, a commercial stage ophthalmic home monitoring services provider with a focus on both wet and dry AMD. From April 2013 to April 2016, Mr. Oswald served as the President and Chief Executive Officer of Neurotech Pharmaceuticals, a biotechnology research company, and from September 2010 to April 2013, as the Chief Executive Officer of SARcode Bioscience, an ophthalmic biopharmaceutical company. We believe Mr. Oswalds extensive leadership experience in biotechnology companies qualifies him to serve on our board of directors.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9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Sujal Shah </w:t>
      </w:r>
      <w:r>
        <w:rPr>
          <w:rFonts w:ascii="Times New Roman" w:cs="Times New Roman" w:eastAsia="Times New Roman" w:hAnsi="Times New Roman"/>
          <w:sz w:val="18"/>
          <w:szCs w:val="18"/>
          <w:color w:val="auto"/>
        </w:rPr>
        <w:t>has served as a member of our board of directors since April 2024.</w:t>
      </w:r>
      <w:r>
        <w:rPr>
          <w:rFonts w:ascii="Times New Roman" w:cs="Times New Roman" w:eastAsia="Times New Roman" w:hAnsi="Times New Roman"/>
          <w:sz w:val="18"/>
          <w:szCs w:val="18"/>
          <w:color w:val="414042"/>
        </w:rPr>
        <w:t>Mr. Shah is an accomplished biopharmaceutical executive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414042"/>
        </w:rPr>
        <w:t>extensive leadership and product development experience and a track record in capital formation that complements the deep expertise in retinal disease, especially wet AMD, of the Opthea Board. Most recently, Mr. Shah served as President and Chief Executive Officer of CymaBay Therapeutics which was acquired by Gilead Sciences for approximately $4.3 billion in total equity value in March 2024</w:t>
      </w:r>
    </w:p>
    <w:p>
      <w:pPr>
        <w:spacing w:after="0" w:line="18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Daniel Spiegelman </w:t>
      </w:r>
      <w:r>
        <w:rPr>
          <w:rFonts w:ascii="Times New Roman" w:cs="Times New Roman" w:eastAsia="Times New Roman" w:hAnsi="Times New Roman"/>
          <w:sz w:val="18"/>
          <w:szCs w:val="18"/>
          <w:color w:val="auto"/>
        </w:rPr>
        <w:t>has served as a member of our board of directors since September 2020 to his resignation in April 2024. From May 2012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2020, Mr. Spiegelman served as Executive Vice President, Chief Financial Officer of BioMarin Pharmaceutical Inc., a biotechnology company. Mr. Spiegelman currently serves as Board Chairman for Tizona Therapeutics, and Audit Committee Chairman and for Myriad Genetics (NASDAQ: MYRD), Spruce Biosciences (NASDAQ: SPRB), Maze Therapeutics and Kyverna Therapeutics, and has previously served as board director for several other companies. Mr. Spiegelman has also served as a Venture Partner with Samsara BioCapital Since May 2023. From October 2008 to March 2018, Mr. Spiegelman served as a member of the board of directors of Cascadian Therapeutics, Inc., a publicly held biotechnology company that was acquired by Seattle Genetics, Inc. in 2018. From May 2009 to May 2012, Mr. Spiegelman served as a consultant to provide strategic financial management support to a portfolio of public and private life science companies. Mr. Spiegelman has also served as a member of the board of directors of Myriad Genetics, a molecular diagnostic company, since May 2020. Mr. Spiegelman earned a Bachelor of Arts from Stanford University and a Master of Business Administration from the Stanford Graduate School of Business. We believe Mr. Spiegelman’s extensive leadership experience in biotechnology and pharmaceutical companies qualify him to serve on our board of directors.</w:t>
      </w:r>
    </w:p>
    <w:p>
      <w:pPr>
        <w:spacing w:after="0" w:line="19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Anshul Thakral </w:t>
      </w:r>
      <w:r>
        <w:rPr>
          <w:rFonts w:ascii="Times New Roman" w:cs="Times New Roman" w:eastAsia="Times New Roman" w:hAnsi="Times New Roman"/>
          <w:sz w:val="18"/>
          <w:szCs w:val="18"/>
          <w:color w:val="auto"/>
        </w:rPr>
        <w:t>has served as a member of our board of directors since June 2023. Mr. Thakral is Chief Executive Officer and Board Member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Launch Therapeutics, a clinical development company backed by funds managed by global investment firm Carlyle and its life sciences franchise, Abingworth. Mr. Thakral has worked for over 20 years in the pharmaceutical and biotechnology industry and is an experienced executive, management consultant and entrepreneur. Mr. Thakral was previously Chief Commercial Officer and Executive Vice President of Peri and Post-Approval Services at PPD, and prior to that was Global Head of PPD Biotech. Before PPD, Mr. Thakral ran the global life sciences business unit at Gerson Lehrman Group and worked at McKinsey &amp; Company as an associate principal in the health care practice, where he provided strategic advice to global pharmaceutical and biotechnology companies on growth, research and development, business development and commercialization. He currently serves on the boards of TriNetX, Saama Technologies, Orsini Specialty Pharmacy, is an Operating Executive at Carlyle and is a Venture Partner at Abingworth. Mr. Thakral holds a Master’s degree in Biomedical Engineering from Johns Hopkins University and a Masters Business Administration (MBA) from the Wharton School at the University of Pennsylvania. We believe Mr. Thakral’s extensive experience in the global biotechnology and pharmaceutical industry qualifies him to serve on our board of directors.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are no family relationships among any of the members of our board of directors and our senior management.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board diversity matrix sets forth the information concerning the gender, demographic background and certain other characteristics of our board of directors as of the date of this annual report, as self-identified by its members, in accordance with Rule 5606 of the Nasdaq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27875" cy="2012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27875" cy="201295"/>
                    </a:xfrm>
                    <a:prstGeom prst="rect">
                      <a:avLst/>
                    </a:prstGeom>
                    <a:noFill/>
                  </pic:spPr>
                </pic:pic>
              </a:graphicData>
            </a:graphic>
          </wp:anchor>
        </w:drawing>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Diversity Matrix (As of August 6, 2024)</w:t>
      </w:r>
    </w:p>
    <w:p>
      <w:pPr>
        <w:spacing w:after="0" w:line="85"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632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Country of Principal Executive Offices: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1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43"/>
        </w:trPr>
        <w:tc>
          <w:tcPr>
            <w:tcW w:w="632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Foreign Private Issuer</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r>
      <w:tr>
        <w:trPr>
          <w:trHeight w:val="34"/>
        </w:trPr>
        <w:tc>
          <w:tcPr>
            <w:tcW w:w="6320" w:type="dxa"/>
            <w:vAlign w:val="bottom"/>
            <w:tcBorders>
              <w:left w:val="single" w:sz="8" w:color="auto"/>
              <w:bottom w:val="single" w:sz="8" w:color="auto"/>
              <w:right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3"/>
        </w:trPr>
        <w:tc>
          <w:tcPr>
            <w:tcW w:w="632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Disclosure Prohibited under Home Country Law</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1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r>
      <w:tr>
        <w:trPr>
          <w:trHeight w:val="34"/>
        </w:trPr>
        <w:tc>
          <w:tcPr>
            <w:tcW w:w="6320" w:type="dxa"/>
            <w:vAlign w:val="bottom"/>
            <w:tcBorders>
              <w:left w:val="single" w:sz="8" w:color="auto"/>
              <w:bottom w:val="single" w:sz="8" w:color="auto"/>
              <w:right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3"/>
        </w:trPr>
        <w:tc>
          <w:tcPr>
            <w:tcW w:w="632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1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58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21"/>
        </w:trPr>
        <w:tc>
          <w:tcPr>
            <w:tcW w:w="480" w:type="dxa"/>
            <w:vAlign w:val="bottom"/>
            <w:tcBorders>
              <w:left w:val="single" w:sz="8" w:color="auto"/>
            </w:tcBorders>
            <w:shd w:val="clear" w:color="auto" w:fill="CCEEFF"/>
          </w:tcPr>
          <w:p>
            <w:pPr>
              <w:spacing w:after="0"/>
              <w:rPr>
                <w:sz w:val="19"/>
                <w:szCs w:val="19"/>
                <w:color w:val="auto"/>
              </w:rPr>
            </w:pPr>
          </w:p>
        </w:tc>
        <w:tc>
          <w:tcPr>
            <w:tcW w:w="5840" w:type="dxa"/>
            <w:vAlign w:val="bottom"/>
            <w:tcBorders>
              <w:right w:val="single" w:sz="8" w:color="auto"/>
            </w:tcBorders>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2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Male</w:t>
            </w:r>
          </w:p>
        </w:tc>
        <w:tc>
          <w:tcPr>
            <w:tcW w:w="13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 Binary</w:t>
            </w:r>
          </w:p>
        </w:tc>
        <w:tc>
          <w:tcPr>
            <w:tcW w:w="11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Did Not</w:t>
            </w:r>
          </w:p>
        </w:tc>
      </w:tr>
      <w:tr>
        <w:trPr>
          <w:trHeight w:val="216"/>
        </w:trPr>
        <w:tc>
          <w:tcPr>
            <w:tcW w:w="480" w:type="dxa"/>
            <w:vAlign w:val="bottom"/>
            <w:tcBorders>
              <w:left w:val="single" w:sz="8" w:color="auto"/>
            </w:tcBorders>
            <w:shd w:val="clear" w:color="auto" w:fill="CCEEFF"/>
          </w:tcPr>
          <w:p>
            <w:pPr>
              <w:spacing w:after="0"/>
              <w:rPr>
                <w:sz w:val="18"/>
                <w:szCs w:val="18"/>
                <w:color w:val="auto"/>
              </w:rPr>
            </w:pPr>
          </w:p>
        </w:tc>
        <w:tc>
          <w:tcPr>
            <w:tcW w:w="5840" w:type="dxa"/>
            <w:vAlign w:val="bottom"/>
            <w:tcBorders>
              <w:right w:val="single" w:sz="8" w:color="auto"/>
            </w:tcBorders>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Disclose</w:t>
            </w:r>
          </w:p>
        </w:tc>
      </w:tr>
      <w:tr>
        <w:trPr>
          <w:trHeight w:val="277"/>
        </w:trPr>
        <w:tc>
          <w:tcPr>
            <w:tcW w:w="480" w:type="dxa"/>
            <w:vAlign w:val="bottom"/>
            <w:tcBorders>
              <w:left w:val="single" w:sz="8" w:color="auto"/>
              <w:bottom w:val="single" w:sz="8" w:color="CCEEFF"/>
            </w:tcBorders>
            <w:shd w:val="clear" w:color="auto" w:fill="CCEEFF"/>
          </w:tcPr>
          <w:p>
            <w:pPr>
              <w:spacing w:after="0"/>
              <w:rPr>
                <w:sz w:val="23"/>
                <w:szCs w:val="23"/>
                <w:color w:val="auto"/>
              </w:rPr>
            </w:pPr>
          </w:p>
        </w:tc>
        <w:tc>
          <w:tcPr>
            <w:tcW w:w="5840" w:type="dxa"/>
            <w:vAlign w:val="bottom"/>
            <w:tcBorders>
              <w:bottom w:val="single" w:sz="8" w:color="CCEEFF"/>
              <w:right w:val="single" w:sz="8" w:color="auto"/>
            </w:tcBorders>
            <w:shd w:val="clear" w:color="auto" w:fill="CCEEFF"/>
          </w:tcPr>
          <w:p>
            <w:pPr>
              <w:spacing w:after="0"/>
              <w:rPr>
                <w:sz w:val="23"/>
                <w:szCs w:val="23"/>
                <w:color w:val="auto"/>
              </w:rPr>
            </w:pPr>
          </w:p>
        </w:tc>
        <w:tc>
          <w:tcPr>
            <w:tcW w:w="1200" w:type="dxa"/>
            <w:vAlign w:val="bottom"/>
            <w:tcBorders>
              <w:bottom w:val="single" w:sz="8" w:color="CCEEFF"/>
              <w:right w:val="single" w:sz="8" w:color="auto"/>
            </w:tcBorders>
            <w:shd w:val="clear" w:color="auto" w:fill="CCEEFF"/>
          </w:tcPr>
          <w:p>
            <w:pPr>
              <w:spacing w:after="0"/>
              <w:rPr>
                <w:sz w:val="23"/>
                <w:szCs w:val="23"/>
                <w:color w:val="auto"/>
              </w:rPr>
            </w:pPr>
          </w:p>
        </w:tc>
        <w:tc>
          <w:tcPr>
            <w:tcW w:w="1220" w:type="dxa"/>
            <w:vAlign w:val="bottom"/>
            <w:tcBorders>
              <w:bottom w:val="single" w:sz="8" w:color="CCEEFF"/>
              <w:right w:val="single" w:sz="8" w:color="auto"/>
            </w:tcBorders>
            <w:shd w:val="clear" w:color="auto" w:fill="CCEEFF"/>
          </w:tcPr>
          <w:p>
            <w:pPr>
              <w:spacing w:after="0"/>
              <w:rPr>
                <w:sz w:val="23"/>
                <w:szCs w:val="23"/>
                <w:color w:val="auto"/>
              </w:rPr>
            </w:pPr>
          </w:p>
        </w:tc>
        <w:tc>
          <w:tcPr>
            <w:tcW w:w="1320" w:type="dxa"/>
            <w:vAlign w:val="bottom"/>
            <w:tcBorders>
              <w:bottom w:val="single" w:sz="8" w:color="CCEEFF"/>
              <w:right w:val="single" w:sz="8" w:color="auto"/>
            </w:tcBorders>
            <w:shd w:val="clear" w:color="auto" w:fill="CCEEFF"/>
          </w:tcPr>
          <w:p>
            <w:pPr>
              <w:spacing w:after="0"/>
              <w:rPr>
                <w:sz w:val="23"/>
                <w:szCs w:val="23"/>
                <w:color w:val="auto"/>
              </w:rPr>
            </w:pPr>
          </w:p>
        </w:tc>
        <w:tc>
          <w:tcPr>
            <w:tcW w:w="1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r>
      <w:tr>
        <w:trPr>
          <w:trHeight w:val="282"/>
        </w:trPr>
        <w:tc>
          <w:tcPr>
            <w:tcW w:w="6320" w:type="dxa"/>
            <w:vAlign w:val="bottom"/>
            <w:tcBorders>
              <w:top w:val="single" w:sz="8" w:color="auto"/>
              <w:left w:val="single" w:sz="8" w:color="auto"/>
              <w:bottom w:val="single" w:sz="8" w:color="CCEEFF"/>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200" w:type="dxa"/>
            <w:vAlign w:val="bottom"/>
            <w:tcBorders>
              <w:top w:val="single" w:sz="8" w:color="auto"/>
              <w:bottom w:val="single" w:sz="8" w:color="CCEEFF"/>
              <w:right w:val="single" w:sz="8" w:color="CCEEFF"/>
            </w:tcBorders>
            <w:shd w:val="clear" w:color="auto" w:fill="CCEEFF"/>
          </w:tcPr>
          <w:p>
            <w:pPr>
              <w:spacing w:after="0"/>
              <w:rPr>
                <w:sz w:val="24"/>
                <w:szCs w:val="24"/>
                <w:color w:val="auto"/>
              </w:rPr>
            </w:pPr>
          </w:p>
        </w:tc>
        <w:tc>
          <w:tcPr>
            <w:tcW w:w="1220" w:type="dxa"/>
            <w:vAlign w:val="bottom"/>
            <w:tcBorders>
              <w:top w:val="single" w:sz="8" w:color="auto"/>
              <w:bottom w:val="single" w:sz="8" w:color="CCEEFF"/>
              <w:right w:val="single" w:sz="8" w:color="CCEEFF"/>
            </w:tcBorders>
            <w:shd w:val="clear" w:color="auto" w:fill="CCEEFF"/>
          </w:tcPr>
          <w:p>
            <w:pPr>
              <w:spacing w:after="0"/>
              <w:rPr>
                <w:sz w:val="24"/>
                <w:szCs w:val="24"/>
                <w:color w:val="auto"/>
              </w:rPr>
            </w:pPr>
          </w:p>
        </w:tc>
        <w:tc>
          <w:tcPr>
            <w:tcW w:w="1320" w:type="dxa"/>
            <w:vAlign w:val="bottom"/>
            <w:tcBorders>
              <w:top w:val="single" w:sz="8" w:color="auto"/>
              <w:bottom w:val="single" w:sz="8" w:color="CCEEFF"/>
              <w:right w:val="single" w:sz="8" w:color="CCEEFF"/>
            </w:tcBorders>
            <w:shd w:val="clear" w:color="auto" w:fill="CCEEFF"/>
          </w:tcPr>
          <w:p>
            <w:pPr>
              <w:spacing w:after="0"/>
              <w:rPr>
                <w:sz w:val="24"/>
                <w:szCs w:val="24"/>
                <w:color w:val="auto"/>
              </w:rPr>
            </w:pPr>
          </w:p>
        </w:tc>
        <w:tc>
          <w:tcPr>
            <w:tcW w:w="1180" w:type="dxa"/>
            <w:vAlign w:val="bottom"/>
            <w:tcBorders>
              <w:top w:val="single" w:sz="8" w:color="auto"/>
              <w:bottom w:val="single" w:sz="8" w:color="CCEEFF"/>
              <w:right w:val="single" w:sz="8" w:color="auto"/>
            </w:tcBorders>
            <w:shd w:val="clear" w:color="auto" w:fill="CCEEFF"/>
          </w:tcPr>
          <w:p>
            <w:pPr>
              <w:spacing w:after="0"/>
              <w:rPr>
                <w:sz w:val="24"/>
                <w:szCs w:val="24"/>
                <w:color w:val="auto"/>
              </w:rPr>
            </w:pPr>
          </w:p>
        </w:tc>
      </w:tr>
      <w:tr>
        <w:trPr>
          <w:trHeight w:val="243"/>
        </w:trPr>
        <w:tc>
          <w:tcPr>
            <w:tcW w:w="632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Directors</w:t>
            </w:r>
          </w:p>
        </w:tc>
        <w:tc>
          <w:tcPr>
            <w:tcW w:w="1200" w:type="dxa"/>
            <w:vAlign w:val="bottom"/>
            <w:tcBorders>
              <w:top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tcBorders>
              <w:top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tcBorders>
              <w:top w:val="single" w:sz="8" w:color="auto"/>
              <w:right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34"/>
        </w:trPr>
        <w:tc>
          <w:tcPr>
            <w:tcW w:w="6320" w:type="dxa"/>
            <w:vAlign w:val="bottom"/>
            <w:tcBorders>
              <w:left w:val="single" w:sz="8" w:color="auto"/>
              <w:bottom w:val="single" w:sz="8" w:color="auto"/>
              <w:right w:val="single" w:sz="8" w:color="auto"/>
            </w:tcBorders>
            <w:gridSpan w:val="2"/>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82"/>
        </w:trPr>
        <w:tc>
          <w:tcPr>
            <w:tcW w:w="6320" w:type="dxa"/>
            <w:vAlign w:val="bottom"/>
            <w:tcBorders>
              <w:left w:val="single" w:sz="8" w:color="auto"/>
              <w:bottom w:val="single" w:sz="8" w:color="CCEEFF"/>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200" w:type="dxa"/>
            <w:vAlign w:val="bottom"/>
            <w:tcBorders>
              <w:bottom w:val="single" w:sz="8" w:color="CCEEFF"/>
              <w:right w:val="single" w:sz="8" w:color="CCEEFF"/>
            </w:tcBorders>
            <w:shd w:val="clear" w:color="auto" w:fill="CCEEFF"/>
          </w:tcPr>
          <w:p>
            <w:pPr>
              <w:spacing w:after="0"/>
              <w:rPr>
                <w:sz w:val="24"/>
                <w:szCs w:val="24"/>
                <w:color w:val="auto"/>
              </w:rPr>
            </w:pPr>
          </w:p>
        </w:tc>
        <w:tc>
          <w:tcPr>
            <w:tcW w:w="1220" w:type="dxa"/>
            <w:vAlign w:val="bottom"/>
            <w:tcBorders>
              <w:bottom w:val="single" w:sz="8" w:color="CCEEFF"/>
              <w:right w:val="single" w:sz="8" w:color="CCEEFF"/>
            </w:tcBorders>
            <w:shd w:val="clear" w:color="auto" w:fill="CCEEFF"/>
          </w:tcPr>
          <w:p>
            <w:pPr>
              <w:spacing w:after="0"/>
              <w:rPr>
                <w:sz w:val="24"/>
                <w:szCs w:val="24"/>
                <w:color w:val="auto"/>
              </w:rPr>
            </w:pPr>
          </w:p>
        </w:tc>
        <w:tc>
          <w:tcPr>
            <w:tcW w:w="1320" w:type="dxa"/>
            <w:vAlign w:val="bottom"/>
            <w:tcBorders>
              <w:bottom w:val="single" w:sz="8" w:color="CCEEFF"/>
              <w:right w:val="single" w:sz="8" w:color="CCEEFF"/>
            </w:tcBorders>
            <w:shd w:val="clear" w:color="auto" w:fill="CCEEFF"/>
          </w:tcPr>
          <w:p>
            <w:pPr>
              <w:spacing w:after="0"/>
              <w:rPr>
                <w:sz w:val="24"/>
                <w:szCs w:val="24"/>
                <w:color w:val="auto"/>
              </w:rPr>
            </w:pPr>
          </w:p>
        </w:tc>
        <w:tc>
          <w:tcPr>
            <w:tcW w:w="118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43"/>
        </w:trPr>
        <w:tc>
          <w:tcPr>
            <w:tcW w:w="632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Underrepresented Individual in Home Country Jurisdiction</w:t>
            </w:r>
          </w:p>
        </w:tc>
        <w:tc>
          <w:tcPr>
            <w:tcW w:w="12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center"/>
              <w:ind w:right="1171"/>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top w:val="single" w:sz="8" w:color="auto"/>
              <w:right w:val="single" w:sz="8" w:color="auto"/>
            </w:tcBorders>
          </w:tcPr>
          <w:p>
            <w:pPr>
              <w:spacing w:after="0"/>
              <w:rPr>
                <w:sz w:val="21"/>
                <w:szCs w:val="21"/>
                <w:color w:val="auto"/>
              </w:rPr>
            </w:pPr>
          </w:p>
        </w:tc>
      </w:tr>
      <w:tr>
        <w:trPr>
          <w:trHeight w:val="34"/>
        </w:trPr>
        <w:tc>
          <w:tcPr>
            <w:tcW w:w="6320" w:type="dxa"/>
            <w:vAlign w:val="bottom"/>
            <w:tcBorders>
              <w:left w:val="single" w:sz="8" w:color="auto"/>
              <w:bottom w:val="single" w:sz="8" w:color="auto"/>
              <w:right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3"/>
        </w:trPr>
        <w:tc>
          <w:tcPr>
            <w:tcW w:w="632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LGBTQ+</w:t>
            </w:r>
          </w:p>
        </w:tc>
        <w:tc>
          <w:tcPr>
            <w:tcW w:w="1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jc w:val="center"/>
              <w:ind w:right="1171"/>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right w:val="single" w:sz="8" w:color="auto"/>
            </w:tcBorders>
          </w:tcPr>
          <w:p>
            <w:pPr>
              <w:spacing w:after="0"/>
              <w:rPr>
                <w:sz w:val="21"/>
                <w:szCs w:val="21"/>
                <w:color w:val="auto"/>
              </w:rPr>
            </w:pPr>
          </w:p>
        </w:tc>
      </w:tr>
      <w:tr>
        <w:trPr>
          <w:trHeight w:val="34"/>
        </w:trPr>
        <w:tc>
          <w:tcPr>
            <w:tcW w:w="6320" w:type="dxa"/>
            <w:vAlign w:val="bottom"/>
            <w:tcBorders>
              <w:left w:val="single" w:sz="8" w:color="auto"/>
              <w:bottom w:val="single" w:sz="8" w:color="auto"/>
              <w:right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3"/>
        </w:trPr>
        <w:tc>
          <w:tcPr>
            <w:tcW w:w="632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jc w:val="center"/>
              <w:ind w:right="1171"/>
              <w:spacing w:after="0"/>
              <w:rPr>
                <w:sz w:val="20"/>
                <w:szCs w:val="20"/>
                <w:color w:val="auto"/>
              </w:rPr>
            </w:pPr>
            <w:r>
              <w:rPr>
                <w:rFonts w:ascii="Times New Roman" w:cs="Times New Roman" w:eastAsia="Times New Roman" w:hAnsi="Times New Roman"/>
                <w:sz w:val="17"/>
                <w:szCs w:val="17"/>
                <w:color w:val="auto"/>
                <w:w w:val="70"/>
              </w:rPr>
              <w:t>1</w:t>
            </w:r>
          </w:p>
        </w:tc>
        <w:tc>
          <w:tcPr>
            <w:tcW w:w="1180" w:type="dxa"/>
            <w:vAlign w:val="bottom"/>
            <w:tcBorders>
              <w:right w:val="single" w:sz="8" w:color="auto"/>
            </w:tcBorders>
          </w:tcPr>
          <w:p>
            <w:pPr>
              <w:spacing w:after="0"/>
              <w:rPr>
                <w:sz w:val="21"/>
                <w:szCs w:val="2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58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459"/>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6B.</w:t>
            </w:r>
          </w:p>
        </w:tc>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remuneration policy is to align director and senior management objectives with shareholder and business objectives by providing a fixed remuneration component and typically offering long-term incentives based on key performance areas. Our board of directors believes the remuneration policy to be appropriate and effective in its ability to attract and retain the best executives and directors to run and manage the consolidated entity, as well as create goal congruence between directors, executives and shareholders. Our board of directors and the Remuneration Committee are responsible for determining the appropriate remuneration package for our senior management, including our Chief Executive Officer.</w:t>
      </w:r>
    </w:p>
    <w:p>
      <w:pPr>
        <w:spacing w:after="0" w:line="18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Australian executives and directors receive a superannuation guarantee contribution required under Australian law and do not receive any other retirement benefits.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of Senior Management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fiscal year ended June 30, 2024, the aggregate cash remuneration paid to our senior management was US$2,805,182 (2023:US$2,420,219).</w:t>
      </w:r>
    </w:p>
    <w:p>
      <w:pPr>
        <w:spacing w:after="0" w:line="22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senior management receive fixed compensation and performance-linked remuneration. The level of fixed remuneration is set to provide a base level of compensation which is both appropriate to the applicable position and is competitive in the marketplace. The Remuneration Committee accesses external advice independent of senior management if required. Fixed compensation is comprised of base salary and superannuation contribution and is reviewed every 12 months by the Remuneration Committee.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9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Performance-linked remuneration consists of short-term and long-term incentives. The objective of short-term incentives is to link the achievement of our operational targets with the remuneration received by our senior management charged with meeting those targets. Total potential short-term incentives are set at a level that we believe provides sufficient incentive to our senior management to achieve the operational targets at a cost to us that is reasonable under the circumstances. Short-term incentives may include cash bonuses based on the extent to which specific targets set at the beginning of each fiscal year are met. The targets consist of a number of key performance indicators covering corporate objectives and individual measures of performance. Individual performance indicators are linked to our development plans. Our Remuneration Committee determines, on an annual basis and after consideration of performance against the key performance indicators, the amount, if any, of short-term incentives payable to our senior management. Payments of short-term incentive bonuses are made in the following reporting period.</w:t>
      </w:r>
    </w:p>
    <w:p>
      <w:pPr>
        <w:spacing w:after="0" w:line="19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also provide long-term incentives through option grants under our Long-Term Incentive Plan. The objective of the Long-Term Incentive Plan is to reward our management and key employees in a manner that aligns this element of compensation with the creation of shareholder wealth. Long Term Incentive Plan grants are made to senior management and employees who are able to influence the generation of shareholder wealth and have a direct impact on our performance and development. Option vesting conditions are based on continued service to us.</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making remuneration determinations for our senior management, the Remuneration Committee considers operational contributions by our senior management as well as the following performance indicators: revenue, loss before tax, tax benefit, loss after tax, basic loss per ordinary share, net tangible assets per share and changes in prevailing trading prices of our ordinary shares on the ASX.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of Non-Employee Directors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non-employee directors receive a fixed fee annually, which is reviewed by our board of directors on an annual basis. Dr. Orr and Mses. Haller, and Messrs. Oswald, Thakral and Gozlan are each entitled to an annual fixed fee of US$50,000/A$65,700,. Mr. Spiegelman was entitled to an annual fixed fee of US$75,000 (inclusive of fees for his service as chairperson of the audit and risk committee and nominations and governance committee member fee up until his resignation). Mr Shah is entitled to an annual fix fee of US$70,000 (inclusive of fees for his service as chairperson of the audit and risk committee) pro rata for the service period served. Dr. Levin is entitled to an annual fixed fee of US$75,000 (for his service as chairperson of the board of directors). Board members are entitled to an annual fixed fee of US$10,000/A$13,140 for service as Chair of any other committees and US$5,000/A$6,570 for service on any other committee in a non-Chair role. Unless otherwise noted, the fixed fees cover both service on the board of directors and committees of the board of directors. The remuneration of our non-employee directors is reviewed by our board of directors on an annual basis. Non-employee directors are not provided with retirement benefits apart from statutory superannuation, which is only applicable to Australian resident directors. Non-employee directors are reimbursed for costs directly related to conducting business related to their service on our board of directors.</w:t>
      </w:r>
    </w:p>
    <w:p>
      <w:pPr>
        <w:spacing w:after="0" w:line="19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implemented a non-executive director share and option plan, or the NED Plan, in 2014. Under the NED Plan, present and future non-executive directors may:</w:t>
      </w:r>
    </w:p>
    <w:p>
      <w:pPr>
        <w:spacing w:after="0" w:line="162" w:lineRule="exact"/>
        <w:rPr>
          <w:sz w:val="20"/>
          <w:szCs w:val="20"/>
          <w:color w:val="auto"/>
        </w:rPr>
      </w:pPr>
    </w:p>
    <w:p>
      <w:pPr>
        <w:ind w:left="760" w:hanging="378"/>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to receive ordinary shares or options to purchase ordinary shares in lieu of receiving some or all of their annual fixed fee;</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awarded ordinary shares or options to purchase ordinary shares in lieu of additional cash remuneration in respect of services provided to the Company which in the opinion of the board of directors are outside the scope of the ordinary duties of the relevant director; and</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be awarded ordinary shares or options to purchase ordinary shares as part of the directors’ remuneration in addition to any existing cash remuneration paid to directors (if any).</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NED Plan is designed to assist us in preserving our cash for use toward advancing the clinical development of our product candidate and provide our non-employee directors an opportunity to demonstrate their commitment and support for us through sacrificing some or all of their cash fees for ordinary shares or options. The NED Plan also provides us with further flexibility in the design of the directors’ remuneration packages and in turn assists us with retaining existing directors and attracting new additional directors with the relevant experience and expertise.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94"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For the fiscal year ended June 30, 2024, the aggregate cash remuneration paid to our non-employee directors was US$715,794 (2023:US$615,492), including Nil in cash reimbursements.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with Senior Management</w:t>
      </w:r>
    </w:p>
    <w:p>
      <w:pPr>
        <w:spacing w:after="0" w:line="229"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 key provisions of the employment agreements are set out below for each member of our senior management. None of these employment agreements have termination dates. The base salary under the employment agreements may be increased by the board of directors from time to time.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Benefits upon Termination without</w:t>
            </w:r>
          </w:p>
        </w:tc>
      </w:tr>
      <w:tr>
        <w:trPr>
          <w:trHeight w:val="252"/>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1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120" w:type="dxa"/>
            <w:vAlign w:val="bottom"/>
          </w:tcPr>
          <w:p>
            <w:pPr>
              <w:spacing w:after="0"/>
              <w:rPr>
                <w:sz w:val="21"/>
                <w:szCs w:val="21"/>
                <w:color w:val="auto"/>
              </w:rPr>
            </w:pPr>
          </w:p>
        </w:tc>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120" w:type="dxa"/>
            <w:vAlign w:val="bottom"/>
          </w:tcPr>
          <w:p>
            <w:pPr>
              <w:spacing w:after="0"/>
              <w:rPr>
                <w:sz w:val="21"/>
                <w:szCs w:val="21"/>
                <w:color w:val="auto"/>
              </w:rPr>
            </w:pPr>
          </w:p>
        </w:tc>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Termination without Cause</w:t>
            </w:r>
          </w:p>
        </w:tc>
        <w:tc>
          <w:tcPr>
            <w:tcW w:w="100" w:type="dxa"/>
            <w:vAlign w:val="bottom"/>
          </w:tcPr>
          <w:p>
            <w:pPr>
              <w:spacing w:after="0"/>
              <w:rPr>
                <w:sz w:val="21"/>
                <w:szCs w:val="21"/>
                <w:color w:val="auto"/>
              </w:rPr>
            </w:pP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Cause</w:t>
            </w:r>
          </w:p>
        </w:tc>
      </w:tr>
      <w:tr>
        <w:trPr>
          <w:trHeight w:val="203"/>
        </w:trPr>
        <w:tc>
          <w:tcPr>
            <w:tcW w:w="18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Fred Guerard</w:t>
            </w:r>
          </w:p>
        </w:tc>
        <w:tc>
          <w:tcPr>
            <w:tcW w:w="12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w w:val="98"/>
              </w:rPr>
              <w:t>October 27, 2023</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US$550,000 per</w:t>
            </w:r>
          </w:p>
        </w:tc>
        <w:tc>
          <w:tcPr>
            <w:tcW w:w="1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Not less than twelve months'</w:t>
            </w:r>
          </w:p>
        </w:tc>
        <w:tc>
          <w:tcPr>
            <w:tcW w:w="100" w:type="dxa"/>
            <w:vAlign w:val="bottom"/>
            <w:shd w:val="clear" w:color="auto" w:fill="CCEEFF"/>
          </w:tcPr>
          <w:p>
            <w:pPr>
              <w:spacing w:after="0"/>
              <w:rPr>
                <w:sz w:val="17"/>
                <w:szCs w:val="17"/>
                <w:color w:val="auto"/>
              </w:rPr>
            </w:pPr>
          </w:p>
        </w:tc>
        <w:tc>
          <w:tcPr>
            <w:tcW w:w="40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Upon notice of termination by us any options that have</w:t>
            </w:r>
          </w:p>
        </w:tc>
      </w:tr>
      <w:tr>
        <w:trPr>
          <w:trHeight w:val="21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or payment in lieu of</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will vest during the notice period will be</w:t>
            </w:r>
          </w:p>
        </w:tc>
      </w:tr>
      <w:tr>
        <w:trPr>
          <w:trHeight w:val="21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(from October 27,</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period (if by us)</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 all other options will lapse at the discretion of</w:t>
            </w:r>
          </w:p>
        </w:tc>
      </w:tr>
      <w:tr>
        <w:trPr>
          <w:trHeight w:val="23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2023)</w:t>
            </w: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our board of directors</w:t>
            </w:r>
          </w:p>
        </w:tc>
      </w:tr>
      <w:tr>
        <w:trPr>
          <w:trHeight w:val="22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Megan Baldwin, Ph.D.</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23,</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A$609,500 per</w:t>
            </w: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less than three months’</w:t>
            </w:r>
          </w:p>
        </w:tc>
        <w:tc>
          <w:tcPr>
            <w:tcW w:w="100" w:type="dxa"/>
            <w:vAlign w:val="bottom"/>
            <w:shd w:val="clear" w:color="auto" w:fill="CCEEFF"/>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Upon notice of termination by us, any options that have</w:t>
            </w:r>
          </w:p>
        </w:tc>
      </w:tr>
      <w:tr>
        <w:trPr>
          <w:trHeight w:val="21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Innovation</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(if by employee)</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will vest during the notice period will be</w:t>
            </w:r>
          </w:p>
        </w:tc>
      </w:tr>
      <w:tr>
        <w:trPr>
          <w:trHeight w:val="21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Officer and Executive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less than twelve months’</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 all other options will lapse at the discretion of</w:t>
            </w:r>
          </w:p>
        </w:tc>
      </w:tr>
      <w:tr>
        <w:trPr>
          <w:trHeight w:val="218"/>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or payment in lieu of</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our board of directors.</w:t>
            </w:r>
          </w:p>
        </w:tc>
      </w:tr>
      <w:tr>
        <w:trPr>
          <w:trHeight w:val="234"/>
        </w:trPr>
        <w:tc>
          <w:tcPr>
            <w:tcW w:w="18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period (if by us)</w:t>
            </w:r>
          </w:p>
        </w:tc>
        <w:tc>
          <w:tcPr>
            <w:tcW w:w="100" w:type="dxa"/>
            <w:vAlign w:val="bottom"/>
            <w:shd w:val="clear" w:color="auto" w:fill="CCEEFF"/>
          </w:tcPr>
          <w:p>
            <w:pPr>
              <w:spacing w:after="0"/>
              <w:rPr>
                <w:sz w:val="20"/>
                <w:szCs w:val="20"/>
                <w:color w:val="auto"/>
              </w:rPr>
            </w:pPr>
          </w:p>
        </w:tc>
        <w:tc>
          <w:tcPr>
            <w:tcW w:w="4040" w:type="dxa"/>
            <w:vAlign w:val="bottom"/>
            <w:shd w:val="clear" w:color="auto" w:fill="CCEEFF"/>
          </w:tcPr>
          <w:p>
            <w:pPr>
              <w:spacing w:after="0"/>
              <w:rPr>
                <w:sz w:val="20"/>
                <w:szCs w:val="20"/>
                <w:color w:val="auto"/>
              </w:rPr>
            </w:pPr>
          </w:p>
        </w:tc>
      </w:tr>
      <w:tr>
        <w:trPr>
          <w:trHeight w:val="22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Karen Adams</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A$353,510 per</w:t>
            </w: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less than three months’</w:t>
            </w:r>
          </w:p>
        </w:tc>
        <w:tc>
          <w:tcPr>
            <w:tcW w:w="100" w:type="dxa"/>
            <w:vAlign w:val="bottom"/>
            <w:shd w:val="clear" w:color="auto" w:fill="CCEEFF"/>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Vice President Finance</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(if by employee)</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r>
      <w:tr>
        <w:trPr>
          <w:trHeight w:val="21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and Company</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less than three months’</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r>
      <w:tr>
        <w:trPr>
          <w:trHeight w:val="218"/>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Secretary</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or payment in lieu of</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r>
      <w:tr>
        <w:trPr>
          <w:trHeight w:val="234"/>
        </w:trPr>
        <w:tc>
          <w:tcPr>
            <w:tcW w:w="18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period (if by us</w:t>
            </w:r>
          </w:p>
        </w:tc>
        <w:tc>
          <w:tcPr>
            <w:tcW w:w="100" w:type="dxa"/>
            <w:vAlign w:val="bottom"/>
            <w:shd w:val="clear" w:color="auto" w:fill="CCEEFF"/>
          </w:tcPr>
          <w:p>
            <w:pPr>
              <w:spacing w:after="0"/>
              <w:rPr>
                <w:sz w:val="20"/>
                <w:szCs w:val="20"/>
                <w:color w:val="auto"/>
              </w:rPr>
            </w:pPr>
          </w:p>
        </w:tc>
        <w:tc>
          <w:tcPr>
            <w:tcW w:w="4040" w:type="dxa"/>
            <w:vAlign w:val="bottom"/>
            <w:shd w:val="clear" w:color="auto" w:fill="CCEEFF"/>
          </w:tcPr>
          <w:p>
            <w:pPr>
              <w:spacing w:after="0"/>
              <w:rPr>
                <w:sz w:val="20"/>
                <w:szCs w:val="20"/>
                <w:color w:val="auto"/>
              </w:rPr>
            </w:pPr>
          </w:p>
        </w:tc>
      </w:tr>
      <w:tr>
        <w:trPr>
          <w:trHeight w:val="22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Lang</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October 27, 2023</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US$500,000 per</w:t>
            </w: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less than twelve months'</w:t>
            </w:r>
          </w:p>
        </w:tc>
        <w:tc>
          <w:tcPr>
            <w:tcW w:w="100" w:type="dxa"/>
            <w:vAlign w:val="bottom"/>
            <w:shd w:val="clear" w:color="auto" w:fill="CCEEFF"/>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Upon notice of termination by us any options that have</w:t>
            </w:r>
          </w:p>
        </w:tc>
      </w:tr>
      <w:tr>
        <w:trPr>
          <w:trHeight w:val="21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or payment in lieu of</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will best during the notice period will be</w:t>
            </w:r>
          </w:p>
        </w:tc>
      </w:tr>
      <w:tr>
        <w:trPr>
          <w:trHeight w:val="21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(from October 27,</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period (if by us)</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 all other options will lapse at the discretion of</w:t>
            </w:r>
          </w:p>
        </w:tc>
      </w:tr>
      <w:tr>
        <w:trPr>
          <w:trHeight w:val="23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2023)</w:t>
            </w: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our board of directors</w:t>
            </w:r>
          </w:p>
        </w:tc>
      </w:tr>
      <w:tr>
        <w:trPr>
          <w:trHeight w:val="22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Timothy Morris </w:t>
            </w:r>
            <w:r>
              <w:rPr>
                <w:rFonts w:ascii="Times New Roman" w:cs="Times New Roman" w:eastAsia="Times New Roman" w:hAnsi="Times New Roman"/>
                <w:sz w:val="18"/>
                <w:szCs w:val="18"/>
                <w:i w:val="1"/>
                <w:iCs w:val="1"/>
                <w:color w:val="auto"/>
              </w:rPr>
              <w:t>Chief</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October 24, 2022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US$475,000 per</w:t>
            </w: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less than twelve months’</w:t>
            </w:r>
          </w:p>
        </w:tc>
        <w:tc>
          <w:tcPr>
            <w:tcW w:w="100" w:type="dxa"/>
            <w:vAlign w:val="bottom"/>
            <w:shd w:val="clear" w:color="auto" w:fill="CCEEFF"/>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Upon notice of termination by us, any options that have</w:t>
            </w:r>
          </w:p>
        </w:tc>
      </w:tr>
      <w:tr>
        <w:trPr>
          <w:trHeight w:val="21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Financial Officer (until</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or payment in lieu of</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will vest during the notice period will be</w:t>
            </w:r>
          </w:p>
        </w:tc>
      </w:tr>
      <w:tr>
        <w:trPr>
          <w:trHeight w:val="218"/>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October 24, 2023)</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period (if by us)</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 all other options will lapse at the discretion of</w:t>
            </w:r>
          </w:p>
        </w:tc>
      </w:tr>
      <w:tr>
        <w:trPr>
          <w:trHeight w:val="234"/>
        </w:trPr>
        <w:tc>
          <w:tcPr>
            <w:tcW w:w="18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our board of directors</w:t>
            </w:r>
          </w:p>
        </w:tc>
      </w:tr>
      <w:tr>
        <w:trPr>
          <w:trHeight w:val="22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Judith Robertson</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US$413,400 per</w:t>
            </w: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less than twelve months’</w:t>
            </w:r>
          </w:p>
        </w:tc>
        <w:tc>
          <w:tcPr>
            <w:tcW w:w="100" w:type="dxa"/>
            <w:vAlign w:val="bottom"/>
            <w:shd w:val="clear" w:color="auto" w:fill="CCEEFF"/>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Upon notice of termination by us, any options that have</w:t>
            </w:r>
          </w:p>
        </w:tc>
      </w:tr>
      <w:tr>
        <w:trPr>
          <w:trHeight w:val="21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Commercial</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or payment in lieu of</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will vest during the notice period will be</w:t>
            </w:r>
          </w:p>
        </w:tc>
      </w:tr>
      <w:tr>
        <w:trPr>
          <w:trHeight w:val="218"/>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period (if by us</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 all other options will lapse at the discretion of</w:t>
            </w:r>
          </w:p>
        </w:tc>
      </w:tr>
      <w:tr>
        <w:trPr>
          <w:trHeight w:val="248"/>
        </w:trPr>
        <w:tc>
          <w:tcPr>
            <w:tcW w:w="18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our board of directors</w:t>
            </w:r>
          </w:p>
        </w:tc>
      </w:tr>
    </w:tbl>
    <w:p>
      <w:pPr>
        <w:spacing w:after="0" w:line="200" w:lineRule="exact"/>
        <w:rPr>
          <w:sz w:val="20"/>
          <w:szCs w:val="20"/>
          <w:color w:val="auto"/>
        </w:rPr>
      </w:pPr>
    </w:p>
    <w:p>
      <w:pPr>
        <w:spacing w:after="0" w:line="2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Upon termination of employment, our senior management are entitled to receive their statutory entitlements of accrued annual and long service leave, together with any superannuation benefits.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of Our Non-Employee Directors and Senior Management During the Fiscal Year Ended June 30, 2024</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Details of the remuneration of our non-employee directors and senior management for the fiscal year ended June 30, 2024 are set forth below in US$.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w w:val="99"/>
              </w:rPr>
              <w:t>Short-</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3"/>
            <w:vMerge w:val="restart"/>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w w:val="98"/>
              </w:rPr>
              <w:t>Post-</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tcPr>
          <w:p>
            <w:pPr>
              <w:jc w:val="center"/>
              <w:ind w:left="495"/>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Employment</w:t>
            </w: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80" w:type="dxa"/>
            <w:vAlign w:val="bottom"/>
          </w:tcPr>
          <w:p>
            <w:pPr>
              <w:spacing w:after="0"/>
              <w:rPr>
                <w:sz w:val="11"/>
                <w:szCs w:val="11"/>
                <w:color w:val="auto"/>
              </w:rPr>
            </w:pPr>
          </w:p>
        </w:tc>
        <w:tc>
          <w:tcPr>
            <w:tcW w:w="124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Superannuation/</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7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22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Based</w:t>
            </w:r>
          </w:p>
        </w:tc>
        <w:tc>
          <w:tcPr>
            <w:tcW w:w="280" w:type="dxa"/>
            <w:vAlign w:val="bottom"/>
          </w:tcPr>
          <w:p>
            <w:pPr>
              <w:spacing w:after="0"/>
              <w:rPr>
                <w:sz w:val="12"/>
                <w:szCs w:val="12"/>
                <w:color w:val="auto"/>
              </w:rPr>
            </w:pPr>
          </w:p>
        </w:tc>
        <w:tc>
          <w:tcPr>
            <w:tcW w:w="10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440"/>
              <w:spacing w:after="0" w:line="189" w:lineRule="exact"/>
              <w:rPr>
                <w:sz w:val="20"/>
                <w:szCs w:val="20"/>
                <w:color w:val="auto"/>
              </w:rPr>
            </w:pPr>
            <w:r>
              <w:rPr>
                <w:rFonts w:ascii="Times New Roman" w:cs="Times New Roman" w:eastAsia="Times New Roman" w:hAnsi="Times New Roman"/>
                <w:sz w:val="14"/>
                <w:szCs w:val="14"/>
                <w:b w:val="1"/>
                <w:bCs w:val="1"/>
                <w:color w:val="auto"/>
                <w:w w:val="92"/>
              </w:rPr>
              <w:t>Fees</w:t>
            </w:r>
            <w:r>
              <w:rPr>
                <w:rFonts w:ascii="Times New Roman" w:cs="Times New Roman" w:eastAsia="Times New Roman" w:hAnsi="Times New Roman"/>
                <w:sz w:val="19"/>
                <w:szCs w:val="19"/>
                <w:b w:val="1"/>
                <w:bCs w:val="1"/>
                <w:color w:val="auto"/>
                <w:w w:val="92"/>
                <w:vertAlign w:val="superscript"/>
              </w:rPr>
              <w:t>(1)</w:t>
            </w:r>
          </w:p>
        </w:tc>
        <w:tc>
          <w:tcPr>
            <w:tcW w:w="180" w:type="dxa"/>
            <w:vAlign w:val="bottom"/>
          </w:tcPr>
          <w:p>
            <w:pPr>
              <w:spacing w:after="0"/>
              <w:rPr>
                <w:sz w:val="16"/>
                <w:szCs w:val="16"/>
                <w:color w:val="auto"/>
              </w:rPr>
            </w:pPr>
          </w:p>
        </w:tc>
        <w:tc>
          <w:tcPr>
            <w:tcW w:w="1240" w:type="dxa"/>
            <w:vAlign w:val="bottom"/>
            <w:gridSpan w:val="3"/>
          </w:tcPr>
          <w:p>
            <w:pPr>
              <w:jc w:val="center"/>
              <w:ind w:right="580"/>
              <w:spacing w:after="0" w:line="189" w:lineRule="exact"/>
              <w:rPr>
                <w:sz w:val="20"/>
                <w:szCs w:val="20"/>
                <w:color w:val="auto"/>
              </w:rPr>
            </w:pPr>
            <w:r>
              <w:rPr>
                <w:rFonts w:ascii="Times New Roman" w:cs="Times New Roman" w:eastAsia="Times New Roman" w:hAnsi="Times New Roman"/>
                <w:sz w:val="14"/>
                <w:szCs w:val="14"/>
                <w:b w:val="1"/>
                <w:bCs w:val="1"/>
                <w:color w:val="auto"/>
                <w:w w:val="95"/>
              </w:rPr>
              <w:t>Bonus</w:t>
            </w:r>
            <w:r>
              <w:rPr>
                <w:rFonts w:ascii="Times New Roman" w:cs="Times New Roman" w:eastAsia="Times New Roman" w:hAnsi="Times New Roman"/>
                <w:sz w:val="19"/>
                <w:szCs w:val="19"/>
                <w:b w:val="1"/>
                <w:bCs w:val="1"/>
                <w:color w:val="auto"/>
                <w:w w:val="95"/>
                <w:vertAlign w:val="superscript"/>
              </w:rPr>
              <w:t>(2)</w:t>
            </w:r>
          </w:p>
        </w:tc>
        <w:tc>
          <w:tcPr>
            <w:tcW w:w="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401k plan</w:t>
            </w:r>
          </w:p>
        </w:tc>
        <w:tc>
          <w:tcPr>
            <w:tcW w:w="220" w:type="dxa"/>
            <w:vAlign w:val="bottom"/>
          </w:tcPr>
          <w:p>
            <w:pPr>
              <w:spacing w:after="0"/>
              <w:rPr>
                <w:sz w:val="16"/>
                <w:szCs w:val="16"/>
                <w:color w:val="auto"/>
              </w:rPr>
            </w:pPr>
          </w:p>
        </w:tc>
        <w:tc>
          <w:tcPr>
            <w:tcW w:w="1540" w:type="dxa"/>
            <w:vAlign w:val="bottom"/>
            <w:gridSpan w:val="4"/>
            <w:vMerge w:val="continue"/>
          </w:tcPr>
          <w:p>
            <w:pPr>
              <w:spacing w:after="0"/>
              <w:rPr>
                <w:sz w:val="16"/>
                <w:szCs w:val="16"/>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2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60" w:type="dxa"/>
            <w:vAlign w:val="bottom"/>
            <w:shd w:val="clear" w:color="auto" w:fill="CFF0FC"/>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Non-Employee</w:t>
            </w:r>
          </w:p>
        </w:tc>
        <w:tc>
          <w:tcPr>
            <w:tcW w:w="2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Anshul Thakral </w:t>
            </w:r>
            <w:r>
              <w:rPr>
                <w:rFonts w:ascii="Times New Roman" w:cs="Times New Roman" w:eastAsia="Times New Roman" w:hAnsi="Times New Roman"/>
                <w:sz w:val="14"/>
                <w:szCs w:val="14"/>
                <w:color w:val="auto"/>
              </w:rPr>
              <w:t>(3)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60,852</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center"/>
              <w:ind w:left="535"/>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42,866</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Daniel Spiegelman (8)</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56,327</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390,830</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447,157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Jeremy Levin</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232,475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Julia Haller</w:t>
            </w:r>
          </w:p>
        </w:tc>
        <w:tc>
          <w:tcPr>
            <w:tcW w:w="200" w:type="dxa"/>
            <w:vAlign w:val="bottom"/>
          </w:tcPr>
          <w:p>
            <w:pPr>
              <w:spacing w:after="0"/>
              <w:rPr>
                <w:sz w:val="16"/>
                <w:szCs w:val="16"/>
                <w:color w:val="auto"/>
              </w:rPr>
            </w:pPr>
          </w:p>
        </w:tc>
        <w:tc>
          <w:tcPr>
            <w:tcW w:w="8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58,049</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jc w:val="right"/>
              <w:ind w:right="400"/>
              <w:spacing w:after="0" w:line="18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3"/>
          </w:tcPr>
          <w:p>
            <w:pPr>
              <w:jc w:val="right"/>
              <w:ind w:right="4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112,202</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170,251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2160" w:type="dxa"/>
            <w:vAlign w:val="bottom"/>
          </w:tcPr>
          <w:p>
            <w:pPr>
              <w:ind w:left="20"/>
              <w:spacing w:after="0" w:line="306" w:lineRule="exact"/>
              <w:rPr>
                <w:sz w:val="20"/>
                <w:szCs w:val="20"/>
                <w:color w:val="auto"/>
              </w:rPr>
            </w:pPr>
            <w:r>
              <w:rPr>
                <w:rFonts w:ascii="Times New Roman" w:cs="Times New Roman" w:eastAsia="Times New Roman" w:hAnsi="Times New Roman"/>
                <w:sz w:val="18"/>
                <w:szCs w:val="18"/>
                <w:color w:val="auto"/>
              </w:rPr>
              <w:t>Lawrence Gozlan</w:t>
            </w:r>
            <w:r>
              <w:rPr>
                <w:rFonts w:ascii="Times New Roman" w:cs="Times New Roman" w:eastAsia="Times New Roman" w:hAnsi="Times New Roman"/>
                <w:sz w:val="28"/>
                <w:szCs w:val="28"/>
                <w:color w:val="auto"/>
                <w:vertAlign w:val="superscript"/>
              </w:rPr>
              <w:t>(4)</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310,247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480,268</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790,515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Quinton Oswald</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71,098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64,708</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Sujal Shah </w:t>
            </w:r>
            <w:r>
              <w:rPr>
                <w:rFonts w:ascii="Times New Roman" w:cs="Times New Roman" w:eastAsia="Times New Roman" w:hAnsi="Times New Roman"/>
                <w:sz w:val="14"/>
                <w:szCs w:val="14"/>
                <w:color w:val="auto"/>
              </w:rPr>
              <w:t>(5)</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Susan Orr</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65,549</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64,708</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Senior Management</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Fred Guerard </w:t>
            </w:r>
            <w:r>
              <w:rPr>
                <w:rFonts w:ascii="Times New Roman" w:cs="Times New Roman" w:eastAsia="Times New Roman" w:hAnsi="Times New Roman"/>
                <w:sz w:val="14"/>
                <w:szCs w:val="14"/>
                <w:color w:val="auto"/>
              </w:rPr>
              <w:t>(6)</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373,012</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187,030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720,870</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1,318,139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Megan Baldwin, Ph.D.</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399,470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144,446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58,257</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757,529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1,359,702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Peter Lang </w:t>
            </w:r>
            <w:r>
              <w:rPr>
                <w:rFonts w:ascii="Times New Roman" w:cs="Times New Roman" w:eastAsia="Times New Roman" w:hAnsi="Times New Roman"/>
                <w:sz w:val="14"/>
                <w:szCs w:val="14"/>
                <w:color w:val="auto"/>
              </w:rPr>
              <w:t>(6)</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339,102</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127,520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36,072</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653,558</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1,161,278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Timothy Morris </w:t>
            </w:r>
            <w:r>
              <w:rPr>
                <w:rFonts w:ascii="Times New Roman" w:cs="Times New Roman" w:eastAsia="Times New Roman" w:hAnsi="Times New Roman"/>
                <w:sz w:val="14"/>
                <w:szCs w:val="14"/>
                <w:color w:val="auto"/>
              </w:rPr>
              <w:t>(7)</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160,340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(109,703 )</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Karen Adams</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231,693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42,447</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30,230</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161,798</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Judith Robertson</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148,824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111,355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Joel Naor</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26,534</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(468,848 )</w:t>
            </w: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(440,600 )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-2005330</wp:posOffset>
            </wp:positionV>
            <wp:extent cx="713232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237426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46" w:lineRule="exact"/>
        <w:rPr>
          <w:sz w:val="20"/>
          <w:szCs w:val="20"/>
          <w:color w:val="auto"/>
        </w:rPr>
      </w:pPr>
    </w:p>
    <w:p>
      <w:pPr>
        <w:ind w:left="380" w:hanging="372"/>
        <w:spacing w:after="0"/>
        <w:tabs>
          <w:tab w:leader="none" w:pos="3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our non-employee directors, amounts set forth in this column include our reimbursement of expenses incurred in connection with performance of services relating to board service.</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Bonuses are paid in the fiscal year following the year in which they were earned.</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Anshul Thakral was appointed as a non-executive director on June 7, 2023.</w:t>
      </w:r>
    </w:p>
    <w:p>
      <w:pPr>
        <w:spacing w:after="0" w:line="95" w:lineRule="exact"/>
        <w:rPr>
          <w:rFonts w:ascii="Times New Roman" w:cs="Times New Roman" w:eastAsia="Times New Roman" w:hAnsi="Times New Roman"/>
          <w:sz w:val="14"/>
          <w:szCs w:val="14"/>
          <w:color w:val="auto"/>
        </w:rPr>
      </w:pPr>
    </w:p>
    <w:p>
      <w:pPr>
        <w:ind w:left="380" w:right="20" w:hanging="372"/>
        <w:spacing w:after="0" w:line="261" w:lineRule="auto"/>
        <w:tabs>
          <w:tab w:leader="none" w:pos="3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Mr.Gozlan received a payment of $125,00 under consultancy agreement for assisting in the 2023 capital raise.and received a bonus for assisting with the DFA funding of A$150,000 Mr. Gozlan’s annual director fee is A$65,700.</w:t>
      </w:r>
    </w:p>
    <w:p>
      <w:pPr>
        <w:spacing w:after="0" w:line="54"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Sujal Shah was appointed as a non-executive director on April 4, 20243.</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Guerard and Mr Lang were appointed as CEO and CFO, respectively on October 27, 2023.</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Timothy Morris was appointed as CFO on October 24, 2022 and was terminated on October 24, 2023.</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Spiegelman resigned as a director in April 2024.</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Details of options held by our non-employee directors and senior management as of June 30, 2024 are set forth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3"/>
                <w:szCs w:val="13"/>
                <w:color w:val="auto"/>
              </w:rPr>
            </w:pPr>
          </w:p>
        </w:tc>
        <w:tc>
          <w:tcPr>
            <w:tcW w:w="15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8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3"/>
                <w:szCs w:val="13"/>
                <w:color w:val="auto"/>
              </w:rPr>
            </w:pPr>
          </w:p>
        </w:tc>
        <w:tc>
          <w:tcPr>
            <w:tcW w:w="13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2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Last Vesting</w:t>
            </w:r>
          </w:p>
        </w:tc>
        <w:tc>
          <w:tcPr>
            <w:tcW w:w="120" w:type="dxa"/>
            <w:vAlign w:val="bottom"/>
          </w:tcPr>
          <w:p>
            <w:pPr>
              <w:spacing w:after="0"/>
              <w:rPr>
                <w:sz w:val="13"/>
                <w:szCs w:val="13"/>
                <w:color w:val="auto"/>
              </w:rPr>
            </w:pPr>
          </w:p>
        </w:tc>
        <w:tc>
          <w:tcPr>
            <w:tcW w:w="12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11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Options/rights/AD</w:t>
            </w:r>
          </w:p>
        </w:tc>
        <w:tc>
          <w:tcPr>
            <w:tcW w:w="26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 Options</w:t>
            </w:r>
          </w:p>
        </w:tc>
        <w:tc>
          <w:tcPr>
            <w:tcW w:w="260" w:type="dxa"/>
            <w:vAlign w:val="bottom"/>
          </w:tcPr>
          <w:p>
            <w:pPr>
              <w:spacing w:after="0"/>
              <w:rPr>
                <w:sz w:val="16"/>
                <w:szCs w:val="16"/>
                <w:color w:val="auto"/>
              </w:rPr>
            </w:pPr>
          </w:p>
        </w:tc>
        <w:tc>
          <w:tcPr>
            <w:tcW w:w="15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360" w:type="dxa"/>
            <w:vAlign w:val="bottom"/>
            <w:gridSpan w:val="2"/>
          </w:tcPr>
          <w:p>
            <w:pPr>
              <w:jc w:val="right"/>
              <w:ind w:right="540"/>
              <w:spacing w:after="0" w:line="189" w:lineRule="exact"/>
              <w:rPr>
                <w:sz w:val="20"/>
                <w:szCs w:val="20"/>
                <w:color w:val="auto"/>
              </w:rPr>
            </w:pPr>
            <w:r>
              <w:rPr>
                <w:rFonts w:ascii="Times New Roman" w:cs="Times New Roman" w:eastAsia="Times New Roman" w:hAnsi="Times New Roman"/>
                <w:sz w:val="14"/>
                <w:szCs w:val="14"/>
                <w:b w:val="1"/>
                <w:bCs w:val="1"/>
                <w:color w:val="auto"/>
              </w:rPr>
              <w:t>Vested</w:t>
            </w:r>
            <w:r>
              <w:rPr>
                <w:rFonts w:ascii="Times New Roman" w:cs="Times New Roman" w:eastAsia="Times New Roman" w:hAnsi="Times New Roman"/>
                <w:sz w:val="19"/>
                <w:szCs w:val="19"/>
                <w:b w:val="1"/>
                <w:bCs w:val="1"/>
                <w:color w:val="auto"/>
                <w:vertAlign w:val="superscript"/>
              </w:rPr>
              <w:t>(1)</w:t>
            </w:r>
          </w:p>
        </w:tc>
        <w:tc>
          <w:tcPr>
            <w:tcW w:w="12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12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7"/>
        </w:trPr>
        <w:tc>
          <w:tcPr>
            <w:tcW w:w="324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Non-Employee Directors</w:t>
            </w:r>
            <w:r>
              <w:rPr>
                <w:rFonts w:ascii="Times New Roman" w:cs="Times New Roman" w:eastAsia="Times New Roman" w:hAnsi="Times New Roman"/>
                <w:sz w:val="24"/>
                <w:szCs w:val="24"/>
                <w:b w:val="1"/>
                <w:bCs w:val="1"/>
                <w:color w:val="auto"/>
                <w:vertAlign w:val="superscript"/>
              </w:rPr>
              <w:t>(2)</w:t>
            </w:r>
          </w:p>
        </w:tc>
        <w:tc>
          <w:tcPr>
            <w:tcW w:w="50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Lawrence Gozlan</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2,000,000</w:t>
            </w:r>
          </w:p>
        </w:tc>
        <w:tc>
          <w:tcPr>
            <w:tcW w:w="18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10/12/2020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10/11/2023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10/11/2024</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Lawrence Gozlan</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11/16/2022</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11/15/2032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11/16/2032</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Lawrence Gozlan</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2,000,000</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11/16/2022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0.658</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11/15/2032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11/16/2032</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Lawrence Gozlan</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11/30/2023</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0.382</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11/30/2026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11/30/2033</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Julia Haller</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2,000,000</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10/19/2021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0.948</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10/19/2024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10/18/2025</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Jeremy Levin</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3,000,000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01/19/2021</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01/19/2024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01/18/2025</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Jeremy Levin</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3,000,000</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11/30/2023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11/30/2026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11/30/2033</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Michael Sistenich</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1,500,000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11/16/2022</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0.658</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11/29/2019</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11/29/2022</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Spiegelman</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2,000,000</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10/12/2020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10/11/2023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10/11/2024</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Daniel Spiegelman</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2,000,000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11/16/2022</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0.672</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11/15/2032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11/16/2032</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Spiegelman</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150,000</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11/16/2022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11/15/2032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11/16/2032</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Susan Orr</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04/21/2022</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0.948</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04/21/2025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04/20/2026</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Quinton Oswald</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04/21/2022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0.948</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04/21/2025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04/20/2026</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Anshul Thakral</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11/30/2023</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0.382</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11/30/2026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11/30/2033</w:t>
            </w:r>
          </w:p>
        </w:tc>
        <w:tc>
          <w:tcPr>
            <w:tcW w:w="0" w:type="dxa"/>
            <w:vAlign w:val="bottom"/>
          </w:tcPr>
          <w:p>
            <w:pPr>
              <w:spacing w:after="0"/>
              <w:rPr>
                <w:sz w:val="1"/>
                <w:szCs w:val="1"/>
                <w:color w:val="auto"/>
              </w:rPr>
            </w:pPr>
          </w:p>
        </w:tc>
      </w:tr>
      <w:tr>
        <w:trPr>
          <w:trHeight w:val="722"/>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Senior Management</w:t>
            </w: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Fred Guerard (3)</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1,400,000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10/27/2024</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10/27/2028</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11/27/2033</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 Guerard(3)</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600,000</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10/27/2024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2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11/27/2033</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Megan Baldwin, Ph.D. (4)</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3,000,000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11/16/2022</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0.658</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11/29/2019</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11/29/2022</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Megan Baldwin, Ph.D. (4)</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1,600,000</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10/19/2021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09/30/2024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10/18/2031</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Megan Baldwin, Ph.D. (4)</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11/16/2022</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11/15/2032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11/16/2032</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Megan Baldwin, Ph.D. (4)</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3,000,000</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11/30/2023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0.261</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11/30/2026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11/30/2033</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Peter Lang (3)</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27/10/2024</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10/27/2028</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11/27/2033</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Lang (3)</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300,000</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27/10/2024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2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11/27/2033</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 Morris (3)</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10/24/2022</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10/23/2032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10/24/2032</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Karen Adams (4)</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800,000</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06/06/2022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06/06/2025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06/05/2032</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Karen Adams (4)</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11/16/2022</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11/15/2032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11/16/2032</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Karen Adams (4)</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800,000</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10/10/2023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0.205</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10/10/2027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10/10/2033</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Judith Robertson (4)</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2,000,000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10/19/2021</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0.948</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10/19/2024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10/18/2025</w:t>
            </w:r>
          </w:p>
        </w:tc>
        <w:tc>
          <w:tcPr>
            <w:tcW w:w="0" w:type="dxa"/>
            <w:vAlign w:val="bottom"/>
          </w:tcPr>
          <w:p>
            <w:pPr>
              <w:spacing w:after="0"/>
              <w:rPr>
                <w:sz w:val="1"/>
                <w:szCs w:val="1"/>
                <w:color w:val="auto"/>
              </w:rPr>
            </w:pPr>
          </w:p>
        </w:tc>
      </w:tr>
      <w:tr>
        <w:trPr>
          <w:trHeight w:val="234"/>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Joel Noar (3)</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300,000</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03/01/2022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02/28/2026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03/01/2032</w:t>
            </w:r>
          </w:p>
        </w:tc>
        <w:tc>
          <w:tcPr>
            <w:tcW w:w="0" w:type="dxa"/>
            <w:vAlign w:val="bottom"/>
          </w:tcPr>
          <w:p>
            <w:pPr>
              <w:spacing w:after="0"/>
              <w:rPr>
                <w:sz w:val="1"/>
                <w:szCs w:val="1"/>
                <w:color w:val="auto"/>
              </w:rPr>
            </w:pPr>
          </w:p>
        </w:tc>
      </w:tr>
      <w:tr>
        <w:trPr>
          <w:trHeight w:val="144"/>
        </w:trPr>
        <w:tc>
          <w:tcPr>
            <w:tcW w:w="3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380" w:hanging="372"/>
        <w:spacing w:after="0"/>
        <w:tabs>
          <w:tab w:leader="none" w:pos="3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option lapsed or were forfeited during the fiscal year ended June 30, 2024 or 2023.</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Non-employee director options are in ordinary shares.</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ADS options (one ADS option equals 8 ordinary shares).</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Options in ordinary shares.</w:t>
      </w:r>
    </w:p>
    <w:p>
      <w:pPr>
        <w:spacing w:after="0" w:line="2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6C.</w:t>
      </w:r>
      <w:r>
        <w:rPr>
          <w:sz w:val="20"/>
          <w:szCs w:val="20"/>
          <w:color w:val="auto"/>
        </w:rPr>
        <w:tab/>
      </w:r>
      <w:r>
        <w:rPr>
          <w:rFonts w:ascii="Times New Roman" w:cs="Times New Roman" w:eastAsia="Times New Roman" w:hAnsi="Times New Roman"/>
          <w:sz w:val="18"/>
          <w:szCs w:val="18"/>
          <w:b w:val="1"/>
          <w:bCs w:val="1"/>
          <w:color w:val="auto"/>
        </w:rPr>
        <w:t>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board of directors currently consists of eight members, including Dr. Baldwin, our Chief Innovation Officer and Executive Director. Directors are elected at our annual general meeting of shareholders. Under our Constitution, at the close of each annual general meeting one-third of the directors, other than the Managing Director, or if their number is not a multiple of three, then the number nearest to but not more than one-third of the directors must retire. In addition, a director, other than the managing director, must retire from office at the conclusion of the third annual general meeting of shareholders after the director was last elected, even if his or her retirement results in more than one-third of all directors retiring from office. A retiring director remains in office until the end of such shareholder meeting and will be eligible for re-election at that meeting.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94"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 membership of our board of directors is directed by the following requirements as set forth in our Constitution and our Board Charter, as applicable:</w:t>
      </w:r>
    </w:p>
    <w:p>
      <w:pPr>
        <w:spacing w:after="0" w:line="162" w:lineRule="exact"/>
        <w:rPr>
          <w:sz w:val="20"/>
          <w:szCs w:val="20"/>
          <w:color w:val="auto"/>
        </w:rPr>
      </w:pPr>
    </w:p>
    <w:p>
      <w:pPr>
        <w:ind w:left="760" w:right="20" w:hanging="378"/>
        <w:spacing w:after="0" w:line="282" w:lineRule="auto"/>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a minimum of three directors and a maximum of 10, and our board of directors may determine the number of directors within those limits;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board of directors should be independent;</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power to appoint any person to be a director, either to fill a vacancy or as an additional director (provided that the total number of directors does not exceed the maximum number of directors permitted), and any director so appointed will hold office until the end of the next annual general meeting when he or she may be re-elected; and</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should, collectively, have the appropriate level of personal qualities, skills, experience and time commitment to properly fulfill its responsibilities.</w:t>
      </w:r>
    </w:p>
    <w:p>
      <w:pPr>
        <w:spacing w:after="0" w:line="162"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Our board of directors has delegated responsibility for the management of our businesses to the Chief Executive Officer but remains responsible for overseeing the performance of management. The principal roles and responsibilities of our board of directors include the following:</w:t>
      </w:r>
    </w:p>
    <w:p>
      <w:pPr>
        <w:spacing w:after="0" w:line="162" w:lineRule="exact"/>
        <w:rPr>
          <w:sz w:val="20"/>
          <w:szCs w:val="20"/>
          <w:color w:val="auto"/>
        </w:rPr>
      </w:pPr>
    </w:p>
    <w:p>
      <w:pPr>
        <w:ind w:left="760" w:hanging="378"/>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evaluate, provide input into and approve our business plan;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senior management’s performance and implementation of strategy, and ensure appropriate resources are available;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evaluate and approve and monitor major resource allocations and capital investments, and acquisitions and divestitures;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evaluate, approve and monitor major resource allocations and capital investments, and acquisitions and divestitures;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monitor our financial and operating results;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evaluate and approve the overall corporate organizational structure, the assignment of senior management responsibilities and plans for senior management development and succession;</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evaluate and approve compensation strategy as it relates to our senior management;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ratify systems of risk management and internal compliance and control, codes of conduct and legal compliance.</w:t>
      </w:r>
    </w:p>
    <w:p>
      <w:pPr>
        <w:spacing w:after="0" w:line="22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board of directors has established delegated limits of authority, which define the matters that are delegated to management and those that require board of director approval. Under the Corporations Act, at least two of our directors must be resident Australians. None of our non-employee directors have any service contracts with us that provide for benefits upon termination of employment. Under our Board Charter, the board of directors is required to meet at least six times per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To assist with the effective discharge of its duties, the board of directors has established an Audit and Risk Committee, a Remuneration Committee, Research and Development Committee and a Nomination and Governance Committee. Each committee operates under a charter approved by our board of directors, which sets forth the purposes and responsibilities of the committees as well as qualifications for committee membership, committee structure and operations and committee reporting to the board of directors.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and Risk Committee</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members of our Audit and Risk Committee are Messrs. Shah, Oswald and Dr Orr. Our board of directors has determined that each of Messrs. Shah and Oswald and Dr Orr satisfies the independence requirements under Nasdaq listing standards and Rule 10A-3(b)(1) under the Exchange Act. The chairperson of our Audit and Risk Committee is Mr. Shah. Our board of directors has determined that Mr. Shah is an “audit committee financial expert” within the meaning of SEC regulations. Each member of our Audit and Risk Committee can read and understand fundamental financial statements in accordance with applicable requirements. In arriving at these determinations, our board of directors has examined each member’s scope of experience and the nature of his or her employment.</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charter for our Audit and Risk Committee requires the committee to consist of at least three directors, each of whom must be non-employee directors and a majority of which must be independent directors. The chairperson of our Audit and Risk Committee must be an independent director and cannot be the chairperson of our board of directors. The Audit and Risk Committee is required to hold at least one regular meeting per fiscal quarter and must review its charter at least annually.</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role of the Audit and Risk Committee is to advise our board of directors in discharging responsibilities of our board of directors with respect to our financial reporting including accounting standards, internal control integrity and compliance, external audit activities including auditor appointment, independence, terms of engagement and fees and business risk management. Specific responsibilities of our Audit and Risk Committee include:</w:t>
      </w:r>
    </w:p>
    <w:p>
      <w:pPr>
        <w:spacing w:after="0" w:line="176" w:lineRule="exact"/>
        <w:rPr>
          <w:sz w:val="20"/>
          <w:szCs w:val="20"/>
          <w:color w:val="auto"/>
        </w:rPr>
      </w:pPr>
    </w:p>
    <w:p>
      <w:pPr>
        <w:ind w:left="760" w:hanging="378"/>
        <w:spacing w:after="0"/>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accounting standards and quarterly and annual financial statements prior to referral to the board of directors;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developments likely to affect financial reporting including legislative pronouncements or disclosure requirements, as they affect both current and future years;</w:t>
      </w:r>
    </w:p>
    <w:p>
      <w:pPr>
        <w:spacing w:after="0" w:line="161" w:lineRule="exact"/>
        <w:rPr>
          <w:rFonts w:ascii="Times New Roman" w:cs="Times New Roman" w:eastAsia="Times New Roman" w:hAnsi="Times New Roman"/>
          <w:sz w:val="18"/>
          <w:szCs w:val="18"/>
          <w:color w:val="auto"/>
        </w:rPr>
      </w:pPr>
    </w:p>
    <w:p>
      <w:pPr>
        <w:ind w:left="760" w:right="20" w:hanging="378"/>
        <w:spacing w:after="0" w:line="312" w:lineRule="auto"/>
        <w:tabs>
          <w:tab w:leader="none" w:pos="7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any unusual transactions, pending litigation, outstanding claims or contingencies which the management, auditors or legal counsel believe may have a material effect on the financial position or operations and the manner in which these matters are disclosed in financial statements;</w:t>
      </w:r>
    </w:p>
    <w:p>
      <w:pPr>
        <w:spacing w:after="0" w:line="139"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internal control policies and procedures;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of directors on the appointment, reappointment or replacement of external auditors;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independence and effectiveness of external auditors and preapprove all audit and material non-audit services provided by external auditors;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results of the external audit and assess remedial action taken or proposed in audit reports;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representation letters signed by management to ensure that the information presented is complete and appropriate;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risks and establish risk management policies;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of directors regarding proposed changes to our risk management framework;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schedule of insurance annually.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members of our Remuneration Committee are Messrs. Gozlan Thakral and Oswald. The chairperson of our Remuneration Committee is Mr. Gozlan. The objectives of the Remuneration Committee are to link remuneration to the creation of shareholder value, to offer competitive and appropriate remuneration for the business performance delivered and to put into place a remuneration framework that reflects the responsibilities of senior management while being sufficiently competitive to attract and retain high caliber performers. The charter of our Remuneration Committee requires the committee to consist of at least three directors, a majority of whom must be independent. The chairperson of our Remuneration Committee must be an independent director. The Remuneration Committee is required to hold at least one regular meeting each year. Specific responsibilities of our Remuneration Committee include:</w:t>
      </w:r>
    </w:p>
    <w:p>
      <w:pPr>
        <w:spacing w:after="0" w:line="189" w:lineRule="exact"/>
        <w:rPr>
          <w:sz w:val="20"/>
          <w:szCs w:val="20"/>
          <w:color w:val="auto"/>
        </w:rPr>
      </w:pPr>
    </w:p>
    <w:p>
      <w:pPr>
        <w:ind w:left="760" w:hanging="378"/>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remuneration strategy;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remuneration policies and practices enable us to attract, motivate and retain a diverse mix of directors and senior management;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and responsibly remunerating directors and senior management;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and reporting on diversity of our employee base;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information it considers necessary to fulfill its duties, including external advice.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Nomination and Governance Committee</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members of our Nomination and Governance Committee are Messrs. Thakral, Gozlan, and Levin. The chairperson of our Nomination and Governance Committee is Mr. Thakral. The role of the Nomination and Governance Committee is to assist our board of directors by identifying, reviewing and evaluating individuals qualified to become members of our board of directors, reviewing and recommending the nomination of directors and assisting the board of directors with other related tasks. The charter of our Nomination and Governance Committee requires the committee to consist of at least three directors, the majority of whom must meet the independence recommendations of the ASX Corporate Governance Council (as well as all applicable laws and regulations) and each of whom must be free of any relationship that, in the opinion of the board of directors, would interfere with his or her exercise of independent judgment. The members of the Nomination and Governance Committee will be appointed annually by the board of directors. The Nomination and Governance Committee is required to hold at least one regular meeting each year. Specific responsibilities of our Nomination and Governance Committee include:</w:t>
      </w:r>
    </w:p>
    <w:p>
      <w:pPr>
        <w:spacing w:after="0" w:line="188" w:lineRule="exact"/>
        <w:rPr>
          <w:sz w:val="20"/>
          <w:szCs w:val="20"/>
          <w:color w:val="auto"/>
        </w:rPr>
      </w:pPr>
    </w:p>
    <w:p>
      <w:pPr>
        <w:ind w:left="760" w:hanging="378"/>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identifying, interviewing and recruiting candidates for the board of directors;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potential director qualifications;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 description of the role and capabilities required for a particular role;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presenting to the board of directors a list of individuals recommended for nomination for election to the board of directors at the annual meeting of shareholders;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planning succession of our directors;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inducting and coordinating professional development programs for our directors;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a process for evaluating the performance of the board of directors and its committees;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succession of our senior management;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about changes to the charter of the Nomination Committee as required in the Committee’s opinion;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94" w:lineRule="exact"/>
        <w:rPr>
          <w:sz w:val="20"/>
          <w:szCs w:val="20"/>
          <w:color w:val="auto"/>
        </w:rPr>
      </w:pPr>
    </w:p>
    <w:p>
      <w:pPr>
        <w:ind w:left="760" w:hanging="378"/>
        <w:spacing w:after="0"/>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its own performance.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Committee</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members of our Research and Development Committee are Messrs. Thakral, Oswald, and Dr Haller and Dr Orr. The chairperson of our Research and Development Committee is Dr Orr. The role of the Research and Development Committee is to guide and oversee and implement Opthea's Research and Development strategy of and recommend or make such changes to the strategy as the Committee may deem to be appropriate, including by not limited to the clinical development strategy, including the planning and design of clinical studies, Opthea's interactions with regulatory authorities and over all regulatory strategy and processes for products and the manufacture and supply of Opthea's product candidates. The charter of our Research and Development committee requires the committee to consist of at least three directors, the majority of whom must meet the independence recommendations of the ASX Corporate Governance Council (as well as all applicable laws and regulations) and each of whom must be free of any relationship that, in the opinion of the board of directors, would interfere with his or her exercise of independent judgment. The members of the Research and Development Committee will be appointed annually by the board of directors. The Research and Development Committee is required to hold at least one regular meeting each year. Specific responsibilities of our Research and Development Committee include:</w:t>
      </w:r>
    </w:p>
    <w:p>
      <w:pPr>
        <w:spacing w:after="0" w:line="194" w:lineRule="exact"/>
        <w:rPr>
          <w:sz w:val="20"/>
          <w:szCs w:val="20"/>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in overseeing Opthea scientific, technical, research and development strategy and the implementation thereof;</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provide input on the Intellectual Property portfolio;</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provide input on Regulatory Affairs strategy;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provide input on CMC;</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provide input on Clinical Trial design and strategies; and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assistance as requested, to the Remuneration Committee in setting performance goals under Opthea's incentive compensation program and reviewing the performance results in respect of Research &amp; Development goals and objectives.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have adopted a Code of Conduct applicable to all of our directors, officers and employees. Our Code of Conduct is available on our website at www.opthea.com. We post on our website all disclosures that are required by law or the listing standards of Nasdaq concerning any amendments to, or waivers from, any provision of the Code of Conduct. The reference to our website address does not constitute incorporation by reference of the information contained at or available through our website, and you should not consider it to be a part of, this annual report.</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6D.</w:t>
      </w:r>
      <w:r>
        <w:rPr>
          <w:sz w:val="20"/>
          <w:szCs w:val="20"/>
          <w:color w:val="auto"/>
        </w:rPr>
        <w:tab/>
      </w: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of June 30, 2024, we had thirty-four full-time employees, fifteen of whom had an M.D. or Ph.D. degree. None of our employees are represented by collective bargaining agreements. We believe that our management maintains good relations with our employees. As of June 30, 2024, our employees were based in Australia (8) and the United States (26), with seventeen (27) employees in our research and development and commercialization department and seven employees in our general and administrative department.</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6E.</w:t>
      </w:r>
      <w:r>
        <w:rPr>
          <w:sz w:val="20"/>
          <w:szCs w:val="20"/>
          <w:color w:val="auto"/>
        </w:rPr>
        <w:tab/>
      </w:r>
      <w:r>
        <w:rPr>
          <w:rFonts w:ascii="Times New Roman" w:cs="Times New Roman" w:eastAsia="Times New Roman" w:hAnsi="Times New Roman"/>
          <w:sz w:val="18"/>
          <w:szCs w:val="18"/>
          <w:b w:val="1"/>
          <w:bCs w:val="1"/>
          <w:color w:val="auto"/>
        </w:rPr>
        <w:t>Share Ownership</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information regarding the share ownership of our directors and executive officers, see “Item 6B—Compensation” and “Item 7A—Major Shareholders.”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9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6F.</w:t>
      </w:r>
      <w:r>
        <w:rPr>
          <w:sz w:val="20"/>
          <w:szCs w:val="20"/>
          <w:color w:val="auto"/>
        </w:rPr>
        <w:tab/>
      </w:r>
      <w:r>
        <w:rPr>
          <w:rFonts w:ascii="Times New Roman" w:cs="Times New Roman" w:eastAsia="Times New Roman" w:hAnsi="Times New Roman"/>
          <w:sz w:val="18"/>
          <w:szCs w:val="18"/>
          <w:b w:val="1"/>
          <w:bCs w:val="1"/>
          <w:color w:val="auto"/>
        </w:rPr>
        <w:t>Disclosure of a Registrant's Action to Recover Erroneously Awarded Compensation</w:t>
      </w:r>
    </w:p>
    <w:p>
      <w:pPr>
        <w:spacing w:after="0" w:line="229"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Not applicable. The Company adopted a clawback policy in compliance with the Dodd-Frank Wall Street Reform and Consumer Protection Act, Exchange Act Rule 10D-1 and Nasdaq Listing Rule 5608, effective October 2, 2023. The clawback policy is attached as Exhibit 97.1 to this annual report.</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7A.</w:t>
      </w:r>
      <w:r>
        <w:rPr>
          <w:sz w:val="20"/>
          <w:szCs w:val="20"/>
          <w:color w:val="auto"/>
        </w:rPr>
        <w:tab/>
      </w:r>
      <w:r>
        <w:rPr>
          <w:rFonts w:ascii="Times New Roman" w:cs="Times New Roman" w:eastAsia="Times New Roman" w:hAnsi="Times New Roman"/>
          <w:sz w:val="18"/>
          <w:szCs w:val="18"/>
          <w:b w:val="1"/>
          <w:bCs w:val="1"/>
          <w:color w:val="auto"/>
        </w:rPr>
        <w:t>Major Shareholders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ordinary shares as of August 20, 2024, for:</w:t>
      </w:r>
    </w:p>
    <w:p>
      <w:pPr>
        <w:spacing w:after="0" w:line="225" w:lineRule="exact"/>
        <w:rPr>
          <w:sz w:val="20"/>
          <w:szCs w:val="20"/>
          <w:color w:val="auto"/>
        </w:rPr>
      </w:pPr>
    </w:p>
    <w:p>
      <w:pPr>
        <w:ind w:left="760" w:hanging="378"/>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ordinary shares;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our senior management;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senior management as a group.</w:t>
      </w:r>
    </w:p>
    <w:p>
      <w:pPr>
        <w:spacing w:after="0" w:line="225" w:lineRule="exact"/>
        <w:rPr>
          <w:sz w:val="20"/>
          <w:szCs w:val="20"/>
          <w:color w:val="auto"/>
        </w:rPr>
      </w:pPr>
    </w:p>
    <w:p>
      <w:pPr>
        <w:jc w:val="both"/>
        <w:ind w:right="60" w:firstLine="374"/>
        <w:spacing w:after="0" w:line="261" w:lineRule="auto"/>
        <w:rPr>
          <w:sz w:val="20"/>
          <w:szCs w:val="20"/>
          <w:color w:val="auto"/>
        </w:rPr>
      </w:pPr>
      <w:r>
        <w:rPr>
          <w:rFonts w:ascii="Times New Roman" w:cs="Times New Roman" w:eastAsia="Times New Roman" w:hAnsi="Times New Roman"/>
          <w:sz w:val="18"/>
          <w:szCs w:val="18"/>
          <w:color w:val="auto"/>
        </w:rPr>
        <w:t>To our knowledge, as of the date of this annual report, 92,468,272 of our ordinary shares (11,558,534 ADRs) were held by one record holder in the United States, representing approximately 7.0% of our total outstanding shares. The record holder is The Bank of New York Mellon, the depositary of our ADS program. The number of beneficial owners of our ADSs in the United States is likely to be much larger than the number of record holders of our ordinary shares in the United States.</w:t>
      </w:r>
    </w:p>
    <w:p>
      <w:pPr>
        <w:spacing w:after="0" w:line="180" w:lineRule="exact"/>
        <w:rPr>
          <w:sz w:val="20"/>
          <w:szCs w:val="20"/>
          <w:color w:val="auto"/>
        </w:rPr>
      </w:pPr>
    </w:p>
    <w:p>
      <w:pPr>
        <w:jc w:val="both"/>
        <w:ind w:right="60" w:firstLine="374"/>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of August 20, 2024, including through the exercise of any option, warrant or other right or the conversion of any other security. These ordinary shares, however, are not included in the computation of the percentage ownership of any other person.</w:t>
      </w:r>
    </w:p>
    <w:p>
      <w:pPr>
        <w:spacing w:after="0" w:line="180" w:lineRule="exact"/>
        <w:rPr>
          <w:sz w:val="20"/>
          <w:szCs w:val="20"/>
          <w:color w:val="auto"/>
        </w:rPr>
      </w:pPr>
    </w:p>
    <w:p>
      <w:pPr>
        <w:jc w:val="both"/>
        <w:ind w:right="60" w:firstLine="374"/>
        <w:spacing w:after="0" w:line="282" w:lineRule="auto"/>
        <w:rPr>
          <w:sz w:val="20"/>
          <w:szCs w:val="20"/>
          <w:color w:val="auto"/>
        </w:rPr>
      </w:pPr>
      <w:r>
        <w:rPr>
          <w:rFonts w:ascii="Times New Roman" w:cs="Times New Roman" w:eastAsia="Times New Roman" w:hAnsi="Times New Roman"/>
          <w:sz w:val="18"/>
          <w:szCs w:val="18"/>
          <w:color w:val="auto"/>
        </w:rPr>
        <w:t>The calculations of the percentage of beneficial ownership are based on 1,231,094,617 ordinary shares (including ordinary shares in the form of ADSs) issued and outstanding as of August 20, 2024.</w:t>
      </w:r>
    </w:p>
    <w:p>
      <w:pPr>
        <w:spacing w:after="0" w:line="162" w:lineRule="exact"/>
        <w:rPr>
          <w:sz w:val="20"/>
          <w:szCs w:val="20"/>
          <w:color w:val="auto"/>
        </w:rPr>
      </w:pPr>
    </w:p>
    <w:p>
      <w:pPr>
        <w:jc w:val="both"/>
        <w:ind w:right="60" w:firstLine="374"/>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c/o Opthea Limited, Suite 0403, Level 4, 650 Chapel Street, South Yarra, VIC 3141, Australia.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62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r>
      <w:tr>
        <w:trPr>
          <w:trHeight w:val="169"/>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580" w:type="dxa"/>
            <w:vAlign w:val="bottom"/>
          </w:tcPr>
          <w:p>
            <w:pPr>
              <w:spacing w:after="0"/>
              <w:rPr>
                <w:sz w:val="14"/>
                <w:szCs w:val="14"/>
                <w:color w:val="auto"/>
              </w:rPr>
            </w:pPr>
          </w:p>
        </w:tc>
        <w:tc>
          <w:tcPr>
            <w:tcW w:w="162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Borders>
              <w:top w:val="single" w:sz="8" w:color="auto"/>
            </w:tcBorders>
          </w:tcPr>
          <w:p>
            <w:pPr>
              <w:spacing w:after="0"/>
              <w:rPr>
                <w:sz w:val="14"/>
                <w:szCs w:val="14"/>
                <w:color w:val="auto"/>
              </w:rPr>
            </w:pPr>
          </w:p>
        </w:tc>
        <w:tc>
          <w:tcPr>
            <w:tcW w:w="16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gridSpan w:val="2"/>
          </w:tcPr>
          <w:p>
            <w:pPr>
              <w:spacing w:after="0"/>
              <w:rPr>
                <w:sz w:val="14"/>
                <w:szCs w:val="14"/>
                <w:color w:val="auto"/>
              </w:rPr>
            </w:pPr>
          </w:p>
        </w:tc>
      </w:tr>
      <w:tr>
        <w:trPr>
          <w:trHeight w:val="23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Shareholders</w:t>
            </w:r>
          </w:p>
        </w:tc>
        <w:tc>
          <w:tcPr>
            <w:tcW w:w="258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1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Funds affiliated with Regal Funds Management Pty Ltd.</w:t>
            </w:r>
            <w:r>
              <w:rPr>
                <w:rFonts w:ascii="Times New Roman" w:cs="Times New Roman" w:eastAsia="Times New Roman" w:hAnsi="Times New Roman"/>
                <w:sz w:val="24"/>
                <w:szCs w:val="24"/>
                <w:color w:val="auto"/>
                <w:vertAlign w:val="superscript"/>
              </w:rPr>
              <w:t>(1)</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312,995,827</w:t>
            </w: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25.4 %</w:t>
            </w:r>
          </w:p>
        </w:tc>
      </w:tr>
      <w:tr>
        <w:trPr>
          <w:trHeight w:val="243"/>
        </w:trPr>
        <w:tc>
          <w:tcPr>
            <w:tcW w:w="51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Funds affiliated with Baker Bros. Advisors L.P.</w:t>
            </w:r>
            <w:r>
              <w:rPr>
                <w:rFonts w:ascii="Times New Roman" w:cs="Times New Roman" w:eastAsia="Times New Roman" w:hAnsi="Times New Roman"/>
                <w:sz w:val="24"/>
                <w:szCs w:val="24"/>
                <w:color w:val="auto"/>
                <w:vertAlign w:val="superscript"/>
              </w:rPr>
              <w:t>(2)</w:t>
            </w:r>
          </w:p>
        </w:tc>
        <w:tc>
          <w:tcPr>
            <w:tcW w:w="4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28,100,345</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1"/>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Directors and Senior Management</w:t>
            </w:r>
          </w:p>
        </w:tc>
        <w:tc>
          <w:tcPr>
            <w:tcW w:w="2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5"/>
        </w:trPr>
        <w:tc>
          <w:tcPr>
            <w:tcW w:w="5100" w:type="dxa"/>
            <w:vAlign w:val="bottom"/>
            <w:shd w:val="clear" w:color="auto" w:fill="CFF0FC"/>
          </w:tcPr>
          <w:p>
            <w:pPr>
              <w:ind w:left="20"/>
              <w:spacing w:after="0" w:line="245" w:lineRule="exact"/>
              <w:rPr>
                <w:sz w:val="20"/>
                <w:szCs w:val="20"/>
                <w:color w:val="auto"/>
              </w:rPr>
            </w:pPr>
            <w:r>
              <w:rPr>
                <w:rFonts w:ascii="Times New Roman" w:cs="Times New Roman" w:eastAsia="Times New Roman" w:hAnsi="Times New Roman"/>
                <w:sz w:val="18"/>
                <w:szCs w:val="18"/>
                <w:color w:val="auto"/>
              </w:rPr>
              <w:t>Megan Baldwin, Ph.D.</w:t>
            </w:r>
            <w:r>
              <w:rPr>
                <w:rFonts w:ascii="Times New Roman" w:cs="Times New Roman" w:eastAsia="Times New Roman" w:hAnsi="Times New Roman"/>
                <w:sz w:val="24"/>
                <w:szCs w:val="24"/>
                <w:color w:val="auto"/>
                <w:vertAlign w:val="superscript"/>
              </w:rPr>
              <w:t>(3)</w:t>
            </w:r>
          </w:p>
        </w:tc>
        <w:tc>
          <w:tcPr>
            <w:tcW w:w="4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3,531,354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 Guerard</w:t>
            </w:r>
          </w:p>
        </w:tc>
        <w:tc>
          <w:tcPr>
            <w:tcW w:w="25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52"/>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Peter Lang</w:t>
            </w:r>
          </w:p>
        </w:tc>
        <w:tc>
          <w:tcPr>
            <w:tcW w:w="25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43"/>
        </w:trPr>
        <w:tc>
          <w:tcPr>
            <w:tcW w:w="51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Karen Adams</w:t>
            </w:r>
            <w:r>
              <w:rPr>
                <w:rFonts w:ascii="Times New Roman" w:cs="Times New Roman" w:eastAsia="Times New Roman" w:hAnsi="Times New Roman"/>
                <w:sz w:val="24"/>
                <w:szCs w:val="24"/>
                <w:color w:val="auto"/>
                <w:vertAlign w:val="superscript"/>
              </w:rPr>
              <w:t>(4)</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1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Julia Haller</w:t>
            </w:r>
            <w:r>
              <w:rPr>
                <w:rFonts w:ascii="Times New Roman" w:cs="Times New Roman" w:eastAsia="Times New Roman" w:hAnsi="Times New Roman"/>
                <w:sz w:val="24"/>
                <w:szCs w:val="24"/>
                <w:color w:val="auto"/>
                <w:vertAlign w:val="superscript"/>
              </w:rPr>
              <w:t>(5)</w:t>
            </w:r>
          </w:p>
        </w:tc>
        <w:tc>
          <w:tcPr>
            <w:tcW w:w="4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1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Lawrence Gozlan</w:t>
            </w:r>
            <w:r>
              <w:rPr>
                <w:rFonts w:ascii="Times New Roman" w:cs="Times New Roman" w:eastAsia="Times New Roman" w:hAnsi="Times New Roman"/>
                <w:sz w:val="24"/>
                <w:szCs w:val="24"/>
                <w:color w:val="auto"/>
                <w:vertAlign w:val="superscript"/>
              </w:rPr>
              <w:t>(6)</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5,326,215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1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Jeremy Levin, DPhil, MB BChir</w:t>
            </w:r>
            <w:r>
              <w:rPr>
                <w:rFonts w:ascii="Times New Roman" w:cs="Times New Roman" w:eastAsia="Times New Roman" w:hAnsi="Times New Roman"/>
                <w:sz w:val="24"/>
                <w:szCs w:val="24"/>
                <w:color w:val="auto"/>
                <w:vertAlign w:val="superscript"/>
              </w:rPr>
              <w:t>(7)</w:t>
            </w:r>
          </w:p>
        </w:tc>
        <w:tc>
          <w:tcPr>
            <w:tcW w:w="4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3,615,057</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1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Susan Orr </w:t>
            </w:r>
            <w:r>
              <w:rPr>
                <w:rFonts w:ascii="Times New Roman" w:cs="Times New Roman" w:eastAsia="Times New Roman" w:hAnsi="Times New Roman"/>
                <w:sz w:val="24"/>
                <w:szCs w:val="24"/>
                <w:color w:val="auto"/>
                <w:vertAlign w:val="superscript"/>
              </w:rPr>
              <w:t>(8)</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1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Quinton Oswald </w:t>
            </w:r>
            <w:r>
              <w:rPr>
                <w:rFonts w:ascii="Times New Roman" w:cs="Times New Roman" w:eastAsia="Times New Roman" w:hAnsi="Times New Roman"/>
                <w:sz w:val="24"/>
                <w:szCs w:val="24"/>
                <w:color w:val="auto"/>
                <w:vertAlign w:val="superscript"/>
              </w:rPr>
              <w:t>(9)</w:t>
            </w:r>
          </w:p>
        </w:tc>
        <w:tc>
          <w:tcPr>
            <w:tcW w:w="4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1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Judith Robertson</w:t>
            </w:r>
            <w:r>
              <w:rPr>
                <w:rFonts w:ascii="Times New Roman" w:cs="Times New Roman" w:eastAsia="Times New Roman" w:hAnsi="Times New Roman"/>
                <w:sz w:val="24"/>
                <w:szCs w:val="24"/>
                <w:color w:val="auto"/>
                <w:vertAlign w:val="superscript"/>
              </w:rPr>
              <w:t>(10)</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1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Daniel Spiegelman</w:t>
            </w:r>
            <w:r>
              <w:rPr>
                <w:rFonts w:ascii="Times New Roman" w:cs="Times New Roman" w:eastAsia="Times New Roman" w:hAnsi="Times New Roman"/>
                <w:sz w:val="24"/>
                <w:szCs w:val="24"/>
                <w:color w:val="auto"/>
                <w:vertAlign w:val="superscript"/>
              </w:rPr>
              <w:t>(11)</w:t>
            </w:r>
          </w:p>
        </w:tc>
        <w:tc>
          <w:tcPr>
            <w:tcW w:w="4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3,914,234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Anshul Thakral</w:t>
            </w:r>
            <w:r>
              <w:rPr>
                <w:rFonts w:ascii="Times New Roman" w:cs="Times New Roman" w:eastAsia="Times New Roman" w:hAnsi="Times New Roman"/>
                <w:sz w:val="14"/>
                <w:szCs w:val="14"/>
                <w:color w:val="auto"/>
              </w:rPr>
              <w:t>(12)</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194,521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Sujal Shah</w:t>
            </w:r>
          </w:p>
        </w:tc>
        <w:tc>
          <w:tcPr>
            <w:tcW w:w="25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directors and senior management as a group (eleven persons)</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22,831,381</w:t>
            </w: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873"/>
        </w:trPr>
        <w:tc>
          <w:tcPr>
            <w:tcW w:w="5100" w:type="dxa"/>
            <w:vAlign w:val="bottom"/>
          </w:tcPr>
          <w:p>
            <w:pPr>
              <w:spacing w:after="0"/>
              <w:rPr>
                <w:sz w:val="24"/>
                <w:szCs w:val="24"/>
                <w:color w:val="auto"/>
              </w:rPr>
            </w:pPr>
          </w:p>
        </w:tc>
        <w:tc>
          <w:tcPr>
            <w:tcW w:w="258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151</w:t>
            </w: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51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440" w:right="279" w:bottom="663" w:gutter="0" w:footer="0" w:header="0"/>
        </w:sectPr>
      </w:pPr>
    </w:p>
    <w:bookmarkStart w:id="152" w:name="page153"/>
    <w:bookmarkEnd w:id="152"/>
    <w:p>
      <w:pPr>
        <w:spacing w:after="0" w:line="126" w:lineRule="exact"/>
        <w:rPr>
          <w:sz w:val="20"/>
          <w:szCs w:val="20"/>
          <w:color w:val="auto"/>
        </w:rPr>
      </w:pPr>
    </w:p>
    <w:p>
      <w:pPr>
        <w:ind w:right="7560" w:firstLine="8"/>
        <w:spacing w:after="0" w:line="261" w:lineRule="auto"/>
        <w:tabs>
          <w:tab w:leader="none" w:pos="1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 Represents unexercised options</w:t>
      </w:r>
    </w:p>
    <w:p>
      <w:pPr>
        <w:ind w:left="3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Sujal Shah is expected to receive options upon shareholder approval at the 2024 AGM and Dr Guerard and Mr Lang has no exercisable options until post one full year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-567055</wp:posOffset>
            </wp:positionV>
            <wp:extent cx="23742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1" w:lineRule="exact"/>
        <w:rPr>
          <w:sz w:val="20"/>
          <w:szCs w:val="20"/>
          <w:color w:val="auto"/>
        </w:rPr>
      </w:pPr>
    </w:p>
    <w:p>
      <w:pPr>
        <w:jc w:val="both"/>
        <w:ind w:left="380" w:hanging="372"/>
        <w:spacing w:after="0" w:line="253"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289,736,603 ordinary shares and (ii) 2,907,403 ADSs held by funds affiliated with Regal Funds Management Pty Ltd., referred to together as the Regal Funds. This information is based on the public filings with the SEC or ASX as of August, 20 2024. As disclosed in the Company's Form 6-K dated June 12, 2024 funds affiliated with Regal Funds Management Pty Ltd. had a pro rata entitlement under the 2024 ANREO to take up 108,936,750 ordinary shares and also entered into a sub-underwriting arrangement with the Australian underwriter of the 2024 ANREO under which such funds affiliated with Regal Funds Management Pty Ltd. sub-underwrote the subscription of up to 212,607,736 ordinary shares in the 2024 ANREO. Regal Funds Management Pty Ltd. is the investment manager for each of such funds holding our ordinary shares. Philip King and Craig Collie are the Chief Investment Officer and portfolio manager, respectively, of Regal Funds Management Pty Ltd. and, as such, they may be deemed to have voting and dispositive power with respect to the ordinary shares held by the affiliated funds. Philip King and Craig Collie disclaim beneficial ownership of the ordinary shares held by the Regal Funds except to the extent of their pecuniary interest. The address for Regal Funds Management Pty Ltd. is Level 47, Gateway, 1 Macquarie Place, Sydney, NSW 2000, Australia.</w:t>
      </w:r>
    </w:p>
    <w:p>
      <w:pPr>
        <w:spacing w:after="0" w:line="194" w:lineRule="exact"/>
        <w:rPr>
          <w:rFonts w:ascii="Times New Roman" w:cs="Times New Roman" w:eastAsia="Times New Roman" w:hAnsi="Times New Roman"/>
          <w:sz w:val="18"/>
          <w:szCs w:val="18"/>
          <w:color w:val="auto"/>
        </w:rPr>
      </w:pPr>
    </w:p>
    <w:p>
      <w:pPr>
        <w:jc w:val="both"/>
        <w:ind w:left="380" w:hanging="372"/>
        <w:spacing w:after="0" w:line="254"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28,100,345 ordinary shares held by Baker Brothers Life Sciences L.P. and 2,253,850 ordinary shares held by 667, L.P., including 20,709,160 Ordinary Shares of the Issuer that are represented by 2,588,645 ADS. This information is based on the public filings with the SEC or ASX as of August 20, 2024. Baker Bros. Advisors (GP) LLC is the sole general partner of Baker Bros. Advisors LP. The managing members of Baker Bros. Advisors (GP) LLC are Julian C. Baker and Felix J. Baker and, as such, they may be deemed to have voting and dispositive power with respect to the ordinary shares held by the Baker Brothers Life Sciences, L.P. Julian C. Baker and Felix J. Baker disclaim beneficial ownership of the ordinary shares held by the Baker Brothers Life Sciences, L.P. except to the extent of their pecuniary interest therein. The address for Baker Bros. Advisors LP, Baker Bros. Advisors (GP) LLC, Julian C. Baker, Felix J. Baker and the Baker Brothers Life Sciences, L.P. is 860 Washington Street, 3rd Floor, New York, New York 10014.</w:t>
      </w:r>
    </w:p>
    <w:p>
      <w:pPr>
        <w:spacing w:after="0" w:line="19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195,2991 ordinary shares beneficially owned and (ii) 3,659,343 ordinary shares issuable upon the exercise of options that are exercisable within 60 days of August 20, 2024.</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Adams joined as Company Secretary in June 2021.Consists of 750,000 ordinary shares that will vest and become issuable upon the exercise of an option within 60 days of August 20, 2024, which option were granted on June 6, 2022 and October 13, 2023.</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Julia Haller joined our board of directors in June 2021 Consists of 1,500,000 ordinary shares that will vest and become issuable upon the exercise of an option within 60 days of August 20, 2024, which options was granted on October 19, 2021.</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 of (i) 1,877,357 ordinary shares beneficially owned and (ii) 3,448,858 ordinary shares that will vest and become issuable upon the exercise of an option within 60 days of August 202 2024, which option were granted on October 12, 2020, November 16, 2022 and November 30, 2023.</w:t>
      </w:r>
    </w:p>
    <w:p>
      <w:pPr>
        <w:spacing w:after="0" w:line="161"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31,496 ordinary shares beneficially owned and (ii) 3,583,561 ordinary shares that will vest and become issuable upon the exercise of an option within 60 days of August 20, 2024, which options were granted on January 19, 2021.</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Orr joined our board of directors in April 2022. Consists of 750,000 ordinary shares that will vest and become issuable upon the exercise of an option within 60 days of August 20, 2024, which option was granted on April 21, 2022.</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43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Oswald joined our board of directors in April 2022. Consists of 750,000 ordinary shares that will vest and become issuable upon the exercise of an option within 60 days of August 20, 2024, which option was granted on April 21,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94" w:lineRule="exact"/>
        <w:rPr>
          <w:sz w:val="20"/>
          <w:szCs w:val="20"/>
          <w:color w:val="auto"/>
        </w:rPr>
      </w:pPr>
    </w:p>
    <w:p>
      <w:pPr>
        <w:jc w:val="both"/>
        <w:ind w:left="380" w:hanging="372"/>
        <w:spacing w:after="0" w:line="266" w:lineRule="auto"/>
        <w:tabs>
          <w:tab w:leader="none" w:pos="44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Robertson joined our board of directors in June 2021 and resigned on January 1, 2022. Ms. Robertson was appointed as Chief Commercial Officer in January 2022.Consists of 1.500,000 ordinary shares that will vest and become issuable upon the exercise of an option within 60 days of August 20, 2024, which option was granted on October 19, 2021.</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Spiegelman joined our board of directors in September 2020 and resigned in April 2024. Consists of 3,162,374 ordinary shares that will vest and become issuable upon the exercise of an option within 60 days of August 20, 2024, which options were granted on October 12, 2020, November 16, 2022 and November 30, 2023.</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Thakral joined our board of director in June 2023. Consists of 194,521 ordinary shares that will vest and become issuable upon the exercise of an option within 60 days of August 20, 2024, which option was granted on November 30,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7B.</w:t>
      </w:r>
      <w:r>
        <w:rPr>
          <w:sz w:val="20"/>
          <w:szCs w:val="20"/>
          <w:color w:val="auto"/>
        </w:rPr>
        <w:tab/>
      </w: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Following the appointment of Anshul Thakral (who is the CEO of Launch Tx, Operation Executive of Carlyle and on the board of Saama Technologies) as a Director of Opthea on June 7, 2023, Launch, Ocelot (an affiliate of Carlyle and Abingworth), Carlyle and Saama Technologies became related parties of Opthea..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4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Trading transactions</w:t>
            </w:r>
          </w:p>
        </w:tc>
        <w:tc>
          <w:tcPr>
            <w:tcW w:w="1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7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During the year, the Company entered into the following transactions with related parties:</w:t>
            </w:r>
          </w:p>
        </w:tc>
        <w:tc>
          <w:tcPr>
            <w:tcW w:w="1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6"/>
        </w:trPr>
        <w:tc>
          <w:tcPr>
            <w:tcW w:w="7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6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940" w:type="dxa"/>
            <w:vAlign w:val="bottom"/>
          </w:tcPr>
          <w:p>
            <w:pPr>
              <w:spacing w:after="0"/>
              <w:rPr>
                <w:sz w:val="24"/>
                <w:szCs w:val="24"/>
                <w:color w:val="auto"/>
              </w:rPr>
            </w:pPr>
          </w:p>
        </w:tc>
      </w:tr>
      <w:tr>
        <w:trPr>
          <w:trHeight w:val="243"/>
        </w:trPr>
        <w:tc>
          <w:tcPr>
            <w:tcW w:w="7040" w:type="dxa"/>
            <w:vAlign w:val="bottom"/>
          </w:tcPr>
          <w:p>
            <w:pPr>
              <w:spacing w:after="0"/>
              <w:rPr>
                <w:sz w:val="21"/>
                <w:szCs w:val="21"/>
                <w:color w:val="auto"/>
              </w:rPr>
            </w:pPr>
          </w:p>
        </w:tc>
        <w:tc>
          <w:tcPr>
            <w:tcW w:w="32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Purchase of Service (US$)</w:t>
            </w:r>
          </w:p>
        </w:tc>
        <w:tc>
          <w:tcPr>
            <w:tcW w:w="940" w:type="dxa"/>
            <w:vAlign w:val="bottom"/>
          </w:tcPr>
          <w:p>
            <w:pPr>
              <w:spacing w:after="0"/>
              <w:rPr>
                <w:sz w:val="21"/>
                <w:szCs w:val="21"/>
                <w:color w:val="auto"/>
              </w:rPr>
            </w:pPr>
          </w:p>
        </w:tc>
      </w:tr>
      <w:tr>
        <w:trPr>
          <w:trHeight w:val="243"/>
        </w:trPr>
        <w:tc>
          <w:tcPr>
            <w:tcW w:w="704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1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7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7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Ocelot</w:t>
            </w:r>
          </w:p>
        </w:tc>
        <w:tc>
          <w:tcPr>
            <w:tcW w:w="11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Launch Tx</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2,700,000</w:t>
            </w:r>
          </w:p>
        </w:tc>
        <w:tc>
          <w:tcPr>
            <w:tcW w:w="2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900,000</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Mr Lawrence Gozlan</w:t>
            </w:r>
          </w:p>
        </w:tc>
        <w:tc>
          <w:tcPr>
            <w:tcW w:w="11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Saama Technologies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342,762</w:t>
            </w:r>
          </w:p>
        </w:tc>
        <w:tc>
          <w:tcPr>
            <w:tcW w:w="2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23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Transactions with Launch TX relate to the purchase of services assisting Opthea with the management and oversight of trials under the Service Agreement with Launch Tx.</w:t>
      </w:r>
    </w:p>
    <w:p>
      <w:pPr>
        <w:spacing w:after="0" w:line="3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Transactions with Saama Technologies relate to the purchase of services assisting Opthea with analytical work on clinical trials.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42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680" w:type="dxa"/>
            <w:vAlign w:val="bottom"/>
          </w:tcPr>
          <w:p>
            <w:pPr>
              <w:spacing w:after="0"/>
              <w:rPr>
                <w:sz w:val="20"/>
                <w:szCs w:val="20"/>
                <w:color w:val="auto"/>
              </w:rPr>
            </w:pPr>
          </w:p>
        </w:tc>
      </w:tr>
      <w:tr>
        <w:trPr>
          <w:trHeight w:val="243"/>
        </w:trPr>
        <w:tc>
          <w:tcPr>
            <w:tcW w:w="4400" w:type="dxa"/>
            <w:vAlign w:val="bottom"/>
          </w:tcPr>
          <w:p>
            <w:pPr>
              <w:spacing w:after="0"/>
              <w:rPr>
                <w:sz w:val="21"/>
                <w:szCs w:val="21"/>
                <w:color w:val="auto"/>
              </w:rPr>
            </w:pPr>
          </w:p>
        </w:tc>
        <w:tc>
          <w:tcPr>
            <w:tcW w:w="6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Amounts owed to related parties (US$)</w:t>
            </w:r>
          </w:p>
        </w:tc>
        <w:tc>
          <w:tcPr>
            <w:tcW w:w="680" w:type="dxa"/>
            <w:vAlign w:val="bottom"/>
          </w:tcPr>
          <w:p>
            <w:pPr>
              <w:spacing w:after="0"/>
              <w:rPr>
                <w:sz w:val="21"/>
                <w:szCs w:val="21"/>
                <w:color w:val="auto"/>
              </w:rPr>
            </w:pPr>
          </w:p>
        </w:tc>
      </w:tr>
      <w:tr>
        <w:trPr>
          <w:trHeight w:val="243"/>
        </w:trPr>
        <w:tc>
          <w:tcPr>
            <w:tcW w:w="4400" w:type="dxa"/>
            <w:vAlign w:val="bottom"/>
          </w:tcPr>
          <w:p>
            <w:pPr>
              <w:spacing w:after="0"/>
              <w:rPr>
                <w:sz w:val="21"/>
                <w:szCs w:val="21"/>
                <w:color w:val="auto"/>
              </w:rPr>
            </w:pPr>
          </w:p>
        </w:tc>
        <w:tc>
          <w:tcPr>
            <w:tcW w:w="37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2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44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4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Ocelot</w:t>
            </w:r>
          </w:p>
        </w:tc>
        <w:tc>
          <w:tcPr>
            <w:tcW w:w="37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141,554,653</w:t>
            </w:r>
          </w:p>
        </w:tc>
        <w:tc>
          <w:tcPr>
            <w:tcW w:w="242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85,660,000</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Launch Tx</w:t>
            </w:r>
          </w:p>
        </w:tc>
        <w:tc>
          <w:tcPr>
            <w:tcW w:w="3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900,000</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Lawrence Gozlan</w:t>
            </w:r>
          </w:p>
        </w:tc>
        <w:tc>
          <w:tcPr>
            <w:tcW w:w="37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Saama Technologies</w:t>
            </w:r>
          </w:p>
        </w:tc>
        <w:tc>
          <w:tcPr>
            <w:tcW w:w="3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2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Amounts owed to Ocelot and Co Investor relate to the Development Funding Agreement and carry an effective rate of 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44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660" w:type="dxa"/>
            <w:vAlign w:val="bottom"/>
          </w:tcPr>
          <w:p>
            <w:pPr>
              <w:spacing w:after="0"/>
              <w:rPr>
                <w:sz w:val="20"/>
                <w:szCs w:val="20"/>
                <w:color w:val="auto"/>
              </w:rPr>
            </w:pPr>
          </w:p>
        </w:tc>
      </w:tr>
      <w:tr>
        <w:trPr>
          <w:trHeight w:val="243"/>
        </w:trPr>
        <w:tc>
          <w:tcPr>
            <w:tcW w:w="3680" w:type="dxa"/>
            <w:vAlign w:val="bottom"/>
          </w:tcPr>
          <w:p>
            <w:pPr>
              <w:spacing w:after="0"/>
              <w:rPr>
                <w:sz w:val="21"/>
                <w:szCs w:val="21"/>
                <w:color w:val="auto"/>
              </w:rPr>
            </w:pPr>
          </w:p>
        </w:tc>
        <w:tc>
          <w:tcPr>
            <w:tcW w:w="6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Amounts owed to related parties* ( US$)</w:t>
            </w:r>
          </w:p>
        </w:tc>
        <w:tc>
          <w:tcPr>
            <w:tcW w:w="660" w:type="dxa"/>
            <w:vAlign w:val="bottom"/>
          </w:tcPr>
          <w:p>
            <w:pPr>
              <w:spacing w:after="0"/>
              <w:rPr>
                <w:sz w:val="21"/>
                <w:szCs w:val="21"/>
                <w:color w:val="auto"/>
              </w:rPr>
            </w:pPr>
          </w:p>
        </w:tc>
      </w:tr>
      <w:tr>
        <w:trPr>
          <w:trHeight w:val="243"/>
        </w:trPr>
        <w:tc>
          <w:tcPr>
            <w:tcW w:w="3680" w:type="dxa"/>
            <w:vAlign w:val="bottom"/>
          </w:tcPr>
          <w:p>
            <w:pPr>
              <w:spacing w:after="0"/>
              <w:rPr>
                <w:sz w:val="21"/>
                <w:szCs w:val="21"/>
                <w:color w:val="auto"/>
              </w:rPr>
            </w:pPr>
          </w:p>
        </w:tc>
        <w:tc>
          <w:tcPr>
            <w:tcW w:w="44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4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36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3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Ocelot</w:t>
            </w:r>
          </w:p>
        </w:tc>
        <w:tc>
          <w:tcPr>
            <w:tcW w:w="4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Launch Tx</w:t>
            </w:r>
          </w:p>
        </w:tc>
        <w:tc>
          <w:tcPr>
            <w:tcW w:w="4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3,150,000</w:t>
            </w:r>
          </w:p>
        </w:tc>
        <w:tc>
          <w:tcPr>
            <w:tcW w:w="24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Mr. Lawrence Gozlan</w:t>
            </w:r>
          </w:p>
        </w:tc>
        <w:tc>
          <w:tcPr>
            <w:tcW w:w="4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Saama Technologies</w:t>
            </w:r>
          </w:p>
        </w:tc>
        <w:tc>
          <w:tcPr>
            <w:tcW w:w="4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24,238</w:t>
            </w:r>
          </w:p>
        </w:tc>
        <w:tc>
          <w:tcPr>
            <w:tcW w:w="24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873"/>
        </w:trPr>
        <w:tc>
          <w:tcPr>
            <w:tcW w:w="3680" w:type="dxa"/>
            <w:vAlign w:val="bottom"/>
          </w:tcPr>
          <w:p>
            <w:pPr>
              <w:spacing w:after="0"/>
              <w:rPr>
                <w:sz w:val="24"/>
                <w:szCs w:val="24"/>
                <w:color w:val="auto"/>
              </w:rPr>
            </w:pPr>
          </w:p>
        </w:tc>
        <w:tc>
          <w:tcPr>
            <w:tcW w:w="446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153</w:t>
            </w:r>
          </w:p>
        </w:tc>
        <w:tc>
          <w:tcPr>
            <w:tcW w:w="2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63"/>
        </w:trPr>
        <w:tc>
          <w:tcPr>
            <w:tcW w:w="368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636" w:gutter="0" w:footer="0" w:header="0"/>
        </w:sectPr>
      </w:pPr>
    </w:p>
    <w:bookmarkStart w:id="154" w:name="page155"/>
    <w:bookmarkEnd w:id="154"/>
    <w:p>
      <w:pPr>
        <w:spacing w:after="0" w:line="2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above amounts represent prepayments.</w:t>
      </w:r>
    </w:p>
    <w:p>
      <w:pPr>
        <w:spacing w:after="0" w:line="3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Amounts due to related parties relates to the services assisting Opthea with the management and oversight of trials under the Service Agreement with Launch Tx which was entered into in March 2023. Amounts due to Saama Technologies relate to subscription fees for the use of analytical platform, which were in a prepayment position at June 30, 2024.</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On August 28,2023 Mr. Lawrence Gozlan, a director of the Company, and the Company have entered into a Consultancy Agreement of up to US$300,000 in respect of the provision of services associated with managing, overseeing and coordinating the conduct and implementation of the 2023 Equity Offering. The consultancy agreement was effective for the financial year June 30, 2024 and ended at the completion of the 2023 Equity Offering in September 2023. In the opinion of the Directors, these duties are outside the scope of the ordinary duties of a Non-Executive Director. </w:t>
      </w:r>
      <w:r>
        <w:rPr>
          <w:rFonts w:ascii="Times New Roman" w:cs="Times New Roman" w:eastAsia="Times New Roman" w:hAnsi="Times New Roman"/>
          <w:sz w:val="18"/>
          <w:szCs w:val="18"/>
          <w:color w:val="414042"/>
        </w:rPr>
        <w:t>Included in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414042"/>
        </w:rPr>
        <w:t>are transaction costs paid under this consulting agreement of US$125,000 for the year ended June 30, 2024.</w:t>
      </w:r>
    </w:p>
    <w:p>
      <w:pPr>
        <w:spacing w:after="0" w:line="26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Other than compensation arrangements which are described under “Item 6B—Compensation” or as disclosed below, from July 1, 2023 through the date of this annual report, we did not enter into any transactions or loans with any: (i) enterprises that directly or indirectly, through one or more intermediaries, control, are controlled by or are under common control with us; (ii) associates; (iii) individuals owning, directly or indirectly, an interest in our voting power that gives them significant influence over us, and close members of any such individual’s family; (iv) key management personnel and close members of such individuals’ families; or (v) enterprises in which a substantial interest in our voting power is owned, directly or indirectly, by any person described in (iii) or (iv) or over which such person is able to exercise significant influence.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Senior Management Compensation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“Item 6B—Compensation” for information regarding compensation of our senior management and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Constitution provides that, except to the extent prohibited by law including under the Corporations Act and, to the extent that an officer is not otherwise indemnified by us pursuant to an indemnity, we will indemnify every person who is or has been an officer of the company against any liability (other than legal costs that are unreasonable) incurred by that person as an officer. This includes any liability incurred by that person in their capacity as an officer of our subsidiaries where we requested that person to accept that appointment.</w:t>
      </w:r>
    </w:p>
    <w:p>
      <w:pPr>
        <w:spacing w:after="0" w:line="1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have entered into Deeds of Indemnity, Insurance and Access, or Indemnity Deeds, with Megan Baldwin, Ph.D., Timothy Morris, Karen Adams, Lawrence Gozlan, Julia Haller, Jeremy Levin, Susan Orr, Quinton Oswald, Anshul Thakral, Sujal Shah and Daniel Spiegelman, each a non-employee director (or former non-employee director for Mr. Spiegelman), or executive officer (or former executive officer for Mr. Morris). Under the Indemnity Deeds, we have agreed to indemnify (to the maximum extent permitted under Australian law and our Constitution, subject to certain specified exceptions) each director and executive officer against all liabilities incurred in their capacity as our or our subsidiaries’ director or officer and any and all costs and expenses relating to such a claim or to any notified event incurred by such director or executive officer, including costs and expenses reasonably and necessarily incurred to mitigate any liability for such a claim or any claim which may arise from such a notified event. The Indemnity Deeds provide that the indemnities are unlimited as to amount, continuous and irrevocable.</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Separately, we have obtained insurance for our directors and executive officers, as required by the Indemnity Deeds.</w:t>
      </w:r>
    </w:p>
    <w:p>
      <w:pPr>
        <w:spacing w:after="0" w:line="22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Person Transaction Policy</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comply with Australian law and the rules and regulations of the ASX regarding approval of transactions with related parties. We have also adopted a related person transaction policy that sets forth our procedures for the identification, review, consideration and approval or ratification of related person transactions, which became effective in connection with the listing of our ADSs on Nasdaq. For purposes of our policy, a related person transaction is a transaction, arrangement or similar contractual relationship, or any series of similar transactions, arrangements or relationships, in which we and any related person are, were or will be participants and the amount involved in the transaction exceeds US$120,000, with the exception of usual transactions concluded under normal conditions. A related person is any member of our board of directors, our senior management or any beneficial owner of more than 5% of any class of our ordinary shares, including any of their immediate family members and any entity owned or controlled by such persons.</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senior management must present information regarding the related person transaction to the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member of our board of directors and, to the extent feasible, significant shareholder to enable us to identify any existing or potential related-person transactions and to effectuate the terms of the policy.</w:t>
      </w:r>
    </w:p>
    <w:p>
      <w:pPr>
        <w:spacing w:after="0" w:line="19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All of the transactions described above were entered into prior to the adoption of the written policy, but our board of directors evaluated and approved all transactions that were considered to be related party transactions under Australian law and the rules and regulations of the ASX at the time at which they were consummated.</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7C.</w:t>
      </w:r>
      <w:r>
        <w:rPr>
          <w:sz w:val="20"/>
          <w:szCs w:val="20"/>
          <w:color w:val="auto"/>
        </w:rPr>
        <w:tab/>
      </w:r>
      <w:r>
        <w:rPr>
          <w:rFonts w:ascii="Times New Roman" w:cs="Times New Roman" w:eastAsia="Times New Roman" w:hAnsi="Times New Roman"/>
          <w:sz w:val="18"/>
          <w:szCs w:val="18"/>
          <w:b w:val="1"/>
          <w:bCs w:val="1"/>
          <w:color w:val="auto"/>
        </w:rPr>
        <w:t>Interests of Experts and Counsel</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8A.</w:t>
      </w:r>
      <w:r>
        <w:rPr>
          <w:sz w:val="20"/>
          <w:szCs w:val="20"/>
          <w:color w:val="auto"/>
        </w:rPr>
        <w:tab/>
      </w:r>
      <w:r>
        <w:rPr>
          <w:rFonts w:ascii="Times New Roman" w:cs="Times New Roman" w:eastAsia="Times New Roman" w:hAnsi="Times New Roman"/>
          <w:sz w:val="18"/>
          <w:szCs w:val="18"/>
          <w:b w:val="1"/>
          <w:bCs w:val="1"/>
          <w:color w:val="auto"/>
        </w:rPr>
        <w:t>Consolidated Statements and Other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“Item 18—Financial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“Item 4B—Business Overview—Legal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have not declared or paid any dividends on our ordinary shares since February 2005. We intend to retain any earnings for use in our business and do not currently intend to pay cash dividends on our ordinary shares. Dividends, if any, on our outstanding ordinary shares will be declared by and subject to the discretion of our board of directors, and subject to Australian law.</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Any dividend we declare will be paid to the holders of ADSs, subject to the terms of the deposit agreement, to the same extent as holders of our ordinary shares, to the extent permitted by applicable law and regulations, less the fees and expenses payable under the deposit agreement. Any dividend we declare will be distributed by the depositary bank to the holders of the ADSs, subject to the terms of the deposit agreement.</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8B.</w:t>
      </w:r>
      <w:r>
        <w:rPr>
          <w:sz w:val="20"/>
          <w:szCs w:val="20"/>
          <w:color w:val="auto"/>
        </w:rPr>
        <w:tab/>
      </w:r>
      <w:r>
        <w:rPr>
          <w:rFonts w:ascii="Times New Roman" w:cs="Times New Roman" w:eastAsia="Times New Roman" w:hAnsi="Times New Roman"/>
          <w:sz w:val="18"/>
          <w:szCs w:val="18"/>
          <w:b w:val="1"/>
          <w:bCs w:val="1"/>
          <w:color w:val="auto"/>
        </w:rPr>
        <w:t>Significant Changes</w:t>
      </w:r>
    </w:p>
    <w:p>
      <w:pPr>
        <w:spacing w:after="0" w:line="22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No significant change, other than as otherwise described in this annual report, has occurred in our operations since the date of our financial statements included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9A.</w:t>
      </w:r>
      <w:r>
        <w:rPr>
          <w:sz w:val="20"/>
          <w:szCs w:val="20"/>
          <w:color w:val="auto"/>
        </w:rPr>
        <w:tab/>
      </w:r>
      <w:r>
        <w:rPr>
          <w:rFonts w:ascii="Times New Roman" w:cs="Times New Roman" w:eastAsia="Times New Roman" w:hAnsi="Times New Roman"/>
          <w:sz w:val="18"/>
          <w:szCs w:val="18"/>
          <w:b w:val="1"/>
          <w:bCs w:val="1"/>
          <w:color w:val="auto"/>
        </w:rPr>
        <w:t>Offer and Listing Details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Our ADSs have been listed on the Nasdaq Global Select Market under the symbol “OPT” since October 16, 2020. Our ordinary shares are listed on the ASX under the symbol “OPT.”</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9B.</w:t>
      </w:r>
      <w:r>
        <w:rPr>
          <w:sz w:val="20"/>
          <w:szCs w:val="20"/>
          <w:color w:val="auto"/>
        </w:rPr>
        <w:tab/>
      </w: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9C.</w:t>
      </w:r>
      <w:r>
        <w:rPr>
          <w:sz w:val="20"/>
          <w:szCs w:val="20"/>
          <w:color w:val="auto"/>
        </w:rPr>
        <w:tab/>
      </w: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“—Offer and Listing Details.”</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9D.</w:t>
      </w:r>
      <w:r>
        <w:rPr>
          <w:sz w:val="20"/>
          <w:szCs w:val="20"/>
          <w:color w:val="auto"/>
        </w:rPr>
        <w:tab/>
      </w: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9E.</w:t>
      </w:r>
      <w:r>
        <w:rPr>
          <w:sz w:val="20"/>
          <w:szCs w:val="20"/>
          <w:color w:val="auto"/>
        </w:rPr>
        <w:tab/>
      </w: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9F.</w:t>
      </w:r>
      <w:r>
        <w:rPr>
          <w:sz w:val="20"/>
          <w:szCs w:val="20"/>
          <w:color w:val="auto"/>
        </w:rPr>
        <w:tab/>
      </w:r>
      <w:r>
        <w:rPr>
          <w:rFonts w:ascii="Times New Roman" w:cs="Times New Roman" w:eastAsia="Times New Roman" w:hAnsi="Times New Roman"/>
          <w:sz w:val="18"/>
          <w:szCs w:val="18"/>
          <w:b w:val="1"/>
          <w:bCs w:val="1"/>
          <w:color w:val="auto"/>
        </w:rPr>
        <w:t>Expenses of the Issue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7" w:name="page158"/>
    <w:bookmarkEnd w:id="15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10A.</w:t>
      </w:r>
      <w:r>
        <w:rPr>
          <w:sz w:val="20"/>
          <w:szCs w:val="20"/>
          <w:color w:val="auto"/>
        </w:rPr>
        <w:tab/>
      </w: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10B.</w:t>
      </w:r>
      <w:r>
        <w:rPr>
          <w:sz w:val="20"/>
          <w:szCs w:val="20"/>
          <w:color w:val="auto"/>
        </w:rPr>
        <w:tab/>
      </w:r>
      <w:r>
        <w:rPr>
          <w:rFonts w:ascii="Times New Roman" w:cs="Times New Roman" w:eastAsia="Times New Roman" w:hAnsi="Times New Roman"/>
          <w:sz w:val="18"/>
          <w:szCs w:val="18"/>
          <w:b w:val="1"/>
          <w:bCs w:val="1"/>
          <w:color w:val="auto"/>
        </w:rPr>
        <w:t>Constitution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Exhibit 2.3 “Description of Securities,” which is incorporated herein by reference.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10C.</w:t>
      </w:r>
      <w:r>
        <w:rPr>
          <w:sz w:val="20"/>
          <w:szCs w:val="20"/>
          <w:color w:val="auto"/>
        </w:rPr>
        <w:tab/>
      </w:r>
      <w:r>
        <w:rPr>
          <w:rFonts w:ascii="Times New Roman" w:cs="Times New Roman" w:eastAsia="Times New Roman" w:hAnsi="Times New Roman"/>
          <w:sz w:val="18"/>
          <w:szCs w:val="18"/>
          <w:b w:val="1"/>
          <w:bCs w:val="1"/>
          <w:color w:val="auto"/>
        </w:rPr>
        <w:t>Material Contracts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information on our material contracts, see “Item 4B—Business Overview—Our Commercial License Arrangement with Selexis SA,” “Item 5B— Liquidity and Capital Resources—Sources and Uses of Liquidity,” and “Item 5B–Liquidity and Capital Resources–Development Funding Agreement .”</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10D.</w:t>
      </w:r>
      <w:r>
        <w:rPr>
          <w:sz w:val="20"/>
          <w:szCs w:val="20"/>
          <w:color w:val="auto"/>
        </w:rPr>
        <w:tab/>
      </w:r>
      <w:r>
        <w:rPr>
          <w:rFonts w:ascii="Times New Roman" w:cs="Times New Roman" w:eastAsia="Times New Roman" w:hAnsi="Times New Roman"/>
          <w:sz w:val="18"/>
          <w:szCs w:val="18"/>
          <w:b w:val="1"/>
          <w:bCs w:val="1"/>
          <w:color w:val="auto"/>
        </w:rPr>
        <w:t>Exchange Controls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Australian dollar is freely convertible into U.S. dollars. In addition, there are currently no specific rules or limitations regarding the export from Australia of profits, dividends, capital or similar funds belonging to foreign investors, except that certain payments to non-residents must be reported to the Australian Transaction Reports and Analysis Centre (or "AUSTRAC”), which monitors such transaction, and amounts on account of potential Australian tax liabilities may be required to be withheld unless a relevant taxation treaty can be shown to apply.</w:t>
      </w:r>
    </w:p>
    <w:p>
      <w:pPr>
        <w:spacing w:after="0" w:line="17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10E.</w:t>
      </w:r>
      <w:r>
        <w:rPr>
          <w:sz w:val="20"/>
          <w:szCs w:val="20"/>
          <w:color w:val="auto"/>
        </w:rPr>
        <w:tab/>
      </w: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following summary of the material Australian and U.S. federal income tax considerations relating to an investment in the ADSs or ordinary shares is based upon laws and relevant interpretations thereof in effect as of the date of this annual report, all of which are subject to change, possibly with retroactive effect. This summary does not deal with all possible tax consequences relating to an investment in the ADSs or ordinary shares, such as the tax consequences under U.S. state, local and other tax laws other than U.S. federal income tax laws and certain Australian tax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the ADSs or ordinary shares by a U.S. holder (as defined below). This summary applies only to U.S. holders that hold such ADSs or ordinary shares as capital assets (generally, property held for investment) for U.S. federal income tax purposes. This summary does not address all U.S. federal income tax considerations that may be relevant to a particular U.S. holder and does not represent a detailed discussion of all of the U.S. federal income tax considerations applicable to a holder of our ordinary shares or ADSs that may be subject to special tax rules including, without limitation:</w:t>
      </w:r>
    </w:p>
    <w:p>
      <w:pPr>
        <w:spacing w:after="0" w:line="183" w:lineRule="exact"/>
        <w:rPr>
          <w:sz w:val="20"/>
          <w:szCs w:val="20"/>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insurance companies;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currencies, commodities, or notional principal contracts;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or organizations, including an “individual retirement account” or “Roth IRA” as defined in Section 408 or 408A of the Code (as defined below), respectively;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regulated investment companies or grantor trusts;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ADSs or ordinary shares as part of a “hedging,” “integrated,” “wash sale” or “conversion” transaction or as a position in a “straddle” for U.S. federal income tax purposes;</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classified as passthrough entities for U.S. federal income tax purposes, or U.S. holders who hold the ADSs or ordinary shares through such an entity;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94" w:lineRule="exact"/>
        <w:rPr>
          <w:sz w:val="20"/>
          <w:szCs w:val="20"/>
          <w:color w:val="auto"/>
        </w:rPr>
      </w:pPr>
    </w:p>
    <w:p>
      <w:pPr>
        <w:ind w:left="760" w:hanging="378"/>
        <w:spacing w:after="0"/>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ADSs or ordinary shares pursuant to the exercise of any employee share option or otherwise as compensation for the performance of services;</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own or have owned directly, indirectly, or through attribution 10% or more of the voting power or value of our ordinary shares or ADSs;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have a “functional currency” other than the U.S. dollar.</w:t>
      </w:r>
    </w:p>
    <w:p>
      <w:pPr>
        <w:spacing w:after="0" w:line="225"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Holders of the ADSs or ordinary shares who fall within one of the categories above are advised to consult their tax advisor regarding the specific tax consequences which may apply to their particular situation.</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a partnership (or any other entity or arrangement treated as a partnership for U.S. federal income tax purposes) holds the ADSs or ordinary shares, the tax consequences relating to an investment in the ADSs or ordinary shares will depend in part upon the status of the partner and the activities of the partnership. Such a partner or partnership should consult its tax advisor regarding the U.S. federal income tax considerations of owning and disposing of the ADSs or ordinary shares in its particular circumstances.</w:t>
      </w:r>
    </w:p>
    <w:p>
      <w:pPr>
        <w:spacing w:after="0" w:line="1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discussion in this section is based on the U.S. Internal Revenue Code of 1986, as amended, or the Code, existing, proposed and temporary U.S. Treasury Regulations promulgated thereunder, administrative and judicial interpretations thereof, and the Convention between the Government of the United States of America and the Government of Australia for the Avoidance of Double Taxation and the Prevention of Fiscal Evasion with Respect to Taxes on Income, signed on August 6, 1982, as amended and currently in force, or the Treaty, in each case as in effect and available on the date hereof. Such authorities are subject to change, which change could apply retroactively, and to differing interpretations, all of which could affect the tax considerations described below. There can be no assurances that the U.S. Internal Revenue Service, or the IRS, will not take a position concerning the tax consequences of the ownership and disposition of ADSs or ordinary shares or that such a position would not be sustained by a court. U.S. holders should consult their own tax advisors concerning the U.S. federal, state, local and non-U.S. tax consequences of owning and disposing of ADSs or ordinary shares in their particular circumstances.</w:t>
      </w:r>
    </w:p>
    <w:p>
      <w:pPr>
        <w:spacing w:after="0" w:line="18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This summary does not address the estate tax considerations, alternative minimum tax considerations, the potential application of the Medicare contribution tax on net investment income, the special tax accounting rules under Section 451(b) of the Code, or any U.S. state, local, or non-U.S. tax considerations applicable to the acquisition, ownership and disposition of ordinary shares or ADSs or ordinary shares.</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the purposes of this description, a “U.S. holder” is a beneficial owner of the ADSs or ordinary shares that is (or is treated as), for U.S. federal income tax purposes:</w:t>
      </w:r>
    </w:p>
    <w:p>
      <w:pPr>
        <w:spacing w:after="0" w:line="162" w:lineRule="exact"/>
        <w:rPr>
          <w:sz w:val="20"/>
          <w:szCs w:val="20"/>
          <w:color w:val="auto"/>
        </w:rPr>
      </w:pPr>
    </w:p>
    <w:p>
      <w:pPr>
        <w:ind w:left="760" w:hanging="378"/>
        <w:spacing w:after="0"/>
        <w:tabs>
          <w:tab w:leader="none" w:pos="7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within the United States is able to exercise primary supervision over its administration and one or more U.S. persons have the authority to control all of the substantial decisions of such trust, or if such trust has a valid election in effect under applicable U.S. Treasury Regulations to be treated as a U.S. person.</w:t>
      </w:r>
    </w:p>
    <w:p>
      <w:pPr>
        <w:spacing w:after="0" w:line="176"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discussion in this section is based in part upon the representations of the depositary and the assumption that each obligation in the amended and restated deposit agreement and any related agreement will be performed in accordance with its terms.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9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general, and taking into account the earlier assumptions, for U.S. federal income tax purposes, a U.S. holder holding ADSs will be treated as the owner of the ordinary shares represented by the ADSs. Exchanges of ordinary shares for ADSs, and ADSs for ordinary shares, generally will not be subject to U.S. federal income tax.</w:t>
      </w:r>
    </w:p>
    <w:p>
      <w:pPr>
        <w:spacing w:after="0" w:line="172"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b w:val="1"/>
          <w:bCs w:val="1"/>
          <w:color w:val="auto"/>
        </w:rPr>
        <w:t>ALL HOLDERS AND POTENTIAL HOLDERS OF THE ADSs SHOULD CONSULT THEIR OWN TAX ADVISORS AS TO THE PARTICULAR TAX CONSEQUENCES APPLICABLE TO THEM RELATING TO THE ACQUISITION, OWNERSHIP AND DISPOSITION OF THE ADSs OR ORDINARY SHARES, INCLUDING THE APPLICABILITY OF U.S. FEDERAL, STATE AND LOCAL TAX LAWS, AUSTRALIAN TAX LAWS AND OTHER NON-U.S. TAX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we are classified as a PFIC in any taxable year, during which a U.S. holder holds the ADSs or ordinary shares, such U.S. holder will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will be classified as a PFIC for U.S. federal income tax purposes in any taxable year in which, after applying certain look-through rules with respect to the income and assets of our subsidiaries, either: (1) at least 75% of the gross income is “passive income” or (2) at least 50% of the average quarterly value of our total gross assets (which would generally be measured by fair market value of our assets, and for which purpose the total value of our assets may be determined in part by the market value of the ADSs and our ordinary shares, which are subject to change) is attributable to assets that produce “passive income” or are held for the production of “passive income.”</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securities. If a non-U.S. corporation owns directly or indirectly at least 25% by value of the stock of another corporation or the partnership interests in a partnership, the non-U.S. corporation is treated for purposes of the PFIC tests as owning its proportionate share of the assets of the other corporation or partnership and as receiving directly its proportionate share of the other corporation’s or partnership’s income.</w:t>
      </w:r>
    </w:p>
    <w:p>
      <w:pPr>
        <w:spacing w:after="0" w:line="18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believe we were a PFIC for our taxable year ended June 30, 2024, and based on the nature and composition of our income, assets, activities and market capitalization, we may be a PFIC in future taxable years. However, our PFIC status is based on an annual determination and may change from year to year. Our status as a PFIC will depend on the composition of our income and the composition and value of our assets, which may be determined in large part by reference to the market value of the ADSs and our ordinary shares, which may be volatile, from time to time. Our status may also depend, in part, on how quickly we utilize the cash we raise in any offering of our securities. Our U.S. counsel expresses no opinion regarding our conclusions or our expectations regarding our PFIC status.</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If we are classified as a PFIC in any year with respect to which a U.S. holder owns the ADSs or ordinary shares, we will continue to be treated as a PFIC with respect to such U.S. holder in all succeeding years during which the U.S. holder owns the ADSs or ordinary shares, regardless of whether we continue to meet the tests described above unless we cease to be a PFIC and the U.S. holder has made a “deemed sale” election under the PFIC rules. If the “deemed sale” election is made, a U.S. holder will be deemed to have sold the securities the U.S. holder holds at their fair market value as of the date of such deemed sale and any gain from such deemed sale would be subject to the rules described below. After the deemed sale election, so long as we do not become a PFIC in a subsequent taxable year, the U.S. holder’s securities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the securities. U.S. holders should consult their tax advisors as to the possibility and consequences of making a deemed sale or other “purging” election if such election becomes available.</w:t>
      </w:r>
    </w:p>
    <w:p>
      <w:pPr>
        <w:spacing w:after="0" w:line="18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we are a PFIC, and you are a U.S. holder that does not make one of the elections described herein, a special tax regime will apply to both (a) any “excess distribution” by us to you (generally, your ratable portion of distributions in any year, other than the taxable year in which your holding period in the shares or ADSs begins, which are greater than 125% of the average annual distribution received by you in the shorter of the three preceding years or the portion of your holding period for the ADSs or ordinary shares that preceded the year 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distribution) and (b) any gain realized on the sale or other disposition of the ADSs or ordinary shares. Under this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 those years. In addition, dividend distributions made to you will not qualify for the lower rates of taxation applicable to qualified dividends discussed above under “Distributions.”</w:t>
      </w:r>
    </w:p>
    <w:p>
      <w:pPr>
        <w:spacing w:after="0" w:line="18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Certain elections may alleviate some of the adverse consequences of PFIC status and would result in an alternative treatment of our ordinary shares or ADSs.</w:t>
      </w:r>
    </w:p>
    <w:p>
      <w:pPr>
        <w:spacing w:after="0" w:line="162"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If a U.S. holder makes a mark-to-market election, with respect to our ordinary shares or ADSs, the U.S. holder generally will recognize as ordinary income any excess of the fair market value of our ordinary shares or ADSs at the end of each taxable year over their adjusted tax basis, and will recognize an ordinary loss in respect of any excess of the adjusted tax basis of our ordinary shares or ADSs over their fair market value at the end of the taxable year (but only to the extent of the net amount of income previously included as a result of the mark-to-market election). If a U.S. holder makes the election, the U.S. holder’s tax basis in our ordinary shares or ADSs will be adjusted to reflect these income or loss amounts. Any gain recognized on the sale or other disposition of our ordinary shares or ADSs in a year in which we are a PFIC will be treated as ordinary income and any loss will be treated as an ordinary loss (but only to the extent of the net amount of income previously included as a result of the mark-to-market election). The mark-to-market election is available only if we are a PFIC and our ordinary shares or ADSs are “regularly traded” on a “qualified exchange.” Our ordinary shares or ADSs will be treated as “regularly traded” in any calendar year in which more than a de minimis quantity of our ordinary shares or ADSs are traded on a qualified exchange on at least 15 days during each calendar quarter (subject to the rule that trades that have as one of their principal purposes the meeting of the trading requirement are disregarded). Nasdaq is a qualified exchange for this purpose and, consequently, if the ADSs are regularly traded, the mark-to-market election will be available to a U.S. holder. It should be noted that only the ADSs and not our ordinary shares are listed on Nasdaq. Consequently, our ordinary shares may not be marketable if the ASX (where our ordinary shares are currently listed) does not meet the applicable requirements. U.S. holders should consult their tax advisors regarding the availability of the mark-to-market election for ordinary shares that are not represented by ADSs.</w:t>
      </w:r>
    </w:p>
    <w:p>
      <w:pPr>
        <w:spacing w:after="0" w:line="19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However, a mark-to-market election generally cannot be made for equity interests in any lower-tier PFICs that we own, unless shares of such lower-tier PFIC are themselves “marketable.” As a result, even if a U.S. holder validly makes a mark-to-market election with respect to our ordinary shares or ADSs, the U.S. holder may continue to be subject to the PFIC rules (described above) with respect to its indirect interest in any of our investments that are treated as an equity interest in a PFIC for U.S. federal income tax purposes. U.S. holders should consult their tax advisors as to the availability and desirability of a mark-to-market election, as well as the impact of such election on interests in any lower-tier PFICs.</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do not currently intend to provide the information necessary for U.S. holders to make qualified electing fund elections if we were treated as a PFIC for any taxable year. U.S. holders should consult their tax advisors to determine whether any of the other elections described above would be available and if so, what the consequences of the alternative treatments would be in their particular circumstances.</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years in which we are determined to be a PFIC, the general tax treatment for U.S. holders described in this section would apply to indirect distributions and gains deemed to be realized by U.S. holders in respect of any of our subsidiaries that also may be determined to be PFICs. U.S. holders should consult their tax advisors regarding the application of the PFIC rules to our subsidiaries.</w:t>
      </w:r>
    </w:p>
    <w:p>
      <w:pPr>
        <w:spacing w:after="0" w:line="17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a U.S. holder owns ordinary shares or ADSs during any taxable year in which we are a PFIC, the U.S. holder may be required to file an IRS Form 8621 (Information Return by a Shareholder of a Passive Foreign Investment Company or Qualified Electing Fund) with respect to the company, generally with the U.S. holder’s federal income tax return for that year. You should consult your tax advisor concerning any filing requirements arising from the PFIC rules.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90"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b w:val="1"/>
          <w:bCs w:val="1"/>
          <w:color w:val="auto"/>
        </w:rPr>
        <w:t>The U.S. federal income tax rules relating to PFICs are complex. Prospective U.S. investors are urged to consult their own tax advisors with respect to the acquisition, ownership and disposition of our ordinary shares or ADSs, the consequences to them of an investment in a PFIC, any elections available with respect to ordinary shares and ADSs and the IRS information reporting obligations with respect to the acquisition, ownership and disposition of ordinary shares and ADSs.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do not expect to make any distributions in respect of the ADSs or ordinary shares. Subject to the discussion under “—Passive Foreign Investment Company Considerations” above, the gross amount of any distribution (including any amounts withheld in respect of foreign tax) actually or constructively received by a U.S. holder with respect to the ADSs or ordinary shares will generally be taxable to the U.S. holder as a dividend to the extent of the U.S. holder’s pro rata share of our current or accumulated earnings and profits as determined under U.S. federal income tax principles. Distributions in excess of earnings and profits will generally be non-taxable to the U.S. holder to the extent of, and will be applied against and reduce (but not below zero), the U.S. holder’s adjusted tax basis in the ADSs or ordinary shares. Distributions in excess of earnings and profits and such adjusted tax basis will generally be taxable to the U.S. holder as either long-term or short-term capital gain depending upon whether the U.S. holder has held the ADSs or ordinary shares for more than one year as of the time such distribution is received. However, since we do not calculate our earnings and profits under U.S. federal income tax principles, it is expected that any distribution will be reported as a dividend, even if that distribution would otherwise be treated as a non-taxable return of capital or as capital gain under the rules described above.</w:t>
      </w:r>
    </w:p>
    <w:p>
      <w:pPr>
        <w:spacing w:after="0" w:line="194"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Non-corporate U.S. holders may qualify for the preferential rates of taxation with respect to dividends on the ADSs or ordinary shares applicable to long-term capital gains (i.e., gains from the sale of capital assets held for more than one year) and “qualified dividend income” (as discussed below) if we are a “qualified foreign corporation” and certain other requirements (discussed below) are met. A non-U.S. corporation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ADSs or ordinary shares which are readily tradable on an established securities market in the United States. The ADSs are listed on Nasdaq, which is an established securities market in the United States, and we expect the ADSs to be readily tradable on Nasdaq. However, there can be no assurance that the ADSs will be considered readily tradable on an established securities market in the United States in later years. The Company, which is incorporated under the laws of Australia, believes that it qualifies as a resident of Australia for purposes of, and is eligible for the benefits of, the Treaty, although there can be no assurance in this regard. Further, the IRS has determined that the Treaty is satisfactory for purposes of the qualified dividend rules and that it includes an exchange-of-information program. However, the preferential tax rates available for qualified dividend income do not apply if we are a PFIC in the taxable year in which such dividends are paid or in the preceding taxable year. [As discussed above under “—Passive Foreign Investment Company Considerations”, we believe that we were a PFIC for our taxable year ended June 30, 2024 and we may be a PFIC in future taxable years.] In addition, the dividends will not be eligible for the dividends-received deduction generally allowed to corporate U.S. holders.</w:t>
      </w:r>
    </w:p>
    <w:p>
      <w:pPr>
        <w:spacing w:after="0" w:line="19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 U.S. holder generally may claim the amount of any Australian withholding tax as either a deduction from gross income or a credit against its U.S. federal income tax liability. The foreign tax credit is subject to numerous complex limitations that must be determined and applied on an individual basis. In addition, the creditability of foreign taxes could be affected by actions taken by intermediaries in the chain of ownership between the holders of the ADSs and our company if, as a result of such actions, the holders of the ADSs are not properly treated as beneficial owners of the underlying ordinary shares. Each U.S. holder should consult its own tax advisors regarding the foreign tax credit rules.</w:t>
      </w:r>
    </w:p>
    <w:p>
      <w:pPr>
        <w:spacing w:after="0" w:line="18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general, the amount of a distribution paid to a U.S. holder in a foreign currency will be the U.S. dollar value of the foreign currency calculated by reference to the spot exchange rate on the day the depositary receives the distribution, in the case of the ADSs, or on the day the distribution is received by the U.S. holder, in the case of ordinary shares, regardless of whether the foreign currency is converted into U.S. dollars at that time. Any foreign currency gain or loss a U.S. holder realizes on a subsequent conversion of foreign currency into U.S. dollars will be U.S. source ordinary income or loss. If dividends received in a foreign currency are converted into U.S. dollars on the day they are received, a U.S. holder should not be required to recognize foreign currency gain or loss in respect of the dividend.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Taxable Disposition</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 U.S. holder will generally recognize gain or loss for U.S. federal income tax purposes upon the sale, exchange or other taxable disposition of the ADSs or ordinary shares in an amount equal to the difference between the U.S. dollar value of the amount realized from such sale or exchange and the U.S. holder’s adjusted tax basis in those securities, determined in U.S. dollars. Subject to the discussion under “—Passive Foreign Investment Company Considerations” above, this gain or loss will generally be a capital gain or loss. The adjusted tax basis in the ADSs or ordinary shares generally will be equal to the cost of such ADSs or ordinary shares. Capital gain from the sale, exchange or other taxable disposition of the ADSs or ordinary shares by a non-corporate U.S. holder is generally eligible for a preferential rate of taxation applicable to capital gains if the non-corporate U.S. holder’s holding period determined at the time of such sale, exchange or other taxable disposition for such securities exceeds one year (i.e., such gain is long-term taxable gain). The deductibility of capital losses for U.S. federal income tax purposes is subject to limitations. Any such gain or loss that a U.S. holder recognizes generally will be treated as U.S. source gain or loss for foreign tax credit limitation purposes.</w:t>
      </w:r>
    </w:p>
    <w:p>
      <w:pPr>
        <w:spacing w:after="0" w:line="18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a cash basis taxpayer, units of foreign currency paid or received are translated into U.S. dollars at the spot rate on the settlement date of the purchase or sale. In that case, no foreign currency exchange gain or loss will result from currency fluctuations between the trade date and the settlement date of such a purchase or sale.</w:t>
      </w:r>
    </w:p>
    <w:p>
      <w:pPr>
        <w:spacing w:after="0" w:line="17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An accrual basis taxpayer, however, may elect the same treatment required of cash basis taxpayers with respect to purchases and sales of our ordinary shares or ADSs that are traded on an established securities market, provided the election is applied consistently from year to year. Such election may not be changed without the consent of the IRS. For an accrual basis taxpayer who does not make such election, units of foreign currency paid or received are translated into U.S. dollars at the spot rate on the trade date of the purchase or sale. Such an accrual basis taxpayer may recognize exchange gain or loss based on currency fluctuations between the trade date and the settlement date. Any foreign currency gain or loss a U.S. holder realizes will be U.S. source ordinary income or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U.S. holders generally will be subject to information reporting requirements with respect to distributions on the ordinary shares or ADSs and on the proceeds from the sale, exchange, or disposition of the ordinary shares or ADSs that are paid within the United States or through U.S.-related financial intermediaries, unless the U.S. holder is an “exempt recipient.” In addition, U.S. holders may be subject to backup withholding on such payments, 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Asset Reporting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Certain individual U.S. holders are required to report information relating to an interest in the ordinary shares or ADSs, subject to certain exceptions (including an exception for shares held in accounts maintained by U.S. financial institutions) by filing IRS Form 8938 (Statement of Specified Foreign Financial Assets) with their federal income tax return. U.S. holders are urged to consult their tax advisors regarding their information reporting obligations, if any, with respect to their ownership and disposition of the ordinary shares or ADSs.</w:t>
      </w:r>
    </w:p>
    <w:p>
      <w:pPr>
        <w:spacing w:after="0" w:line="176"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b w:val="1"/>
          <w:bCs w:val="1"/>
          <w:color w:val="auto"/>
        </w:rPr>
        <w:t>THE DISCUSSION ABOVE IS A SUMMARY OF THE U.S. FEDERAL INCOME TAX CONSEQUENCES OF AN INVESTMENT IN THE ORDINARY SHARES OR ADSs AND IS BASED UPON LAWS AND RELEVANT INTERPRETATIONS THEREOF IN EFFECT AS OF THE DATE OF THIS ANNUAL REPORT, ALL OF WHICH ARE SUBJECT TO CHANGE, POSSIBLY WITH RETROACTIVE EFFECT. EACH PROSPECTIVE INVESTOR IS URGED TO CONSULT ITS OWN TAX ADVISOR ABOUT THE TAX CONSEQUENCES TO IT OF AN INVESTMENT IN THE ORDINARY SHARES OR ADSs IN LIGHT OF THE INVESTOR’S OWN CIRCUMSTANCES.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Australian Tax Considerations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this section, we discuss the material Australian income tax, stamp duty and goods and services tax considerations related to the acquisition, ownership and disposal by the absolute beneficial owners of the ADSs or ordinary shares represented by ADSs. It is based upon existing Australian tax law as of the date of this registration statement, which is subject to change, possibly retrospectively. This discussion does not address all aspects of Australian tax law which may be important to particular investors in light of their individual investment circumstances, such as ADSs or shares held by investors subject to special tax rules (for example, financial institutions, insurance companies or tax exempt organizations). In addition, this summary does not discuss any non-Australian or state tax considerations, other than stamp duty and goods and services tax.</w:t>
      </w:r>
    </w:p>
    <w:p>
      <w:pPr>
        <w:spacing w:after="0" w:line="18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Prospective investors are urged to consult their tax advisors regarding the Australian and non-Australian income and other tax considerations of the acquisition, ownership and disposition of the ADSs or shares. This summary is based upon the premise that the holder of an ADS is not an Australian tax resident for Australian income tax purposes and is not carrying on business in Australia through a permanent establishment (referred to as a “Non-Australian Holder” in this summary). This summary is also based on the assumption that a Non-Australian Holder is “absolutely entitled” to the ordinary shares represented by an ADS (see “—Nature of ADSs for Australian Taxation Purposes”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ADSs for Australian Taxation Purposes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Non-Australian Holders of ADSs should obtain specialist Australian tax advice regarding their rights and obligations under the deposit agreement with the depositary, including whether the deposit arrangement constitutes a “bare trust” which results in the holders of an ADS being “absolutely entitled” to the underlying shares represented by the ADS for Australian taxation purposes. Apart from certain aspects of the Australian tax legislation (for example, the Australian capital gains tax and withholding tax provisions, which are discussed below), there is no express legislative basis for disregarding “bare trusts” for Australian tax purposes generally.</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This summary proceeds on the assumption that the deposit arrangement results in holders of ADSs being “absolutely entitled” to the underlying shares. On this basis, holders of ADSs can be treated as the owners of the underlying ordinary shares for Australian capital gains tax purposes. Dividends paid on the underlying ordinary shares will also be treated as dividends derived by the holders of ADSs as the persons presently entitled to those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Australia operates a dividend imputation system under which dividends may be declared to be “franked” to the extent they are paid out of company profits that have been subject to income tax. Fully franked dividends are not subject to dividend withholding tax. To the extent that they are unfranked, dividends payable to Non-Australian Holders will be subject to dividend withholding tax except to the extent they are declared to be “conduit foreign income”, or CFI. Dividend withholding tax will be imposed at 30%, unless a shareholder is a resident of a country with which Australia has a double taxation treaty and qualifies for the benefits of the treaty. Under the provisions of the current Double Taxation Convention between Australia and the United States, the Australian tax withheld on unfranked dividends that are not declared to be CFI paid by us to which a resident of the United States is beneficially entitled is limited to 15%.</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Under the Double Taxation Convention between Australia and the United States, if a U.S. resident company that is a Non-Australian Holder directly owns 10% or more of the voting interests in us, the Australian tax withheld on unfranked dividends that are not declared to be CFI paid by us to which the company is beneficially entitled is limited to 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Character of ADSs or Shares for Australian Taxation Purposes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Australian tax treatment of a sale or disposal of the ADSs or underlying shares will depend on whether they are held on revenue or capital account. ADSs may be held on revenue rather than capital account, for example, where they are held by share traders or any profit arises from a profit-making undertaking or scheme entered into by the holder. Non-Australian Holders of ADSs should obtain specialist Australian tax advice regarding the characterization of any gain or loss on a sale or disposal of the ADSs or underlying shares as revenue or capital in nature.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on Sales or other Dispositions of Shares or ADSs—Capital Gains Tax</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Non-Australian Holders who are treated as the owners of the underlying shares on the basis that they are absolutely entitled to those shares will not be subject to Australian capital gains tax on the gain made on a sale or other disposal of ordinary shares, provided the shares are not “taxable Australian property.” Taxable Australian property includes “indirect Australian real property interests,” which are interests in a company where:</w:t>
      </w:r>
    </w:p>
    <w:p>
      <w:pPr>
        <w:spacing w:after="0" w:line="176" w:lineRule="exact"/>
        <w:rPr>
          <w:sz w:val="20"/>
          <w:szCs w:val="20"/>
          <w:color w:val="auto"/>
        </w:rPr>
      </w:pPr>
    </w:p>
    <w:p>
      <w:pPr>
        <w:ind w:left="760" w:right="20" w:hanging="378"/>
        <w:spacing w:after="0" w:line="282" w:lineRule="auto"/>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Non-Australian Holders, together with associates, hold 10% or more of our issued shares, at the time of disposal or for a 12-month period during the two years prior to disposal; and</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our assets held directly or indirectly, determined by reference to market value, consists of Australian real property (which includes Australian land and leasehold interests) or Australian mining, quarrying or prospecting rights at the time of disposal (referred to as the Principal Asset Test).</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Australian capital gains tax applies to net capital gains at a taxpayer’s marginal tax rates. Net capital gains are calculated after reduction for capital losses, which may only be offset against capital gains.</w:t>
      </w:r>
    </w:p>
    <w:p>
      <w:pPr>
        <w:spacing w:after="0" w:line="162"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If a Non-Australian Holder of ADSs was not absolutely entitled to the underlying shares, and the ADSs were held on capital account, the same principles would apply in determining whether a gain on the sale or disposal of the ADSs would be subject to Australian capital gains tax. That is, a Non-Australian Holder should not be subject to Australian capital gains tax provided the ADSs are not taxable Australian property.</w:t>
      </w:r>
    </w:p>
    <w:p>
      <w:pPr>
        <w:spacing w:after="0" w:line="176"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50% capital gains tax discount is not available to Non-Australian Holders on gains from assets acquired after May 8, 2012 where they were non-Australian residents during the entire holding period. Companies are not entitled to a capital gains tax discount.</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the 2024-2025 Federal Budget, the Federal Government of Australia announced that it will be strengthening the foreign resident capital gains tax rules in respect of disposal of assets occurring on or after July 1, 2025. There is limited detail on the proposed changes and they will be subject to consultation. Non-Australian Holders should monitor any developments in relation to these proposed changes and obtain specialist Australian tax advice regarding the Australian tax implications made on a sale or other disposal of the ADSs or underlying shares if and when the changes to the foreign resident capital gains tax rules become effective.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on Sales or other Dispositions of ADSs—Revenue Account</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Non-Australian Holders who hold their ADSs on revenue account may have the gains made on the sale or other disposal of the ADSs included in their assessable income under the ordinary income provisions of the income tax law, if the gains are sourced in Australia. In the case of gains which are ordinary income, there are no express provisions which treat holders of ADSs as the owners of the underlying shares where they are absolutely entitled to those shares under a bare trust.</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Non-Australian Holders assessable under these ordinary income provisions in respect of gains made on ADSs held on revenue account would be assessed for such gains at the Australian tax rates for non-Australian residents, which currently start at a marginal rate of 32.5% for individuals and would be required to file an Australian tax return. Some relief from Australian income tax may be available to a Non-Australian Holder who is resident of a country with which Australia has a double taxation treaty, qualifies for the benefits of the treaty and does not, for example, derive the gain in carrying on business through a permanent establishment in Australia.</w:t>
      </w:r>
    </w:p>
    <w:p>
      <w:pPr>
        <w:spacing w:after="0" w:line="183"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To the extent an amount would be included in a Non-Australian Holder’s assessable income under both the capital gains tax provisions and the ordinary income provisions, the capital gain amount may be reduced, so that the holder may not be subject to double Australian tax on any part of the gain.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Dual Residency</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a holder of ADSs is a resident of both Australia and the United States under those countries’ domestic taxation laws, that holder may be subject to tax as an Australian resident. If, however, the holder is determined to be a U.S. resident for the purposes of the Double Taxation Convention between the United States and Australia and qualifies for the benefit of that treaty, the Australian tax may be subject to limitation by the Double Taxation Convention. Holders should obtain specialist taxation advice in these circumstances.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w:t>
      </w:r>
    </w:p>
    <w:p>
      <w:pPr>
        <w:spacing w:after="0" w:line="22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No Australian stamp duty is payable by Australian residents or non-Australian residents on the issue, transfer and/or surrender of the ADSs or ordinary shares, provided that the securities issued, transferred and/or surrendered do not represent 90% or more of our issued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Australian Death Duty</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Australia does not have estate or death duties. As a general rule, no capital gains tax liability is realized upon the inheritance of a deceased person’s shares. The disposal of inherited shares by beneficiaries may, however, give rise to a capital gains tax liability if the gain falls within the scope of Australia’s jurisdiction to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Tax</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 Australian goods and services tax will be payable on the supply of the ADSs or ordinary shares.</w:t>
      </w:r>
    </w:p>
    <w:p>
      <w:pPr>
        <w:spacing w:after="0" w:line="221"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b w:val="1"/>
          <w:bCs w:val="1"/>
          <w:color w:val="auto"/>
        </w:rPr>
        <w:t>THE DISCUSSION ABOVE IS A SUMMARY OF THE AUSTRALIAN TAX CONSEQUENCES OF AN INVESTMENT IN OUR ORDINARY SHARES OR ADSs AND IS BASED UPON LAWS AND RELEVANT INTERPRETATIONS THEREOF IN EFFECT AS OF THE DATE OF THIS ANNUAL REPORT, ALL OF WHICH ARE SUBJECT TO CHANGE, POSSIBLY WITH RETROACTIVE EFFECT. EACH PROSPECTIVE INVESTOR IS URGED TO CONSULT ITS OWN TAX ADVISOR ABOUT THE TAX CONSEQUENCES TO IT OF AN INVESTMENT IN OUR ORDINARY SHARES OR ADSs IN LIGHT OF THE INVESTOR’S OWN CIRCUMSTANCES.</w:t>
      </w:r>
    </w:p>
    <w:p>
      <w:pPr>
        <w:spacing w:after="0" w:line="17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10F.</w:t>
      </w:r>
      <w:r>
        <w:rPr>
          <w:sz w:val="20"/>
          <w:szCs w:val="20"/>
          <w:color w:val="auto"/>
        </w:rPr>
        <w:tab/>
      </w:r>
      <w:r>
        <w:rPr>
          <w:rFonts w:ascii="Times New Roman" w:cs="Times New Roman" w:eastAsia="Times New Roman" w:hAnsi="Times New Roman"/>
          <w:sz w:val="18"/>
          <w:szCs w:val="18"/>
          <w:b w:val="1"/>
          <w:bCs w:val="1"/>
          <w:color w:val="auto"/>
        </w:rPr>
        <w:t>Dividends and Paying Agents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10G.</w:t>
      </w:r>
      <w:r>
        <w:rPr>
          <w:sz w:val="20"/>
          <w:szCs w:val="20"/>
          <w:color w:val="auto"/>
        </w:rPr>
        <w:tab/>
      </w:r>
      <w:r>
        <w:rPr>
          <w:rFonts w:ascii="Times New Roman" w:cs="Times New Roman" w:eastAsia="Times New Roman" w:hAnsi="Times New Roman"/>
          <w:sz w:val="18"/>
          <w:szCs w:val="18"/>
          <w:b w:val="1"/>
          <w:bCs w:val="1"/>
          <w:color w:val="auto"/>
        </w:rPr>
        <w:t>Statement by Experts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10H.</w:t>
      </w:r>
      <w:r>
        <w:rPr>
          <w:sz w:val="20"/>
          <w:szCs w:val="20"/>
          <w:color w:val="auto"/>
        </w:rPr>
        <w:tab/>
      </w: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applicable to foreign private issuers and under those requirements will file reports with the SEC. Those reports may be inspected without charge at the locations described below. As a foreign private issuer, we are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United States companies whose securities are registered under the Exchange Act. Nevertheless, we will file with the SEC an Annual Report on Form 20-F containing financial statements that have been examined and reported on, with and opinion expressed by an independent registered public accounting firm.</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SEC maintains a website (www.sec.gov) that contains reports, proxy and information statements and other information regarding registrants, such as us, that file electronically with the SEC. With respect to references made in this annual report to any contract or other document of our company, such references are not necessarily complete and you should refer to the exhibits attached or incorporated by reference to this annual report for copies of the actual contract or document.</w:t>
      </w:r>
    </w:p>
    <w:p>
      <w:pPr>
        <w:spacing w:after="0" w:line="180"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We maintain a corporate website at www.opthea.com. Information contained on, or that can be accessed through, our website does not constitute a part of this annual report and our website address is included herein as an inactive textual reference only.</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10I.</w:t>
      </w:r>
      <w:r>
        <w:rPr>
          <w:sz w:val="20"/>
          <w:szCs w:val="20"/>
          <w:color w:val="auto"/>
        </w:rPr>
        <w:tab/>
      </w:r>
      <w:r>
        <w:rPr>
          <w:rFonts w:ascii="Times New Roman" w:cs="Times New Roman" w:eastAsia="Times New Roman" w:hAnsi="Times New Roman"/>
          <w:sz w:val="18"/>
          <w:szCs w:val="18"/>
          <w:b w:val="1"/>
          <w:bCs w:val="1"/>
          <w:color w:val="auto"/>
        </w:rPr>
        <w:t>Subsidiary Information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required.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9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10J.</w:t>
      </w:r>
      <w:r>
        <w:rPr>
          <w:sz w:val="20"/>
          <w:szCs w:val="20"/>
          <w:color w:val="auto"/>
        </w:rPr>
        <w:tab/>
      </w:r>
      <w:r>
        <w:rPr>
          <w:rFonts w:ascii="Times New Roman" w:cs="Times New Roman" w:eastAsia="Times New Roman" w:hAnsi="Times New Roman"/>
          <w:sz w:val="18"/>
          <w:szCs w:val="18"/>
          <w:b w:val="1"/>
          <w:bCs w:val="1"/>
          <w:color w:val="auto"/>
        </w:rPr>
        <w:t>Annual Report to Security Holders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Pursuant to Item 10J of Form 20-F, exhibit 15.2 to this annual report on Form 20-F includes our annual report to security holders. None of such annual report is incorporated by reference into this annual report on Form 20-F. Such annual report is not deemed to be filed as part of this annual report on Form 20-F.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information about our exposure to market risk and how we manage this risk, see “Item 5E—Critical Accounting Estimates— Qualitative and Quantitative Disclosures about Market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12A.</w:t>
      </w:r>
      <w:r>
        <w:rPr>
          <w:sz w:val="20"/>
          <w:szCs w:val="20"/>
          <w:color w:val="auto"/>
        </w:rPr>
        <w:tab/>
      </w: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12B.</w:t>
      </w:r>
      <w:r>
        <w:rPr>
          <w:sz w:val="20"/>
          <w:szCs w:val="20"/>
          <w:color w:val="auto"/>
        </w:rPr>
        <w:tab/>
      </w:r>
      <w:r>
        <w:rPr>
          <w:rFonts w:ascii="Times New Roman" w:cs="Times New Roman" w:eastAsia="Times New Roman" w:hAnsi="Times New Roman"/>
          <w:sz w:val="18"/>
          <w:szCs w:val="18"/>
          <w:b w:val="1"/>
          <w:bCs w:val="1"/>
          <w:color w:val="auto"/>
        </w:rPr>
        <w:t>Warrants and Rights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12C.</w:t>
      </w:r>
      <w:r>
        <w:rPr>
          <w:sz w:val="20"/>
          <w:szCs w:val="20"/>
          <w:color w:val="auto"/>
        </w:rPr>
        <w:tab/>
      </w:r>
      <w:r>
        <w:rPr>
          <w:rFonts w:ascii="Times New Roman" w:cs="Times New Roman" w:eastAsia="Times New Roman" w:hAnsi="Times New Roman"/>
          <w:sz w:val="18"/>
          <w:szCs w:val="18"/>
          <w:b w:val="1"/>
          <w:bCs w:val="1"/>
          <w:color w:val="auto"/>
        </w:rPr>
        <w:t>Other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12D.</w:t>
      </w:r>
      <w:r>
        <w:rPr>
          <w:sz w:val="20"/>
          <w:szCs w:val="20"/>
          <w:color w:val="auto"/>
        </w:rPr>
        <w:tab/>
      </w:r>
      <w:r>
        <w:rPr>
          <w:rFonts w:ascii="Times New Roman" w:cs="Times New Roman" w:eastAsia="Times New Roman" w:hAnsi="Times New Roman"/>
          <w:sz w:val="18"/>
          <w:szCs w:val="18"/>
          <w:b w:val="1"/>
          <w:bCs w:val="1"/>
          <w:color w:val="auto"/>
        </w:rPr>
        <w:t>American Depositary Shares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Bank of New York Mellon, as depositary, registers and delivers American Depositary Shares, or ADSs. Each ADS represents eight ordinary shares (or a right to receive eight ordinary shares) deposited with HSBC Bank Australia Limited, as custodian for the depositary in Australia. Each Ads also represents any other securities, cash or other property that may be held by the depositary. The deposited shares together with any other securities, cash or other property held by the depositary are referred to as the deposited securities. The depositary’s office at which the ADSs are administered, and its principal executive office are located at 240 Greenwich Street, New York, New York 10286.</w:t>
      </w:r>
    </w:p>
    <w:p>
      <w:pPr>
        <w:spacing w:after="0" w:line="18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You may hold ADSs either (A) directly (i) by having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Registered holders of uncertificated ADSs receive statements from the depositary confirming their holdings.</w:t>
      </w:r>
    </w:p>
    <w:p>
      <w:pPr>
        <w:spacing w:after="0" w:line="22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an ADS holder, you are not treated as one of our shareholders and you do not have shareholder rights. Australian law governs shareholder rights. The depositary is the holder of the shares underlying your ADSs. As a registered holder of ADSs, you have ADS holder rights. The amended and restated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shows the fees and charges that a holder of our ADSs may have to pay, either directly or indirectly. The majority of these costs are set by the depositary bank and are subject to change: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Persons depositing or withdrawing shares or ADS holders must pay:</w:t>
            </w:r>
          </w:p>
        </w:tc>
        <w:tc>
          <w:tcPr>
            <w:tcW w:w="120" w:type="dxa"/>
            <w:vAlign w:val="bottom"/>
          </w:tcPr>
          <w:p>
            <w:pPr>
              <w:spacing w:after="0"/>
              <w:rPr>
                <w:sz w:val="16"/>
                <w:szCs w:val="16"/>
                <w:color w:val="auto"/>
              </w:rPr>
            </w:pPr>
          </w:p>
        </w:tc>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205"/>
        </w:trPr>
        <w:tc>
          <w:tcPr>
            <w:tcW w:w="72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US$5.00 (or less) per 100 ADSs (or portion of 100 ADSs)</w:t>
            </w:r>
          </w:p>
        </w:tc>
        <w:tc>
          <w:tcPr>
            <w:tcW w:w="120" w:type="dxa"/>
            <w:vAlign w:val="bottom"/>
            <w:shd w:val="clear" w:color="auto" w:fill="CCEEFF"/>
          </w:tcPr>
          <w:p>
            <w:pPr>
              <w:spacing w:after="0"/>
              <w:rPr>
                <w:sz w:val="17"/>
                <w:szCs w:val="17"/>
                <w:color w:val="auto"/>
              </w:rPr>
            </w:pPr>
          </w:p>
        </w:tc>
        <w:tc>
          <w:tcPr>
            <w:tcW w:w="39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Issuance of ADSs, including issuances resulting from</w:t>
            </w:r>
          </w:p>
        </w:tc>
      </w:tr>
      <w:tr>
        <w:trPr>
          <w:trHeight w:val="234"/>
        </w:trPr>
        <w:tc>
          <w:tcPr>
            <w:tcW w:w="7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distribution of shares or rights or other property</w:t>
            </w:r>
          </w:p>
        </w:tc>
      </w:tr>
      <w:tr>
        <w:trPr>
          <w:trHeight w:val="414"/>
        </w:trPr>
        <w:tc>
          <w:tcPr>
            <w:tcW w:w="7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Cancellation of ADSs for the purpose of withdrawal,</w:t>
            </w:r>
          </w:p>
        </w:tc>
      </w:tr>
      <w:tr>
        <w:trPr>
          <w:trHeight w:val="248"/>
        </w:trPr>
        <w:tc>
          <w:tcPr>
            <w:tcW w:w="7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including if the deposit agreement terminates</w:t>
            </w:r>
          </w:p>
        </w:tc>
      </w:tr>
      <w:tr>
        <w:trPr>
          <w:trHeight w:val="23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US$0.05 (or less) per ADS</w:t>
            </w:r>
          </w:p>
        </w:tc>
        <w:tc>
          <w:tcPr>
            <w:tcW w:w="120" w:type="dxa"/>
            <w:vAlign w:val="bottom"/>
          </w:tcPr>
          <w:p>
            <w:pPr>
              <w:spacing w:after="0"/>
              <w:rPr>
                <w:sz w:val="20"/>
                <w:szCs w:val="20"/>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Any cash distribution to ADS holders</w:t>
            </w:r>
          </w:p>
        </w:tc>
      </w:tr>
      <w:tr>
        <w:trPr>
          <w:trHeight w:val="21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fee equivalent to the fee that would be payable if securities distributed to you had been shares</w:t>
            </w:r>
          </w:p>
        </w:tc>
        <w:tc>
          <w:tcPr>
            <w:tcW w:w="120" w:type="dxa"/>
            <w:vAlign w:val="bottom"/>
            <w:shd w:val="clear" w:color="auto" w:fill="CCEEFF"/>
          </w:tcPr>
          <w:p>
            <w:pPr>
              <w:spacing w:after="0"/>
              <w:rPr>
                <w:sz w:val="18"/>
                <w:szCs w:val="18"/>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of securities distributed to holders of</w:t>
            </w:r>
          </w:p>
        </w:tc>
      </w:tr>
      <w:tr>
        <w:trPr>
          <w:trHeight w:val="21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the shares had been deposited for issuance of ADSs</w:t>
            </w:r>
          </w:p>
        </w:tc>
        <w:tc>
          <w:tcPr>
            <w:tcW w:w="120" w:type="dxa"/>
            <w:vAlign w:val="bottom"/>
            <w:shd w:val="clear" w:color="auto" w:fill="CCEEFF"/>
          </w:tcPr>
          <w:p>
            <w:pPr>
              <w:spacing w:after="0"/>
              <w:rPr>
                <w:sz w:val="18"/>
                <w:szCs w:val="18"/>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deposited securities (including rights) that are</w:t>
            </w:r>
          </w:p>
        </w:tc>
      </w:tr>
      <w:tr>
        <w:trPr>
          <w:trHeight w:val="248"/>
        </w:trPr>
        <w:tc>
          <w:tcPr>
            <w:tcW w:w="7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distributed by the depositary to ADS holders</w:t>
            </w:r>
          </w:p>
        </w:tc>
      </w:tr>
      <w:tr>
        <w:trPr>
          <w:trHeight w:val="23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US$0.05 (or less) per ADS per calendar year</w:t>
            </w:r>
          </w:p>
        </w:tc>
        <w:tc>
          <w:tcPr>
            <w:tcW w:w="120" w:type="dxa"/>
            <w:vAlign w:val="bottom"/>
          </w:tcPr>
          <w:p>
            <w:pPr>
              <w:spacing w:after="0"/>
              <w:rPr>
                <w:sz w:val="20"/>
                <w:szCs w:val="20"/>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Depositary services</w:t>
            </w:r>
          </w:p>
        </w:tc>
      </w:tr>
      <w:tr>
        <w:trPr>
          <w:trHeight w:val="21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Registration or transfer fees</w:t>
            </w:r>
          </w:p>
        </w:tc>
        <w:tc>
          <w:tcPr>
            <w:tcW w:w="120" w:type="dxa"/>
            <w:vAlign w:val="bottom"/>
            <w:shd w:val="clear" w:color="auto" w:fill="CCEEFF"/>
          </w:tcPr>
          <w:p>
            <w:pPr>
              <w:spacing w:after="0"/>
              <w:rPr>
                <w:sz w:val="18"/>
                <w:szCs w:val="18"/>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and registration of shares on our share</w:t>
            </w:r>
          </w:p>
        </w:tc>
      </w:tr>
      <w:tr>
        <w:trPr>
          <w:trHeight w:val="216"/>
        </w:trPr>
        <w:tc>
          <w:tcPr>
            <w:tcW w:w="7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 to or from the name of the depositary or its</w:t>
            </w:r>
          </w:p>
        </w:tc>
      </w:tr>
      <w:tr>
        <w:trPr>
          <w:trHeight w:val="248"/>
        </w:trPr>
        <w:tc>
          <w:tcPr>
            <w:tcW w:w="7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when you deposit or withdraw shares</w:t>
            </w:r>
          </w:p>
        </w:tc>
      </w:tr>
      <w:tr>
        <w:trPr>
          <w:trHeight w:val="211"/>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 of the depositary</w:t>
            </w:r>
          </w:p>
        </w:tc>
        <w:tc>
          <w:tcPr>
            <w:tcW w:w="12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Cable (including SWIFT) and facsimile transmissions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(when expressly provided in the deposit agreement)</w:t>
            </w: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Converting foreign currency to U.S. dollars</w:t>
            </w:r>
          </w:p>
        </w:tc>
      </w:tr>
      <w:tr>
        <w:trPr>
          <w:trHeight w:val="21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and other governmental charges the depositary or the custodian has to pay on any ADSs or</w:t>
            </w:r>
          </w:p>
        </w:tc>
        <w:tc>
          <w:tcPr>
            <w:tcW w:w="120" w:type="dxa"/>
            <w:vAlign w:val="bottom"/>
            <w:shd w:val="clear" w:color="auto" w:fill="CCEEFF"/>
          </w:tcPr>
          <w:p>
            <w:pPr>
              <w:spacing w:after="0"/>
              <w:rPr>
                <w:sz w:val="18"/>
                <w:szCs w:val="18"/>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necessary</w:t>
            </w:r>
          </w:p>
        </w:tc>
      </w:tr>
      <w:tr>
        <w:trPr>
          <w:trHeight w:val="24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underlying ADSs, such as stock transfer taxes, stamp duty or withholding taxes</w:t>
            </w:r>
          </w:p>
        </w:tc>
        <w:tc>
          <w:tcPr>
            <w:tcW w:w="120" w:type="dxa"/>
            <w:vAlign w:val="bottom"/>
            <w:shd w:val="clear" w:color="auto" w:fill="CCEEFF"/>
          </w:tcPr>
          <w:p>
            <w:pPr>
              <w:spacing w:after="0"/>
              <w:rPr>
                <w:sz w:val="21"/>
                <w:szCs w:val="21"/>
                <w:color w:val="auto"/>
              </w:rPr>
            </w:pPr>
          </w:p>
        </w:tc>
        <w:tc>
          <w:tcPr>
            <w:tcW w:w="3920" w:type="dxa"/>
            <w:vAlign w:val="bottom"/>
            <w:shd w:val="clear" w:color="auto" w:fill="CCEEFF"/>
          </w:tcPr>
          <w:p>
            <w:pPr>
              <w:spacing w:after="0"/>
              <w:rPr>
                <w:sz w:val="21"/>
                <w:szCs w:val="21"/>
                <w:color w:val="auto"/>
              </w:rPr>
            </w:pPr>
          </w:p>
        </w:tc>
      </w:tr>
      <w:tr>
        <w:trPr>
          <w:trHeight w:val="23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Any charges incurred by the depositary or its agents for servicing the deposited securities</w:t>
            </w:r>
          </w:p>
        </w:tc>
        <w:tc>
          <w:tcPr>
            <w:tcW w:w="120" w:type="dxa"/>
            <w:vAlign w:val="bottom"/>
          </w:tcPr>
          <w:p>
            <w:pPr>
              <w:spacing w:after="0"/>
              <w:rPr>
                <w:sz w:val="20"/>
                <w:szCs w:val="20"/>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necessary</w:t>
            </w:r>
          </w:p>
        </w:tc>
      </w:tr>
    </w:tbl>
    <w:p>
      <w:pPr>
        <w:spacing w:after="0" w:line="23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United States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ADS holders are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 Your obligation to pay taxes and indemnify us and the depository against any tax claims will survive the transfer or surrender of your ADSs, the withdrawal of the deposited ordinary shares as well as the termination of the deposit agreement.</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Exhibit 2.3 -Description of Securities” for additional information on the ADSs.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Disclosure Controls and Procedures</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 Our management, with the participation of our Principal Executive Officer and Principal Financial Officer, has evaluated the effectiveness of our disclosure controls and procedures (as defined in Exchange Act Rules 13a-15(e) and 15d-15(e)) as of June 30, 2024. Based on such evaluation, our Principal Executive Officer and Principal Financial Officer have concluded that, as of June 30, 2024, our disclosure controls and procedures were not effective because of the material weakness in our internal control over financial reporting as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Management’s Annual Report on Internal Control Over Financial Reporting</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controls over financial reporting (as defined in Rules 13a-15(f) and 15d-15(f) under the Exchange Act) and for the assessment of the effectiveness of our internal control over financial reporting. Under the supervision and with the participation of our Principal Executive Officer and our Principal Financial Officer, management assessed our internal control over financial reporting based upon the framework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 Based on this assessment, our management has concluded that our internal control over financial reporting was not effective as of June 30, 2024 because we did not design and maintain effective controls in relation to accounting for non-routine transactions and its related note disclosures which resulted in our failure to prevent and detect material errors which were corrected in our consolidated financial statements as of and for the year ended June 30, 2024 related to the (1) remeasurement of the financial liabilities in connection with our Funding Agreement and (2) the accounting application and related disclosures of investor options issued during the year.</w:t>
      </w:r>
    </w:p>
    <w:p>
      <w:pPr>
        <w:spacing w:after="0" w:line="18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will continue to take certain measures to remediate the material weakness described above including implementing key mitigating controls to address the risk associated with accurately accounting for and disclosing non-routing transactions, such as the Funding Agreement and investor options. The material weakness will not be considered remediated until management completes the design and implementation of the measures described above and the controls operate for a sufficient period of time and management has concluded, through testing, that these controls are effective. We are working to remediate the material weakness as efficiently and effectively as possible.</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and can only provide reasonable assurance regarding the reliability of financial reporting and the preparation of financial 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0" w:name="page171"/>
    <w:bookmarkEnd w:id="17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Attestation Report of the Registered Public Accounting Firm</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the company’s registered public accounting firm due to a transition period established by the SEC’s rules for emerging growth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Other than as discussed above in Management's Annual Report on Internal Control Over Financial Reporting, there have been no changes to our internal control over financial reporting during the fiscal year ended June 30, 2024,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members of our Audit and Risk Committee are Messrs. Quinton Oswald, Daniel Spiegelman (till his resignation in April 2024), Mr Sujal Shah (appointed April 2024) and Dr Susan Orr Our board of directors has determined that each of Messrs. Oswald, Spiegelman, Shah and Dr Orr satisfies the independence requirements under Nasdaq listing standards and Rule 10A-3(b)(1) of the Exchange Act. The chairperson of our Audit and Risk Committee is Mr Shah as of April 2024 with Mr. Spiegelman until his resignation in April 2024. Our board of directors has determined that Mr. Shah is an “audit committee financial expert” within the meaning of SEC regulations. Each member of our Audit and Risk Committee can read and understand fundamental financial statements in accordance with applicable requirements. In arriving at these determinations, our board of directors has examined each member’s scope of experience and the nature of his or her employment.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have adopted a Code of Conduct applicable to all of our directors, officers and employees. Our Code of Conduct is available on our website at www.opthea.com. We post on our website all disclosures that are required by law or the listing standards of Nasdaq concerning any amendments to, or waivers from, any provision of the Code of Conduct. The reference to our website address does not constitute incorporation by reference of the information contained at or available through our website, and you should not consider it to be a part of,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Paid to Independent Public Accountants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for each of the years indicated, the fees billed by Deloitte Touche Tohmatsu.</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9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9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9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A$</w:t>
            </w:r>
          </w:p>
        </w:tc>
        <w:tc>
          <w:tcPr>
            <w:tcW w:w="1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A$563</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A$357</w:t>
            </w:r>
          </w:p>
        </w:tc>
        <w:tc>
          <w:tcPr>
            <w:tcW w:w="10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A$295</w:t>
            </w: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Fees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A$563</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A$357</w:t>
            </w:r>
          </w:p>
        </w:tc>
        <w:tc>
          <w:tcPr>
            <w:tcW w:w="10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A$499</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 Fees</w:t>
      </w:r>
      <w:r>
        <w:rPr>
          <w:rFonts w:ascii="Times New Roman" w:cs="Times New Roman" w:eastAsia="Times New Roman" w:hAnsi="Times New Roman"/>
          <w:sz w:val="18"/>
          <w:szCs w:val="18"/>
          <w:color w:val="auto"/>
        </w:rPr>
        <w:t>” are the aggregate fees billed for the audit of our annual financial statements. This category also includes services that Deloitte Touche Tohmatsu provides, such as consents and assistance with and review of documents filed with the SEC.</w:t>
      </w:r>
    </w:p>
    <w:p>
      <w:pPr>
        <w:spacing w:after="0" w:line="162"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Audit-Related Fees</w:t>
      </w:r>
      <w:r>
        <w:rPr>
          <w:rFonts w:ascii="Times New Roman" w:cs="Times New Roman" w:eastAsia="Times New Roman" w:hAnsi="Times New Roman"/>
          <w:sz w:val="18"/>
          <w:szCs w:val="18"/>
          <w:color w:val="auto"/>
        </w:rPr>
        <w:t>” are the aggregate fees billed for assurance and related services that are reasonably related to the performance of the audit, including fees related to our public offering, and are not reported under Audit Fees.</w:t>
      </w:r>
    </w:p>
    <w:p>
      <w:pPr>
        <w:spacing w:after="0" w:line="162"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Fees</w:t>
      </w:r>
      <w:r>
        <w:rPr>
          <w:rFonts w:ascii="Times New Roman" w:cs="Times New Roman" w:eastAsia="Times New Roman" w:hAnsi="Times New Roman"/>
          <w:sz w:val="18"/>
          <w:szCs w:val="18"/>
          <w:color w:val="auto"/>
        </w:rPr>
        <w:t>” are the aggregate fees billed for professional services rendered by Deloitte Touche Tohmatsu for tax compliance, tax advice and tax planning related services.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Fees</w:t>
      </w:r>
      <w:r>
        <w:rPr>
          <w:rFonts w:ascii="Times New Roman" w:cs="Times New Roman" w:eastAsia="Times New Roman" w:hAnsi="Times New Roman"/>
          <w:sz w:val="18"/>
          <w:szCs w:val="18"/>
          <w:color w:val="auto"/>
        </w:rPr>
        <w:t>” are any additional amounts billed for products and services provided by Deloitte Touche Tohmatsu.</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“Audit-Related Fees,” or “Tax Fees” billed or paid during the fiscal years ended June 30, 2024, 2023 or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of Audit and Non-Audit Services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Audit and Risk Management Committee’s pre-approval is required for all services provided by Deloitte Touche Tohmatsu. These services may include audit services, audit-related services, tax services and permissible non-audit services, and are subject to a specific budget. The Audit and Risk Management Committee uses a combination of two approaches – general pre-approval and specific pre-approval – in considering whether particular services or categories of services are consistent with the SEC’s rules on auditor independence. Under general pre-approval proposed services may be pre-approved without consideration of specific case-by-case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Under Nasdaq Stock Market Rule 5615(a)(3), foreign private issuers, such as our company, are permitted to follow certain home country corporate governance practices instead of certain provisions of the Nasdaq Stock Market Rules. In order to rely on this exception, we are required to disclose each Nasdaq Stock Market Rule that we do not follow and describe the home country practice we do follow in lieu thereof. In accordance with this exception, we intend to follow Australian corporate governance practices in lieu of the following Nasdaq corporate governance standards:</w:t>
      </w:r>
    </w:p>
    <w:p>
      <w:pPr>
        <w:spacing w:after="0" w:line="180" w:lineRule="exact"/>
        <w:rPr>
          <w:sz w:val="20"/>
          <w:szCs w:val="20"/>
          <w:color w:val="auto"/>
        </w:rPr>
      </w:pPr>
    </w:p>
    <w:p>
      <w:pPr>
        <w:jc w:val="both"/>
        <w:ind w:left="760" w:hanging="378"/>
        <w:spacing w:after="0" w:line="258" w:lineRule="auto"/>
        <w:tabs>
          <w:tab w:leader="none" w:pos="7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follow Australian law and corporate governance practices in lieu of the requirement under the Nasdaq Stock Market Rules that a quorum for a meeting of shareholders may not be less than 33 1/3% of the outstanding shares of an issuer’s voting ordinary shares. In compliance with Australian law, our Constitution provides that a quorum is three or more shareholders present at the meeting of shareholders and entitled to vote on a resolution at the meeting and, accordingly, we claim the exemption for foreign private issuers with respect to the Nasdaq quorum requirement.</w:t>
      </w:r>
    </w:p>
    <w:p>
      <w:pPr>
        <w:spacing w:after="0" w:line="183" w:lineRule="exact"/>
        <w:rPr>
          <w:rFonts w:ascii="Times New Roman" w:cs="Times New Roman" w:eastAsia="Times New Roman" w:hAnsi="Times New Roman"/>
          <w:sz w:val="18"/>
          <w:szCs w:val="18"/>
          <w:color w:val="auto"/>
        </w:rPr>
      </w:pPr>
    </w:p>
    <w:p>
      <w:pPr>
        <w:jc w:val="both"/>
        <w:ind w:left="760" w:hanging="378"/>
        <w:spacing w:after="0" w:line="254" w:lineRule="auto"/>
        <w:tabs>
          <w:tab w:leader="none" w:pos="7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follow Australian law and corporate governance practices in lieu of the requirements under the Nasdaq Stock Market Rules that issuers obtain shareholder approval prior to the issuance of securities in connection with a change of control, certain acquisitions, private placements of securities, or the establishment or amendment of certain stock option, purchase or other equity compensation plans or arrangements. Applicable Australian law prohibits the acquisition of a relevant interest in voting shares of a public company such us, if, because of that transaction, a person’s voting power in the company increases from under 20% to over 20% or increases from a starting point that is above 20% and below 90%. This prohibition is subject to a number of exceptions including where the acquisition is approved by a resolution of shareholders of the company in which the acquisition is made. Due to differences between Australian law and corporate governance practices and the Nasdaq Stock Market Rules, we claim the exemption for foreign private issuers with respect to the Nasdaq shareholder approval requirements.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an insider trading policy, which outlines when directors, senior management and other employees may deal in our securities and procedures to reduce the risk of insider trading .A copy of the insider trading policy is attached as Exhibit 11.1 to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jc w:val="both"/>
        <w:ind w:left="760" w:hanging="378"/>
        <w:spacing w:after="0" w:line="261"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and our critical data, including intellectual property, confidential information that is proprietary, strategic or competitive in nature such as data about our research and clinical trials (“Information Systems and Data”).</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information security function helps identify, assess and manage the Company’s cybersecurity threats and risks. We identify and assess risks from cybersecurity threats by monitoring and evaluating our threat environment using various methods including: manual and automated tools; subscribing to and analyzing reports and services that identify cybersecurity threats; and evaluating threats reported to us; conducting vulnerability assessments.</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on the environment, systems, and data, we implement and maintain various technical, physical, and organizational measures, processes, standards and policies designed to manage and mitigate material risks from cybersecurity threats to our Information Systems and Data, including, for example: an incident response process; disaster recovery/business continuity plans; encrypting certain data; using network security controls; maintaining access controls; managing assets; and maintaining cybersecurity insurance.</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assessment and management of material risks from cybersecurity threats are integrated into the Company’s overall risk management processes. For example, (1) cybersecurity risk is addressed as a component of the Company’s enterprise risk management program; (2) we prioritize our risk management processes to include mitigation of risks from cybersecurity threats that are more likely to lead to a material impact to our business; (3) management evaluates material risks from cybersecurity threats against our overall business objectives and reports to the board of directors, which evaluates our overall enterprise risk.</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third-party service providers to perform a variety of functions throughout our business, such as distributors and supply chain resources and contract research organizations (“CRO”) and contract manufacturing organizations (“CMO”). We have certain vendor management processes to manage cybersecurity risks associated with our use of certain providers, depending on the nature of the services provided, the sensitivity of the Information Systems and Data at issue, and the identity of the provider. These processes may include information security questionnaires, audits, and imposition of contractual obligations relating to cybersecurity.</w:t>
      </w:r>
    </w:p>
    <w:p>
      <w:pPr>
        <w:spacing w:after="0" w:line="18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description of the risks from cybersecurity threats that may materially affect the Company and how they may do so, see our risk factors in this Annual Report on Form 20-F, including “</w:t>
      </w:r>
      <w:r>
        <w:rPr>
          <w:rFonts w:ascii="Times New Roman" w:cs="Times New Roman" w:eastAsia="Times New Roman" w:hAnsi="Times New Roman"/>
          <w:sz w:val="18"/>
          <w:szCs w:val="18"/>
          <w:i w:val="1"/>
          <w:iCs w:val="1"/>
          <w:color w:val="auto"/>
        </w:rPr>
        <w:t>If our information technology systems or data, or those of the third-parties with whom we work,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were compromised,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92" w:lineRule="exact"/>
        <w:rPr>
          <w:sz w:val="20"/>
          <w:szCs w:val="20"/>
          <w:color w:val="auto"/>
        </w:rPr>
      </w:pPr>
    </w:p>
    <w:p>
      <w:pPr>
        <w:jc w:val="both"/>
        <w:ind w:left="760"/>
        <w:spacing w:after="0" w:line="267" w:lineRule="auto"/>
        <w:rPr>
          <w:sz w:val="20"/>
          <w:szCs w:val="20"/>
          <w:color w:val="auto"/>
        </w:rPr>
      </w:pPr>
      <w:r>
        <w:rPr>
          <w:rFonts w:ascii="Times New Roman" w:cs="Times New Roman" w:eastAsia="Times New Roman" w:hAnsi="Times New Roman"/>
          <w:sz w:val="18"/>
          <w:szCs w:val="18"/>
          <w:i w:val="1"/>
          <w:iCs w:val="1"/>
          <w:color w:val="auto"/>
        </w:rPr>
        <w:t>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 .</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ind w:left="760" w:hanging="378"/>
        <w:spacing w:after="0" w:line="266" w:lineRule="auto"/>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addresses the Company’s cybersecurity risk management as part of its general oversight function. The board of directors is responsible for overseeing Company’s cybersecurity risk management processes, including oversight of mitigation of risks from cybersecurity threats.</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and service provider, including Exigence, our external IT service provider. Management is responsible for budgeting, hiring appropriate cybersecurity personnel, and helping to integrate cybersecurity risk considerations into the Company’s overall risk management strategy.</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cybersecurity incident response process is designed to escalate certain cybersecurity incidents to members of management depending on the circumstances, including Chief Executive and Chief Financial Officer who help the Company mitigate and remediate cybersecurity incidents of which they are notified. In addition, the Company’s incident response process includes reporting to the board of directors for certain cybersecurity incidents.</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receives periodic reports from company management, including Exigence and our external IT service provider and Chief Financial Officer concerning the Company’s significant cybersecurity threats and risk and the processes the Company has implemented to address them. The board also has access to various reports, summaries or presentations related to cybersecurity threats, risk and mitigation.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“Item 18—Financial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consolidated financial statements and the related notes required by this Item are included in this annual report beginning on page F-1.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r>
        <w:trPr>
          <w:trHeight w:val="207"/>
        </w:trPr>
        <w:tc>
          <w:tcPr>
            <w:tcW w:w="10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45"/>
        </w:trPr>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1"/>
                <w:szCs w:val="21"/>
                <w:color w:val="auto"/>
              </w:rPr>
            </w:pPr>
          </w:p>
        </w:tc>
        <w:tc>
          <w:tcPr>
            <w:tcW w:w="4600" w:type="dxa"/>
            <w:vAlign w:val="bottom"/>
            <w:tcBorders>
              <w:bottom w:val="single" w:sz="8" w:color="auto"/>
            </w:tcBorders>
            <w:gridSpan w:val="26"/>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1"/>
                <w:szCs w:val="21"/>
                <w:color w:val="auto"/>
              </w:rPr>
            </w:pPr>
          </w:p>
        </w:tc>
        <w:tc>
          <w:tcPr>
            <w:tcW w:w="1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20" w:type="dxa"/>
            <w:vAlign w:val="bottom"/>
          </w:tcPr>
          <w:p>
            <w:pPr>
              <w:spacing w:after="0"/>
              <w:rPr>
                <w:sz w:val="21"/>
                <w:szCs w:val="21"/>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33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4"/>
                <w:szCs w:val="24"/>
                <w:color w:val="auto"/>
              </w:rPr>
            </w:pPr>
          </w:p>
        </w:tc>
        <w:tc>
          <w:tcPr>
            <w:tcW w:w="33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Certificate of Registration of Opthea Limited.</w:t>
              </w:r>
            </w:hyperlink>
          </w:p>
        </w:tc>
        <w:tc>
          <w:tcPr>
            <w:tcW w:w="1420" w:type="dxa"/>
            <w:vAlign w:val="bottom"/>
            <w:gridSpan w:val="16"/>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333-249020</w:t>
            </w:r>
          </w:p>
        </w:tc>
        <w:tc>
          <w:tcPr>
            <w:tcW w:w="10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9/24/20</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4"/>
                <w:szCs w:val="24"/>
                <w:color w:val="auto"/>
              </w:rPr>
            </w:pPr>
          </w:p>
        </w:tc>
        <w:tc>
          <w:tcPr>
            <w:tcW w:w="4720" w:type="dxa"/>
            <w:vAlign w:val="bottom"/>
            <w:gridSpan w:val="27"/>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Constitution of Opthea Limited.</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333-249020</w:t>
            </w:r>
          </w:p>
        </w:tc>
        <w:tc>
          <w:tcPr>
            <w:tcW w:w="10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9/24/20</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4"/>
                <w:szCs w:val="24"/>
                <w:color w:val="auto"/>
              </w:rPr>
            </w:pPr>
          </w:p>
        </w:tc>
        <w:tc>
          <w:tcPr>
            <w:tcW w:w="4720" w:type="dxa"/>
            <w:vAlign w:val="bottom"/>
            <w:gridSpan w:val="27"/>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Form of Amended and Restated Deposit Agreement.</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F-1/A</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333-249020</w:t>
            </w:r>
          </w:p>
        </w:tc>
        <w:tc>
          <w:tcPr>
            <w:tcW w:w="10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10/9/20</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4"/>
                <w:szCs w:val="24"/>
                <w:color w:val="auto"/>
              </w:rPr>
            </w:pPr>
          </w:p>
        </w:tc>
        <w:tc>
          <w:tcPr>
            <w:tcW w:w="44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Form of American Depositary Receipt evidencing American</w:t>
              </w:r>
            </w:hyperlink>
          </w:p>
        </w:tc>
        <w:tc>
          <w:tcPr>
            <w:tcW w:w="320" w:type="dxa"/>
            <w:vAlign w:val="bottom"/>
            <w:gridSpan w:val="6"/>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247">
              <w:r>
                <w:rPr>
                  <w:rFonts w:ascii="Times New Roman" w:cs="Times New Roman" w:eastAsia="Times New Roman" w:hAnsi="Times New Roman"/>
                  <w:sz w:val="18"/>
                  <w:szCs w:val="18"/>
                  <w:color w:val="0000FF"/>
                  <w:w w:val="98"/>
                </w:rPr>
                <w:t>Depositary Shares.</w:t>
              </w:r>
            </w:hyperlink>
          </w:p>
        </w:tc>
        <w:tc>
          <w:tcPr>
            <w:tcW w:w="20" w:type="dxa"/>
            <w:vAlign w:val="bottom"/>
            <w:tcBorders>
              <w:bottom w:val="single" w:sz="8" w:color="0000EE"/>
            </w:tcBorders>
          </w:tcPr>
          <w:p>
            <w:pPr>
              <w:spacing w:after="0"/>
              <w:rPr>
                <w:sz w:val="17"/>
                <w:szCs w:val="17"/>
                <w:color w:val="auto"/>
              </w:rPr>
            </w:pPr>
          </w:p>
        </w:tc>
        <w:tc>
          <w:tcPr>
            <w:tcW w:w="3340" w:type="dxa"/>
            <w:vAlign w:val="bottom"/>
            <w:gridSpan w:val="23"/>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F-1/A</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8"/>
              </w:rPr>
              <w:t>333-249020</w:t>
            </w:r>
          </w:p>
        </w:tc>
        <w:tc>
          <w:tcPr>
            <w:tcW w:w="10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10/9/20</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4"/>
                <w:szCs w:val="24"/>
                <w:color w:val="auto"/>
              </w:rPr>
            </w:pPr>
          </w:p>
        </w:tc>
        <w:tc>
          <w:tcPr>
            <w:tcW w:w="4720" w:type="dxa"/>
            <w:vAlign w:val="bottom"/>
            <w:gridSpan w:val="27"/>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Description of Securities.</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20-F</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001-39621</w:t>
            </w:r>
          </w:p>
        </w:tc>
        <w:tc>
          <w:tcPr>
            <w:tcW w:w="10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2.3</w:t>
            </w:r>
          </w:p>
        </w:tc>
        <w:tc>
          <w:tcPr>
            <w:tcW w:w="2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10/28/21</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tcBorders>
              <w:right w:val="single" w:sz="8" w:color="0000EE"/>
            </w:tcBorders>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41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Amended and Restated Long Term Incentive Plan Rules.</w:t>
              </w:r>
            </w:hyperlink>
          </w:p>
        </w:tc>
        <w:tc>
          <w:tcPr>
            <w:tcW w:w="620" w:type="dxa"/>
            <w:vAlign w:val="bottom"/>
            <w:gridSpan w:val="10"/>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001-39621</w:t>
            </w:r>
          </w:p>
        </w:tc>
        <w:tc>
          <w:tcPr>
            <w:tcW w:w="1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99.3</w:t>
            </w:r>
          </w:p>
        </w:tc>
        <w:tc>
          <w:tcPr>
            <w:tcW w:w="2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9/13/21</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4720" w:type="dxa"/>
            <w:vAlign w:val="bottom"/>
            <w:gridSpan w:val="27"/>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Non-Executive Directors Share and Option Plan Rules.</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333-249020</w:t>
            </w:r>
          </w:p>
        </w:tc>
        <w:tc>
          <w:tcPr>
            <w:tcW w:w="1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9/24/20</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40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Executive Employment Contract, dated April 23, 2014,</w:t>
              </w:r>
            </w:hyperlink>
          </w:p>
        </w:tc>
        <w:tc>
          <w:tcPr>
            <w:tcW w:w="700" w:type="dxa"/>
            <w:vAlign w:val="bottom"/>
            <w:gridSpan w:val="11"/>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20" w:type="dxa"/>
            <w:vAlign w:val="bottom"/>
            <w:gridSpan w:val="27"/>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between the Registrant and Megan Baldwin, Ph.D.</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8"/>
              </w:rPr>
              <w:t>333-249020</w:t>
            </w:r>
          </w:p>
        </w:tc>
        <w:tc>
          <w:tcPr>
            <w:tcW w:w="100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9/24/20</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45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Executive Employment Contract, dated May 3, 2021, between</w:t>
              </w:r>
            </w:hyperlink>
          </w:p>
        </w:tc>
        <w:tc>
          <w:tcPr>
            <w:tcW w:w="20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20" w:type="dxa"/>
            <w:vAlign w:val="bottom"/>
            <w:gridSpan w:val="27"/>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the Registrant and Karen Adams.</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20-F</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001-39621</w:t>
            </w:r>
          </w:p>
        </w:tc>
        <w:tc>
          <w:tcPr>
            <w:tcW w:w="10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22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10/28/21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40" w:type="dxa"/>
            <w:vAlign w:val="bottom"/>
            <w:tcBorders>
              <w:right w:val="single" w:sz="8" w:color="0000EE"/>
            </w:tcBorders>
            <w:gridSpan w:val="5"/>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4"/>
                <w:szCs w:val="24"/>
                <w:color w:val="auto"/>
              </w:rPr>
            </w:pPr>
          </w:p>
        </w:tc>
        <w:tc>
          <w:tcPr>
            <w:tcW w:w="42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Executive Employment Contract, dated October 24, 2022,</w:t>
              </w:r>
            </w:hyperlink>
          </w:p>
        </w:tc>
        <w:tc>
          <w:tcPr>
            <w:tcW w:w="480" w:type="dxa"/>
            <w:vAlign w:val="bottom"/>
            <w:gridSpan w:val="8"/>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53">
              <w:r>
                <w:rPr>
                  <w:rFonts w:ascii="Times New Roman" w:cs="Times New Roman" w:eastAsia="Times New Roman" w:hAnsi="Times New Roman"/>
                  <w:sz w:val="18"/>
                  <w:szCs w:val="18"/>
                  <w:color w:val="0000FF"/>
                  <w:w w:val="99"/>
                </w:rPr>
                <w:t>between the Opthea US Inc and Timothy Morris</w:t>
              </w:r>
            </w:hyperlink>
          </w:p>
        </w:tc>
        <w:tc>
          <w:tcPr>
            <w:tcW w:w="1240" w:type="dxa"/>
            <w:vAlign w:val="bottom"/>
            <w:gridSpan w:val="15"/>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20-F</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001-39621</w:t>
            </w:r>
          </w:p>
        </w:tc>
        <w:tc>
          <w:tcPr>
            <w:tcW w:w="10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22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09/30/23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4"/>
                <w:szCs w:val="24"/>
                <w:color w:val="auto"/>
              </w:rPr>
            </w:pPr>
          </w:p>
        </w:tc>
        <w:tc>
          <w:tcPr>
            <w:tcW w:w="4720" w:type="dxa"/>
            <w:vAlign w:val="bottom"/>
            <w:gridSpan w:val="27"/>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Form of Non-Executive Director Agreement.</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F-1/A</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333-249020</w:t>
            </w:r>
          </w:p>
        </w:tc>
        <w:tc>
          <w:tcPr>
            <w:tcW w:w="1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10/9/20</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4"/>
                <w:szCs w:val="24"/>
                <w:color w:val="auto"/>
              </w:rPr>
            </w:pPr>
          </w:p>
        </w:tc>
        <w:tc>
          <w:tcPr>
            <w:tcW w:w="45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Commercial License Agreement, dated as of October 28, 2013,</w:t>
              </w:r>
            </w:hyperlink>
          </w:p>
        </w:tc>
        <w:tc>
          <w:tcPr>
            <w:tcW w:w="14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between the Registrant and Selexis SA.</w:t>
              </w:r>
            </w:hyperlink>
          </w:p>
        </w:tc>
        <w:tc>
          <w:tcPr>
            <w:tcW w:w="20" w:type="dxa"/>
            <w:vAlign w:val="bottom"/>
            <w:tcBorders>
              <w:bottom w:val="single" w:sz="8" w:color="0000EE"/>
            </w:tcBorders>
          </w:tcPr>
          <w:p>
            <w:pPr>
              <w:spacing w:after="0"/>
              <w:rPr>
                <w:sz w:val="17"/>
                <w:szCs w:val="17"/>
                <w:color w:val="auto"/>
              </w:rPr>
            </w:pPr>
          </w:p>
        </w:tc>
        <w:tc>
          <w:tcPr>
            <w:tcW w:w="1860" w:type="dxa"/>
            <w:vAlign w:val="bottom"/>
            <w:gridSpan w:val="18"/>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8"/>
              </w:rPr>
              <w:t>333-249020</w:t>
            </w:r>
          </w:p>
        </w:tc>
        <w:tc>
          <w:tcPr>
            <w:tcW w:w="100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9/24/20</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4"/>
                <w:szCs w:val="24"/>
                <w:color w:val="auto"/>
              </w:rPr>
            </w:pPr>
          </w:p>
        </w:tc>
        <w:tc>
          <w:tcPr>
            <w:tcW w:w="42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Biopharmaceutical Manufacturing Agreement, dated as of</w:t>
              </w:r>
            </w:hyperlink>
          </w:p>
        </w:tc>
        <w:tc>
          <w:tcPr>
            <w:tcW w:w="480" w:type="dxa"/>
            <w:vAlign w:val="bottom"/>
            <w:gridSpan w:val="8"/>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October 28, 2013, between the Registrant, Patheon Biologics</w:t>
              </w:r>
            </w:hyperlink>
          </w:p>
        </w:tc>
        <w:tc>
          <w:tcPr>
            <w:tcW w:w="28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Company Australia Pty Ltd. and Patheon Biologics Company</w:t>
              </w:r>
            </w:hyperlink>
          </w:p>
        </w:tc>
        <w:tc>
          <w:tcPr>
            <w:tcW w:w="24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88"/>
              </w:rPr>
            </w:pPr>
            <w:hyperlink r:id="rId256">
              <w:r>
                <w:rPr>
                  <w:rFonts w:ascii="Times New Roman" w:cs="Times New Roman" w:eastAsia="Times New Roman" w:hAnsi="Times New Roman"/>
                  <w:sz w:val="18"/>
                  <w:szCs w:val="18"/>
                  <w:color w:val="0000FF"/>
                  <w:w w:val="88"/>
                </w:rPr>
                <w:t>B.V.</w:t>
              </w:r>
            </w:hyperlink>
          </w:p>
        </w:tc>
        <w:tc>
          <w:tcPr>
            <w:tcW w:w="40" w:type="dxa"/>
            <w:vAlign w:val="bottom"/>
            <w:tcBorders>
              <w:bottom w:val="single" w:sz="8" w:color="0000EE"/>
            </w:tcBorders>
          </w:tcPr>
          <w:p>
            <w:pPr>
              <w:spacing w:after="0"/>
              <w:rPr>
                <w:sz w:val="17"/>
                <w:szCs w:val="17"/>
                <w:color w:val="auto"/>
              </w:rPr>
            </w:pPr>
          </w:p>
        </w:tc>
        <w:tc>
          <w:tcPr>
            <w:tcW w:w="4360" w:type="dxa"/>
            <w:vAlign w:val="bottom"/>
            <w:gridSpan w:val="25"/>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8"/>
              </w:rPr>
              <w:t>333-249020</w:t>
            </w:r>
          </w:p>
        </w:tc>
        <w:tc>
          <w:tcPr>
            <w:tcW w:w="100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9/24/20</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24"/>
                <w:szCs w:val="24"/>
                <w:color w:val="auto"/>
              </w:rPr>
            </w:pPr>
          </w:p>
        </w:tc>
        <w:tc>
          <w:tcPr>
            <w:tcW w:w="4720" w:type="dxa"/>
            <w:vAlign w:val="bottom"/>
            <w:gridSpan w:val="27"/>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Form of Deed of Indemnity, Insurance and Access.</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333-249020</w:t>
            </w:r>
          </w:p>
        </w:tc>
        <w:tc>
          <w:tcPr>
            <w:tcW w:w="1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9/24/20</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80" w:type="dxa"/>
            <w:vAlign w:val="bottom"/>
            <w:gridSpan w:val="1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EE"/>
            </w:tcBorders>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24"/>
                <w:szCs w:val="24"/>
                <w:color w:val="auto"/>
              </w:rPr>
            </w:pPr>
          </w:p>
        </w:tc>
        <w:tc>
          <w:tcPr>
            <w:tcW w:w="42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Lease Agreement, dated November 12, 2019, between the</w:t>
              </w:r>
            </w:hyperlink>
          </w:p>
        </w:tc>
        <w:tc>
          <w:tcPr>
            <w:tcW w:w="500" w:type="dxa"/>
            <w:vAlign w:val="bottom"/>
            <w:gridSpan w:val="9"/>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Registrant and The Trust Company (Australia) Limited, as</w:t>
              </w:r>
            </w:hyperlink>
          </w:p>
        </w:tc>
        <w:tc>
          <w:tcPr>
            <w:tcW w:w="46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custodian for the Newmark Como Property Trust.</w:t>
              </w:r>
            </w:hyperlink>
          </w:p>
        </w:tc>
        <w:tc>
          <w:tcPr>
            <w:tcW w:w="1060" w:type="dxa"/>
            <w:vAlign w:val="bottom"/>
            <w:gridSpan w:val="14"/>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8"/>
              </w:rPr>
              <w:t>333-249020</w:t>
            </w:r>
          </w:p>
        </w:tc>
        <w:tc>
          <w:tcPr>
            <w:tcW w:w="100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9/24/20</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30"/>
        </w:trPr>
        <w:tc>
          <w:tcPr>
            <w:tcW w:w="1020" w:type="dxa"/>
            <w:vAlign w:val="bottom"/>
          </w:tcPr>
          <w:p>
            <w:pPr>
              <w:spacing w:after="0"/>
              <w:rPr>
                <w:sz w:val="24"/>
                <w:szCs w:val="24"/>
                <w:color w:val="auto"/>
              </w:rPr>
            </w:pPr>
          </w:p>
        </w:tc>
        <w:tc>
          <w:tcPr>
            <w:tcW w:w="4860" w:type="dxa"/>
            <w:vAlign w:val="bottom"/>
            <w:gridSpan w:val="28"/>
          </w:tcPr>
          <w:p>
            <w:pPr>
              <w:jc w:val="right"/>
              <w:ind w:right="120"/>
              <w:spacing w:after="0"/>
              <w:rPr>
                <w:sz w:val="20"/>
                <w:szCs w:val="20"/>
                <w:color w:val="auto"/>
              </w:rPr>
            </w:pPr>
            <w:r>
              <w:rPr>
                <w:rFonts w:ascii="Times New Roman" w:cs="Times New Roman" w:eastAsia="Times New Roman" w:hAnsi="Times New Roman"/>
                <w:sz w:val="18"/>
                <w:szCs w:val="18"/>
                <w:color w:val="auto"/>
              </w:rPr>
              <w:t>174</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4720" w:type="dxa"/>
            <w:vAlign w:val="bottom"/>
            <w:gridSpan w:val="20"/>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Deed of Variation of Lease dated July 18, 2022, between the</w:t>
              </w:r>
            </w:hyperlink>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720" w:type="dxa"/>
            <w:vAlign w:val="bottom"/>
            <w:gridSpan w:val="20"/>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Registrant and the Trust Company (Australia) Limited as</w:t>
              </w:r>
            </w:hyperlink>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720" w:type="dxa"/>
            <w:vAlign w:val="bottom"/>
            <w:gridSpan w:val="20"/>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custodian for the Newmark Como Property Trust</w:t>
              </w:r>
            </w:hyperlink>
          </w:p>
        </w:tc>
        <w:tc>
          <w:tcPr>
            <w:tcW w:w="7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9"/>
              </w:rPr>
              <w:t>20-F</w:t>
            </w: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001-39621</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94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9/29/22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4.12 *</w:t>
            </w:r>
          </w:p>
        </w:tc>
        <w:tc>
          <w:tcPr>
            <w:tcW w:w="4720" w:type="dxa"/>
            <w:vAlign w:val="bottom"/>
            <w:gridSpan w:val="20"/>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Executive Employment Contract, dated December 31, 2021,</w:t>
              </w:r>
            </w:hyperlink>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720" w:type="dxa"/>
            <w:vAlign w:val="bottom"/>
            <w:gridSpan w:val="20"/>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between Opthea US Inc and Judith Robertson.</w:t>
              </w:r>
            </w:hyperlink>
          </w:p>
        </w:tc>
        <w:tc>
          <w:tcPr>
            <w:tcW w:w="7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9"/>
              </w:rPr>
              <w:t>20-F</w:t>
            </w: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001-39621</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4.11</w:t>
            </w:r>
          </w:p>
        </w:tc>
        <w:tc>
          <w:tcPr>
            <w:tcW w:w="94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9/29/22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4720" w:type="dxa"/>
            <w:vAlign w:val="bottom"/>
            <w:gridSpan w:val="20"/>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Sales Agreement by and between the Registrant and Jefferies</w:t>
              </w:r>
            </w:hyperlink>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720" w:type="dxa"/>
            <w:vAlign w:val="bottom"/>
            <w:gridSpan w:val="20"/>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LLC, dated February 1, 2022.</w:t>
              </w:r>
            </w:hyperlink>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F-3</w:t>
            </w: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333-262444</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1.2</w:t>
            </w:r>
          </w:p>
        </w:tc>
        <w:tc>
          <w:tcPr>
            <w:tcW w:w="94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2/1/22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4.15 #</w:t>
            </w:r>
          </w:p>
        </w:tc>
        <w:tc>
          <w:tcPr>
            <w:tcW w:w="4720" w:type="dxa"/>
            <w:vAlign w:val="bottom"/>
            <w:gridSpan w:val="20"/>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Development Funding Agreement by and between Opthea</w:t>
              </w:r>
            </w:hyperlink>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720" w:type="dxa"/>
            <w:vAlign w:val="bottom"/>
            <w:gridSpan w:val="20"/>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Limited and Ocelot SPV LP dated August 12, 2022</w:t>
              </w:r>
            </w:hyperlink>
          </w:p>
        </w:tc>
        <w:tc>
          <w:tcPr>
            <w:tcW w:w="7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9"/>
              </w:rPr>
              <w:t>20-F</w:t>
            </w: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001-39621</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94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9/29/22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4720" w:type="dxa"/>
            <w:vAlign w:val="bottom"/>
            <w:gridSpan w:val="20"/>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Consultancy Agreement by and between Opthea Limited and</w:t>
              </w:r>
            </w:hyperlink>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720" w:type="dxa"/>
            <w:vAlign w:val="bottom"/>
            <w:gridSpan w:val="20"/>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Lawrence Gozlan, dated as of August 28, 2023</w:t>
              </w:r>
            </w:hyperlink>
          </w:p>
        </w:tc>
        <w:tc>
          <w:tcPr>
            <w:tcW w:w="7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9"/>
              </w:rPr>
              <w:t>20-F</w:t>
            </w: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001-39621</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94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9/30/23</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4720" w:type="dxa"/>
            <w:vAlign w:val="bottom"/>
            <w:gridSpan w:val="20"/>
          </w:tcPr>
          <w:p>
            <w:pPr>
              <w:spacing w:after="0"/>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Executive Employment Contract dated October 27, 2023</w:t>
              </w:r>
            </w:hyperlink>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720" w:type="dxa"/>
            <w:vAlign w:val="bottom"/>
            <w:gridSpan w:val="20"/>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between Opthea US Inc and Fred Guerard</w:t>
              </w:r>
            </w:hyperlink>
          </w:p>
        </w:tc>
        <w:tc>
          <w:tcPr>
            <w:tcW w:w="7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9"/>
              </w:rPr>
              <w:t>20-F</w:t>
            </w: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001-39621</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94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8/30/24</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EE"/>
            </w:tcBorders>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6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4720" w:type="dxa"/>
            <w:vAlign w:val="bottom"/>
            <w:gridSpan w:val="20"/>
          </w:tcPr>
          <w:p>
            <w:pPr>
              <w:spacing w:after="0"/>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Executive Employment Contract dated October 27, 2023</w:t>
              </w:r>
            </w:hyperlink>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720" w:type="dxa"/>
            <w:vAlign w:val="bottom"/>
            <w:gridSpan w:val="20"/>
          </w:tcPr>
          <w:p>
            <w:pPr>
              <w:spacing w:after="0" w:line="19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between Opthea US, Inc. and Peter Lang.</w:t>
              </w:r>
            </w:hyperlink>
          </w:p>
        </w:tc>
        <w:tc>
          <w:tcPr>
            <w:tcW w:w="7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9"/>
              </w:rPr>
              <w:t>20-F</w:t>
            </w: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001-39621</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4.18</w:t>
            </w:r>
          </w:p>
        </w:tc>
        <w:tc>
          <w:tcPr>
            <w:tcW w:w="94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8/30/24</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6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4.19#</w:t>
            </w:r>
          </w:p>
        </w:tc>
        <w:tc>
          <w:tcPr>
            <w:tcW w:w="4720" w:type="dxa"/>
            <w:vAlign w:val="bottom"/>
            <w:gridSpan w:val="20"/>
          </w:tcPr>
          <w:p>
            <w:pPr>
              <w:spacing w:after="0"/>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Amended and Restated Development Funding Agreement by</w:t>
              </w:r>
            </w:hyperlink>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6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720" w:type="dxa"/>
            <w:vAlign w:val="bottom"/>
            <w:gridSpan w:val="20"/>
          </w:tcPr>
          <w:p>
            <w:pPr>
              <w:spacing w:after="0" w:line="196"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and between Opthea Limited, Ocelot SPV LP, as Collateral</w:t>
              </w:r>
            </w:hyperlink>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6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720" w:type="dxa"/>
            <w:vAlign w:val="bottom"/>
            <w:gridSpan w:val="20"/>
          </w:tcPr>
          <w:p>
            <w:pPr>
              <w:spacing w:after="0" w:line="196"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Agent, and the Investors from Time to Time Party Thereto,</w:t>
              </w:r>
            </w:hyperlink>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6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720" w:type="dxa"/>
            <w:vAlign w:val="bottom"/>
            <w:gridSpan w:val="20"/>
          </w:tcPr>
          <w:p>
            <w:pPr>
              <w:spacing w:after="0" w:line="196"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dated December 22, 2023</w:t>
              </w:r>
            </w:hyperlink>
          </w:p>
        </w:tc>
        <w:tc>
          <w:tcPr>
            <w:tcW w:w="7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9"/>
              </w:rPr>
              <w:t>20-F</w:t>
            </w: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001-39621</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94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8/30/24</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4720" w:type="dxa"/>
            <w:vAlign w:val="bottom"/>
            <w:gridSpan w:val="20"/>
          </w:tcPr>
          <w:p>
            <w:pPr>
              <w:spacing w:after="0"/>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List of subsidiaries.</w:t>
              </w:r>
            </w:hyperlink>
          </w:p>
        </w:tc>
        <w:tc>
          <w:tcPr>
            <w:tcW w:w="7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20-F</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001-39621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8.1</w:t>
            </w:r>
          </w:p>
        </w:tc>
        <w:tc>
          <w:tcPr>
            <w:tcW w:w="9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10/28/21</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4720" w:type="dxa"/>
            <w:vAlign w:val="bottom"/>
            <w:gridSpan w:val="20"/>
          </w:tcPr>
          <w:p>
            <w:pPr>
              <w:spacing w:after="0"/>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Securities Trading Policy</w:t>
              </w:r>
            </w:hyperlink>
          </w:p>
        </w:tc>
        <w:tc>
          <w:tcPr>
            <w:tcW w:w="7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20-F</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001-39621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11.1</w:t>
            </w:r>
          </w:p>
        </w:tc>
        <w:tc>
          <w:tcPr>
            <w:tcW w:w="9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8/30/24</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47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w:t>
            </w: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6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7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under the Securities Exchange</w:t>
            </w: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6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7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Act of 1934, as adopted pursuant to Section 302 of the</w:t>
            </w: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6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7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47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rules</w:t>
            </w: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80" w:type="dxa"/>
            <w:vAlign w:val="bottom"/>
            <w:gridSpan w:val="8"/>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7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13a-14(a) and 15d-14(a) under the Securities Exchange Act of</w:t>
            </w: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80" w:type="dxa"/>
            <w:vAlign w:val="bottom"/>
            <w:gridSpan w:val="8"/>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7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w:t>
            </w: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80" w:type="dxa"/>
            <w:vAlign w:val="bottom"/>
            <w:gridSpan w:val="8"/>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7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80" w:type="dxa"/>
            <w:vAlign w:val="bottom"/>
            <w:gridSpan w:val="8"/>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47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and Principal</w:t>
            </w: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80" w:type="dxa"/>
            <w:vAlign w:val="bottom"/>
            <w:gridSpan w:val="8"/>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7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80" w:type="dxa"/>
            <w:vAlign w:val="bottom"/>
            <w:gridSpan w:val="8"/>
            <w:shd w:val="clear" w:color="auto" w:fill="0000FF"/>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7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w:t>
            </w: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88"/>
              </w:rPr>
              <w:t>2002.</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40" w:type="dxa"/>
            <w:vAlign w:val="bottom"/>
            <w:gridSpan w:val="1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47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Consent of Deloitte Touche Tohmatsu, independent registered</w:t>
            </w: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168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440" w:type="dxa"/>
            <w:vAlign w:val="bottom"/>
            <w:tcBorders>
              <w:right w:val="single" w:sz="8" w:color="0000FF"/>
            </w:tcBorders>
            <w:gridSpan w:val="13"/>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7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public accounting firm.</w:t>
            </w: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8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40" w:type="dxa"/>
            <w:vAlign w:val="bottom"/>
            <w:gridSpan w:val="1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8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15.2</w:t>
            </w:r>
          </w:p>
        </w:tc>
        <w:tc>
          <w:tcPr>
            <w:tcW w:w="4720" w:type="dxa"/>
            <w:vAlign w:val="bottom"/>
            <w:gridSpan w:val="20"/>
          </w:tcPr>
          <w:p>
            <w:pPr>
              <w:spacing w:after="0"/>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Annual Report 2023 - 2024</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6-K</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001-39621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9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08/30/24</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980" w:type="dxa"/>
            <w:vAlign w:val="bottom"/>
            <w:tcBorders>
              <w:right w:val="single" w:sz="8" w:color="0000EE"/>
            </w:tcBorders>
            <w:gridSpan w:val="5"/>
            <w:shd w:val="clear" w:color="auto" w:fill="0000FF"/>
          </w:tcPr>
          <w:p>
            <w:pPr>
              <w:spacing w:after="0" w:line="20" w:lineRule="exact"/>
              <w:rPr>
                <w:sz w:val="1"/>
                <w:szCs w:val="1"/>
                <w:color w:val="auto"/>
              </w:rPr>
            </w:pPr>
          </w:p>
        </w:tc>
        <w:tc>
          <w:tcPr>
            <w:tcW w:w="2440" w:type="dxa"/>
            <w:vAlign w:val="bottom"/>
            <w:gridSpan w:val="1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4720" w:type="dxa"/>
            <w:vAlign w:val="bottom"/>
            <w:gridSpan w:val="20"/>
          </w:tcPr>
          <w:p>
            <w:pPr>
              <w:spacing w:after="0"/>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Opthea Limited Incentive Compensation Recoupment Policy.</w:t>
              </w:r>
            </w:hyperlink>
          </w:p>
        </w:tc>
        <w:tc>
          <w:tcPr>
            <w:tcW w:w="7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20-F</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001-39621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97.1</w:t>
            </w:r>
          </w:p>
        </w:tc>
        <w:tc>
          <w:tcPr>
            <w:tcW w:w="9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8/30/24</w:t>
            </w:r>
          </w:p>
        </w:tc>
      </w:tr>
      <w:tr>
        <w:trPr>
          <w:trHeight w:val="20"/>
        </w:trPr>
        <w:tc>
          <w:tcPr>
            <w:tcW w:w="1160" w:type="dxa"/>
            <w:vAlign w:val="bottom"/>
          </w:tcPr>
          <w:p>
            <w:pPr>
              <w:spacing w:after="0" w:line="20" w:lineRule="exact"/>
              <w:rPr>
                <w:sz w:val="1"/>
                <w:szCs w:val="1"/>
                <w:color w:val="auto"/>
              </w:rPr>
            </w:pPr>
          </w:p>
        </w:tc>
        <w:tc>
          <w:tcPr>
            <w:tcW w:w="4420" w:type="dxa"/>
            <w:vAlign w:val="bottom"/>
            <w:tcBorders>
              <w:right w:val="single" w:sz="8" w:color="0000EE"/>
            </w:tcBorders>
            <w:gridSpan w:val="18"/>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830"/>
        </w:trPr>
        <w:tc>
          <w:tcPr>
            <w:tcW w:w="1160" w:type="dxa"/>
            <w:vAlign w:val="bottom"/>
          </w:tcPr>
          <w:p>
            <w:pPr>
              <w:spacing w:after="0"/>
              <w:rPr>
                <w:sz w:val="24"/>
                <w:szCs w:val="24"/>
                <w:color w:val="auto"/>
              </w:rPr>
            </w:pPr>
          </w:p>
        </w:tc>
        <w:tc>
          <w:tcPr>
            <w:tcW w:w="4720" w:type="dxa"/>
            <w:vAlign w:val="bottom"/>
            <w:gridSpan w:val="20"/>
          </w:tcPr>
          <w:p>
            <w:pPr>
              <w:jc w:val="right"/>
              <w:ind w:right="140"/>
              <w:spacing w:after="0"/>
              <w:rPr>
                <w:sz w:val="20"/>
                <w:szCs w:val="20"/>
                <w:color w:val="auto"/>
              </w:rPr>
            </w:pPr>
            <w:r>
              <w:rPr>
                <w:rFonts w:ascii="Times New Roman" w:cs="Times New Roman" w:eastAsia="Times New Roman" w:hAnsi="Times New Roman"/>
                <w:sz w:val="18"/>
                <w:szCs w:val="18"/>
                <w:color w:val="auto"/>
              </w:rPr>
              <w:t>175</w:t>
            </w: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9900" w:space="720"/>
            <w:col w:w="140"/>
          </w:cols>
          <w:pgMar w:left="340" w:top="1418" w:right="799" w:bottom="1440" w:gutter="0" w:footer="0" w:header="0"/>
        </w:sectPr>
      </w:pPr>
    </w:p>
    <w:bookmarkStart w:id="176" w:name="page177"/>
    <w:bookmarkEnd w:id="176"/>
    <w:tbl>
      <w:tblPr>
        <w:tblLayout w:type="fixed"/>
        <w:tblInd w:w="2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Instance Document—this instance document does</w:t>
            </w:r>
          </w:p>
        </w:tc>
        <w:tc>
          <w:tcPr>
            <w:tcW w:w="258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 appear in the Interactive Data File because its XBRL tags</w:t>
            </w:r>
          </w:p>
        </w:tc>
        <w:tc>
          <w:tcPr>
            <w:tcW w:w="2580" w:type="dxa"/>
            <w:vAlign w:val="bottom"/>
          </w:tcPr>
          <w:p>
            <w:pPr>
              <w:spacing w:after="0"/>
              <w:rPr>
                <w:sz w:val="18"/>
                <w:szCs w:val="18"/>
                <w:color w:val="auto"/>
              </w:rPr>
            </w:pPr>
          </w:p>
        </w:tc>
      </w:tr>
      <w:tr>
        <w:trPr>
          <w:trHeight w:val="234"/>
        </w:trPr>
        <w:tc>
          <w:tcPr>
            <w:tcW w:w="900" w:type="dxa"/>
            <w:vAlign w:val="bottom"/>
          </w:tcPr>
          <w:p>
            <w:pPr>
              <w:spacing w:after="0"/>
              <w:rPr>
                <w:sz w:val="20"/>
                <w:szCs w:val="20"/>
                <w:color w:val="auto"/>
              </w:rPr>
            </w:pP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2580" w:type="dxa"/>
            <w:vAlign w:val="bottom"/>
          </w:tcPr>
          <w:p>
            <w:pPr>
              <w:ind w:left="2440"/>
              <w:spacing w:after="0"/>
              <w:rPr>
                <w:sz w:val="20"/>
                <w:szCs w:val="20"/>
                <w:color w:val="auto"/>
              </w:rPr>
            </w:pPr>
            <w:r>
              <w:rPr>
                <w:rFonts w:ascii="Times New Roman" w:cs="Times New Roman" w:eastAsia="Times New Roman" w:hAnsi="Times New Roman"/>
                <w:sz w:val="18"/>
                <w:szCs w:val="18"/>
                <w:color w:val="auto"/>
                <w:w w:val="91"/>
              </w:rPr>
              <w:t>X</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2580" w:type="dxa"/>
            <w:vAlign w:val="bottom"/>
          </w:tcPr>
          <w:p>
            <w:pPr>
              <w:spacing w:after="0"/>
              <w:rPr>
                <w:sz w:val="24"/>
                <w:szCs w:val="24"/>
                <w:color w:val="auto"/>
              </w:rPr>
            </w:pPr>
          </w:p>
        </w:tc>
      </w:tr>
      <w:tr>
        <w:trPr>
          <w:trHeight w:val="234"/>
        </w:trPr>
        <w:tc>
          <w:tcPr>
            <w:tcW w:w="900" w:type="dxa"/>
            <w:vAlign w:val="bottom"/>
          </w:tcPr>
          <w:p>
            <w:pPr>
              <w:spacing w:after="0"/>
              <w:rPr>
                <w:sz w:val="20"/>
                <w:szCs w:val="20"/>
                <w:color w:val="auto"/>
              </w:rPr>
            </w:pP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Linkbase Documents</w:t>
            </w:r>
          </w:p>
        </w:tc>
        <w:tc>
          <w:tcPr>
            <w:tcW w:w="2580" w:type="dxa"/>
            <w:vAlign w:val="bottom"/>
          </w:tcPr>
          <w:p>
            <w:pPr>
              <w:ind w:left="2440"/>
              <w:spacing w:after="0"/>
              <w:rPr>
                <w:sz w:val="20"/>
                <w:szCs w:val="20"/>
                <w:color w:val="auto"/>
              </w:rPr>
            </w:pPr>
            <w:r>
              <w:rPr>
                <w:rFonts w:ascii="Times New Roman" w:cs="Times New Roman" w:eastAsia="Times New Roman" w:hAnsi="Times New Roman"/>
                <w:sz w:val="18"/>
                <w:szCs w:val="18"/>
                <w:color w:val="auto"/>
                <w:w w:val="91"/>
              </w:rPr>
              <w:t>X</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2580" w:type="dxa"/>
            <w:vAlign w:val="bottom"/>
          </w:tcPr>
          <w:p>
            <w:pPr>
              <w:spacing w:after="0"/>
              <w:rPr>
                <w:sz w:val="24"/>
                <w:szCs w:val="24"/>
                <w:color w:val="auto"/>
              </w:rPr>
            </w:pPr>
          </w:p>
        </w:tc>
      </w:tr>
      <w:tr>
        <w:trPr>
          <w:trHeight w:val="234"/>
        </w:trPr>
        <w:tc>
          <w:tcPr>
            <w:tcW w:w="900" w:type="dxa"/>
            <w:vAlign w:val="bottom"/>
          </w:tcPr>
          <w:p>
            <w:pPr>
              <w:spacing w:after="0"/>
              <w:rPr>
                <w:sz w:val="20"/>
                <w:szCs w:val="20"/>
                <w:color w:val="auto"/>
              </w:rPr>
            </w:pP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document)</w:t>
            </w:r>
          </w:p>
        </w:tc>
        <w:tc>
          <w:tcPr>
            <w:tcW w:w="2580" w:type="dxa"/>
            <w:vAlign w:val="bottom"/>
          </w:tcPr>
          <w:p>
            <w:pPr>
              <w:ind w:left="2440"/>
              <w:spacing w:after="0"/>
              <w:rPr>
                <w:sz w:val="20"/>
                <w:szCs w:val="20"/>
                <w:color w:val="auto"/>
              </w:rPr>
            </w:pPr>
            <w:r>
              <w:rPr>
                <w:rFonts w:ascii="Times New Roman" w:cs="Times New Roman" w:eastAsia="Times New Roman" w:hAnsi="Times New Roman"/>
                <w:sz w:val="18"/>
                <w:szCs w:val="18"/>
                <w:color w:val="auto"/>
                <w:w w:val="91"/>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237426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Indicates management contract or compensatory plan or arrangement.</w:t>
      </w:r>
    </w:p>
    <w:p>
      <w:pPr>
        <w:spacing w:after="0" w:line="4" w:lineRule="exact"/>
        <w:rPr>
          <w:sz w:val="20"/>
          <w:szCs w:val="20"/>
          <w:color w:val="auto"/>
        </w:rPr>
      </w:pPr>
    </w:p>
    <w:p>
      <w:pPr>
        <w:ind w:firstLine="8"/>
        <w:spacing w:after="0" w:line="221" w:lineRule="auto"/>
        <w:tabs>
          <w:tab w:leader="none" w:pos="112"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confidential portions of this exhibit were omitted by means of marking such portions with brackets (“[***]”) because the identified confidential portions are not material and are of the type that the Company treats as private or confidential. The registrant agrees to furnish supplementally a copy of any omitted schedule or exhibit to the SEC upon request.</w:t>
      </w:r>
    </w:p>
    <w:p>
      <w:pPr>
        <w:jc w:val="both"/>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The certification attached as Exhibit 13.1 accompanying this Annual Report on Form 20-F is not deemed filed with the SEC and is not to be incorporated by reference into any filing of Opthea Limited under the Securities Act of 1933, as amended, or the Securities Exchange Act of 1934, as amended, whether made before or after the date of this Annual Report on Form 20-F, irrespective of any general incorporation language contained in such filing.</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20-F/A and that it has duly caused and authorized the undersigned to sign this Amendment on its behalf.</w:t>
      </w:r>
    </w:p>
    <w:p>
      <w:pPr>
        <w:spacing w:after="0" w:line="1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283" w:lineRule="exact"/>
        <w:rPr>
          <w:sz w:val="20"/>
          <w:szCs w:val="20"/>
          <w:color w:val="auto"/>
        </w:rPr>
      </w:pPr>
    </w:p>
    <w:tbl>
      <w:tblPr>
        <w:tblLayout w:type="fixed"/>
        <w:tblInd w:w="5660" w:type="dxa"/>
        <w:tblCellMar>
          <w:top w:w="0" w:type="dxa"/>
          <w:left w:w="0" w:type="dxa"/>
          <w:bottom w:w="0" w:type="dxa"/>
          <w:right w:w="0" w:type="dxa"/>
        </w:tblCellMar>
      </w:tblPr>
      <w:tr>
        <w:trPr>
          <w:trHeight w:val="24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Fred Guerard</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 Guerard.</w:t>
            </w:r>
          </w:p>
        </w:tc>
      </w:t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20,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8" w:name="page179"/>
    <w:bookmarkEnd w:id="178"/>
    <w:tbl>
      <w:tblPr>
        <w:tblLayout w:type="fixed"/>
        <w:tblInd w:w="1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640" w:type="dxa"/>
            <w:vAlign w:val="bottom"/>
          </w:tcPr>
          <w:p>
            <w:pPr>
              <w:spacing w:after="0"/>
              <w:rPr>
                <w:sz w:val="20"/>
                <w:szCs w:val="20"/>
                <w:color w:val="auto"/>
              </w:rPr>
            </w:pPr>
          </w:p>
        </w:tc>
      </w:tr>
      <w:tr>
        <w:trPr>
          <w:trHeight w:val="392"/>
        </w:trPr>
        <w:tc>
          <w:tcPr>
            <w:tcW w:w="96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01070)</w:t>
            </w:r>
          </w:p>
        </w:tc>
        <w:tc>
          <w:tcPr>
            <w:tcW w:w="164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5"/>
              </w:rPr>
              <w:t>F-2</w:t>
            </w:r>
          </w:p>
        </w:tc>
      </w:tr>
      <w:tr>
        <w:trPr>
          <w:trHeight w:val="439"/>
        </w:trPr>
        <w:tc>
          <w:tcPr>
            <w:tcW w:w="5560" w:type="dxa"/>
            <w:vAlign w:val="bottom"/>
            <w:tcBorders>
              <w:top w:val="single" w:sz="8" w:color="0000FF"/>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Profit or Loss and Other Comprehensive Income</w:t>
            </w:r>
          </w:p>
        </w:tc>
        <w:tc>
          <w:tcPr>
            <w:tcW w:w="220" w:type="dxa"/>
            <w:vAlign w:val="bottom"/>
            <w:tcBorders>
              <w:top w:val="single" w:sz="8" w:color="0000FF"/>
            </w:tcBorders>
          </w:tcPr>
          <w:p>
            <w:pPr>
              <w:spacing w:after="0"/>
              <w:rPr>
                <w:sz w:val="24"/>
                <w:szCs w:val="24"/>
                <w:color w:val="auto"/>
              </w:rPr>
            </w:pPr>
          </w:p>
        </w:tc>
        <w:tc>
          <w:tcPr>
            <w:tcW w:w="3820" w:type="dxa"/>
            <w:vAlign w:val="bottom"/>
          </w:tcPr>
          <w:p>
            <w:pPr>
              <w:spacing w:after="0"/>
              <w:rPr>
                <w:sz w:val="24"/>
                <w:szCs w:val="24"/>
                <w:color w:val="auto"/>
              </w:rPr>
            </w:pPr>
          </w:p>
        </w:tc>
        <w:tc>
          <w:tcPr>
            <w:tcW w:w="164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5"/>
              </w:rPr>
              <w:t>F-3</w:t>
            </w:r>
          </w:p>
        </w:tc>
      </w:tr>
      <w:tr>
        <w:trPr>
          <w:trHeight w:val="439"/>
        </w:trPr>
        <w:tc>
          <w:tcPr>
            <w:tcW w:w="96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Financial Position</w:t>
            </w:r>
          </w:p>
        </w:tc>
        <w:tc>
          <w:tcPr>
            <w:tcW w:w="164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90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39"/>
        </w:trPr>
        <w:tc>
          <w:tcPr>
            <w:tcW w:w="338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Changes in Equity</w:t>
            </w:r>
          </w:p>
        </w:tc>
        <w:tc>
          <w:tcPr>
            <w:tcW w:w="6220" w:type="dxa"/>
            <w:vAlign w:val="bottom"/>
            <w:gridSpan w:val="3"/>
          </w:tcPr>
          <w:p>
            <w:pPr>
              <w:spacing w:after="0"/>
              <w:rPr>
                <w:sz w:val="24"/>
                <w:szCs w:val="24"/>
                <w:color w:val="auto"/>
              </w:rPr>
            </w:pPr>
          </w:p>
        </w:tc>
        <w:tc>
          <w:tcPr>
            <w:tcW w:w="164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5"/>
              </w:rPr>
              <w:t>F-5</w:t>
            </w:r>
          </w:p>
        </w:tc>
      </w:tr>
      <w:tr>
        <w:trPr>
          <w:trHeight w:val="439"/>
        </w:trPr>
        <w:tc>
          <w:tcPr>
            <w:tcW w:w="290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700" w:type="dxa"/>
            <w:vAlign w:val="bottom"/>
            <w:gridSpan w:val="6"/>
          </w:tcPr>
          <w:p>
            <w:pPr>
              <w:spacing w:after="0"/>
              <w:rPr>
                <w:sz w:val="24"/>
                <w:szCs w:val="24"/>
                <w:color w:val="auto"/>
              </w:rPr>
            </w:pPr>
          </w:p>
        </w:tc>
        <w:tc>
          <w:tcPr>
            <w:tcW w:w="164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5"/>
              </w:rPr>
              <w:t>F-6</w:t>
            </w:r>
          </w:p>
        </w:tc>
      </w:tr>
      <w:tr>
        <w:trPr>
          <w:trHeight w:val="439"/>
        </w:trPr>
        <w:tc>
          <w:tcPr>
            <w:tcW w:w="96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64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5"/>
              </w:rPr>
              <w:t>F-7</w:t>
            </w:r>
          </w:p>
        </w:tc>
      </w:tr>
      <w:tr>
        <w:trPr>
          <w:trHeight w:val="898"/>
        </w:trPr>
        <w:tc>
          <w:tcPr>
            <w:tcW w:w="29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gridSpan w:val="3"/>
          </w:tcPr>
          <w:p>
            <w:pPr>
              <w:ind w:left="2120"/>
              <w:spacing w:after="0"/>
              <w:rPr>
                <w:sz w:val="20"/>
                <w:szCs w:val="20"/>
                <w:color w:val="auto"/>
              </w:rPr>
            </w:pPr>
            <w:r>
              <w:rPr>
                <w:rFonts w:ascii="Times New Roman" w:cs="Times New Roman" w:eastAsia="Times New Roman" w:hAnsi="Times New Roman"/>
                <w:sz w:val="18"/>
                <w:szCs w:val="18"/>
                <w:color w:val="auto"/>
              </w:rPr>
              <w:t>F-1</w:t>
            </w:r>
          </w:p>
        </w:tc>
        <w:tc>
          <w:tcPr>
            <w:tcW w:w="1640" w:type="dxa"/>
            <w:vAlign w:val="bottom"/>
          </w:tcPr>
          <w:p>
            <w:pPr>
              <w:spacing w:after="0"/>
              <w:rPr>
                <w:sz w:val="24"/>
                <w:szCs w:val="24"/>
                <w:color w:val="auto"/>
              </w:rPr>
            </w:pPr>
          </w:p>
        </w:tc>
      </w:tr>
      <w:tr>
        <w:trPr>
          <w:trHeight w:val="763"/>
        </w:trPr>
        <w:tc>
          <w:tcPr>
            <w:tcW w:w="2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9" w:name="page180"/>
    <w:bookmarkEnd w:id="179"/>
    <w:p>
      <w:pPr>
        <w:ind w:right="3340" w:firstLine="3364"/>
        <w:spacing w:after="0" w:line="464" w:lineRule="auto"/>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REPORT OF INDEPENDENT REGISTERED PUBLIC ACCOUNTING FIRM</w:t>
      </w: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Opthea Limited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Opthea Limited and subsidiaries (the “Company”) as of June 30, 2024 and 2023, the related consolidated statements of profit or loss and other comprehensive income, changes in equity, and cash flows, for each of the three years in the period ended June 30, 2024, and the related notes (collectively referred to as the “financial statements”). In our opinion, the financial statements present fairly, in all material respects, the financial position of the Company as of June 30, 2024 and 2023, and the results of its operations and its cash flows for each of the three years in the period ended June 30, 2024, in conformity with International Financial Reporting Standards as issued by the International Accounting Standards Board (IASB).</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related to Going Concern</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2 to the financial statements, the Group incurred a net loss of $220.2 million, had a net cash outflow from operating activities of $161.0 million during the year and, as of June 30, 2024, the Group had an equity deficit of $75.8 million that raises substantial doubt about its ability to continue as a going concern. Management's plans in regard to these matters are also described in Note 2. The financial statements do not include any adjustments that might result from the outcome of this uncertainty.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w:t>
      </w:r>
    </w:p>
    <w:p>
      <w:pPr>
        <w:spacing w:after="0" w:line="1"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9"/>
          <w:szCs w:val="19"/>
          <w:color w:val="auto"/>
        </w:rPr>
        <w:t>financial statements. Our audits also included evaluating the accounting principles used and significant estimates made by 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as well as evaluating the overall presentation of the financial statements. We believe that our audits provide a reasonable basis for our opinion.</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TOUCHE TOHMATSU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Melbourne, 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Profit or Loss and Other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June 30, 2024, and 2023, and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580" w:type="dxa"/>
            <w:vAlign w:val="bottom"/>
          </w:tcPr>
          <w:p>
            <w:pPr>
              <w:spacing w:after="0"/>
              <w:rPr>
                <w:sz w:val="16"/>
                <w:szCs w:val="16"/>
                <w:color w:val="auto"/>
              </w:rPr>
            </w:pPr>
          </w:p>
        </w:tc>
        <w:tc>
          <w:tcPr>
            <w:tcW w:w="13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6"/>
                <w:szCs w:val="16"/>
                <w:color w:val="auto"/>
              </w:rPr>
            </w:pPr>
          </w:p>
        </w:tc>
        <w:tc>
          <w:tcPr>
            <w:tcW w:w="13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6580" w:type="dxa"/>
            <w:vAlign w:val="bottom"/>
          </w:tcPr>
          <w:p>
            <w:pPr>
              <w:spacing w:after="0"/>
              <w:rPr>
                <w:sz w:val="24"/>
                <w:szCs w:val="24"/>
                <w:color w:val="auto"/>
              </w:rPr>
            </w:pP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US$</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3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124,666</w:t>
            </w:r>
          </w:p>
        </w:tc>
        <w:tc>
          <w:tcPr>
            <w:tcW w:w="24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108,406</w:t>
            </w:r>
          </w:p>
        </w:tc>
        <w:tc>
          <w:tcPr>
            <w:tcW w:w="20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90,683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137,193</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276,869</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expenses:</w:t>
            </w:r>
          </w:p>
        </w:tc>
        <w:tc>
          <w:tcPr>
            <w:tcW w:w="1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(includes amounts owed by related parties</w:t>
            </w:r>
          </w:p>
        </w:tc>
        <w:tc>
          <w:tcPr>
            <w:tcW w:w="1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(176,326,321 )</w:t>
            </w:r>
          </w:p>
        </w:tc>
        <w:tc>
          <w:tcPr>
            <w:tcW w:w="1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(128,828,888 )</w:t>
            </w:r>
          </w:p>
        </w:tc>
        <w:tc>
          <w:tcPr>
            <w:tcW w:w="14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(81,445,843 )</w:t>
            </w:r>
          </w:p>
        </w:tc>
        <w:tc>
          <w:tcPr>
            <w:tcW w:w="0" w:type="dxa"/>
            <w:vAlign w:val="bottom"/>
          </w:tcPr>
          <w:p>
            <w:pPr>
              <w:spacing w:after="0"/>
              <w:rPr>
                <w:sz w:val="1"/>
                <w:szCs w:val="1"/>
                <w:color w:val="auto"/>
              </w:rPr>
            </w:pPr>
          </w:p>
        </w:tc>
      </w:tr>
      <w:tr>
        <w:trPr>
          <w:trHeight w:val="126"/>
        </w:trPr>
        <w:tc>
          <w:tcPr>
            <w:tcW w:w="65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$3,042,762 2023:$900,000 )</w:t>
            </w:r>
            <w:r>
              <w:rPr>
                <w:rFonts w:ascii="Times New Roman" w:cs="Times New Roman" w:eastAsia="Times New Roman" w:hAnsi="Times New Roman"/>
                <w:sz w:val="14"/>
                <w:szCs w:val="14"/>
                <w:color w:val="auto"/>
              </w:rPr>
              <w:t>1</w:t>
            </w:r>
          </w:p>
        </w:tc>
        <w:tc>
          <w:tcPr>
            <w:tcW w:w="1620" w:type="dxa"/>
            <w:vAlign w:val="bottom"/>
            <w:gridSpan w:val="2"/>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58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xml:space="preserve">Administration expenses </w:t>
            </w:r>
            <w:r>
              <w:rPr>
                <w:rFonts w:ascii="Times New Roman" w:cs="Times New Roman" w:eastAsia="Times New Roman" w:hAnsi="Times New Roman"/>
                <w:sz w:val="14"/>
                <w:szCs w:val="14"/>
                <w:color w:val="auto"/>
              </w:rPr>
              <w:t>1</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(15,778,271 )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(21,582,181 )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(15,291,294 )</w:t>
            </w:r>
          </w:p>
        </w:tc>
        <w:tc>
          <w:tcPr>
            <w:tcW w:w="0" w:type="dxa"/>
            <w:vAlign w:val="bottom"/>
          </w:tcPr>
          <w:p>
            <w:pPr>
              <w:spacing w:after="0"/>
              <w:rPr>
                <w:sz w:val="1"/>
                <w:szCs w:val="1"/>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(192,104,592 )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(150,411,069 )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(96,737,137 )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-156845</wp:posOffset>
            </wp:positionV>
            <wp:extent cx="77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-156845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5715</wp:posOffset>
            </wp:positionV>
            <wp:extent cx="28886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3">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Finance income</w:t>
      </w:r>
    </w:p>
    <w:p>
      <w:pPr>
        <w:spacing w:after="0" w:line="36" w:lineRule="exact"/>
        <w:rPr>
          <w:sz w:val="20"/>
          <w:szCs w:val="20"/>
          <w:color w:val="auto"/>
        </w:rPr>
      </w:pPr>
    </w:p>
    <w:p>
      <w:pPr>
        <w:ind w:left="200" w:right="1260"/>
        <w:spacing w:after="0" w:line="266" w:lineRule="auto"/>
        <w:rPr>
          <w:sz w:val="20"/>
          <w:szCs w:val="20"/>
          <w:color w:val="auto"/>
        </w:rPr>
      </w:pPr>
      <w:r>
        <w:rPr>
          <w:rFonts w:ascii="Times New Roman" w:cs="Times New Roman" w:eastAsia="Times New Roman" w:hAnsi="Times New Roman"/>
          <w:sz w:val="18"/>
          <w:szCs w:val="18"/>
          <w:color w:val="auto"/>
        </w:rPr>
        <w:t>Interest expense on DFA* (includes amounts owed to related party $24,698,653 (2023: $13,462,160))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291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(191,842,733 )</w:t>
            </w:r>
          </w:p>
        </w:tc>
        <w:tc>
          <w:tcPr>
            <w:tcW w:w="1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(150,025,794 )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(96,538,132 )</w:t>
            </w:r>
          </w:p>
        </w:tc>
      </w:tr>
      <w:tr>
        <w:trPr>
          <w:trHeight w:val="243"/>
        </w:trPr>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3,394,726</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3,227,496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235,468</w:t>
            </w:r>
          </w:p>
        </w:tc>
      </w:tr>
      <w:tr>
        <w:trPr>
          <w:trHeight w:val="351"/>
        </w:trPr>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(30,263,042 )</w:t>
            </w:r>
          </w:p>
        </w:tc>
        <w:tc>
          <w:tcPr>
            <w:tcW w:w="1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(13,462,160 )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17" w:lineRule="exact"/>
        <w:rPr>
          <w:sz w:val="20"/>
          <w:szCs w:val="20"/>
          <w:color w:val="auto"/>
        </w:rPr>
      </w:pPr>
    </w:p>
    <w:p>
      <w:pPr>
        <w:sectPr>
          <w:pgSz w:w="11900" w:h="16838" w:orient="portrait"/>
          <w:cols w:equalWidth="0" w:num="2">
            <w:col w:w="6260" w:space="720"/>
            <w:col w:w="4260"/>
          </w:cols>
          <w:pgMar w:left="320" w:top="1413" w:right="3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remeasurement of financial liability - DFA</w:t>
            </w:r>
            <w:r>
              <w:rPr>
                <w:rFonts w:ascii="Times New Roman" w:cs="Times New Roman" w:eastAsia="Times New Roman" w:hAnsi="Times New Roman"/>
                <w:sz w:val="14"/>
                <w:szCs w:val="14"/>
                <w:color w:val="auto"/>
              </w:rPr>
              <w:t>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387,284</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12,302,160</w:t>
            </w:r>
          </w:p>
        </w:tc>
        <w:tc>
          <w:tcPr>
            <w:tcW w:w="2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loss on derivative - investor options</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(11,223,535 )</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foreign exchange (loss)/gain</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(107,001 )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(489,137 )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(2,813,993 )</w:t>
            </w:r>
          </w:p>
        </w:tc>
      </w:tr>
      <w:tr>
        <w:trPr>
          <w:trHeight w:val="20"/>
        </w:trPr>
        <w:tc>
          <w:tcPr>
            <w:tcW w:w="65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(229,654,301 )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(148,447,435 )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(99,116,657 )</w:t>
            </w: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benefit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9,412,196</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5,926,350</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6,299,286</w:t>
            </w:r>
          </w:p>
        </w:tc>
        <w:tc>
          <w:tcPr>
            <w:tcW w:w="100" w:type="dxa"/>
            <w:vAlign w:val="bottom"/>
          </w:tcPr>
          <w:p>
            <w:pPr>
              <w:spacing w:after="0"/>
              <w:rPr>
                <w:sz w:val="20"/>
                <w:szCs w:val="20"/>
                <w:color w:val="auto"/>
              </w:rPr>
            </w:pPr>
          </w:p>
        </w:tc>
      </w:tr>
      <w:tr>
        <w:trPr>
          <w:trHeight w:val="241"/>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(220,242,105 )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(142,521,085 )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(92,817,371 )</w:t>
            </w:r>
          </w:p>
        </w:tc>
      </w:tr>
      <w:tr>
        <w:trPr>
          <w:trHeight w:val="243"/>
        </w:trPr>
        <w:tc>
          <w:tcPr>
            <w:tcW w:w="658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 for the period, net of tax</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1"/>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comprehensive loss for the year</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(220,242,105 )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(142,521,085 )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(92,817,371 )</w:t>
            </w:r>
          </w:p>
        </w:tc>
      </w:tr>
      <w:tr>
        <w:trPr>
          <w:trHeight w:val="243"/>
        </w:trPr>
        <w:tc>
          <w:tcPr>
            <w:tcW w:w="658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for the year is attributable to:</w:t>
            </w:r>
          </w:p>
        </w:tc>
        <w:tc>
          <w:tcPr>
            <w:tcW w:w="1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Owners of the Company</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(220,242,105 )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(142,521,085 )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(92,817,371 )</w:t>
            </w:r>
          </w:p>
        </w:tc>
      </w:tr>
      <w:tr>
        <w:trPr>
          <w:trHeight w:val="20"/>
        </w:trPr>
        <w:tc>
          <w:tcPr>
            <w:tcW w:w="65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(220,242,105 )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(142,521,085 )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(92,817,371 )</w:t>
            </w: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comprehensive loss for the year is attributable to:</w:t>
            </w:r>
          </w:p>
        </w:tc>
        <w:tc>
          <w:tcPr>
            <w:tcW w:w="13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Owners of the Company</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(220,242,105 )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(142,521,085 )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(92,817,371 )</w:t>
            </w:r>
          </w:p>
        </w:tc>
      </w:tr>
      <w:tr>
        <w:trPr>
          <w:trHeight w:val="241"/>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loss</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(220,242,105 )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(142,521,085 )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(92,817,371 )</w:t>
            </w:r>
          </w:p>
        </w:tc>
      </w:tr>
      <w:tr>
        <w:trPr>
          <w:trHeight w:val="239"/>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per share attributable to the owners of the Company:</w:t>
            </w:r>
          </w:p>
        </w:tc>
        <w:tc>
          <w:tcPr>
            <w:tcW w:w="13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Basic and diluted loss per share (cents)</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(34.51 )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(32.20 )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(26.40 )</w:t>
            </w:r>
          </w:p>
        </w:tc>
      </w:tr>
      <w:tr>
        <w:trPr>
          <w:trHeight w:val="20"/>
        </w:trPr>
        <w:tc>
          <w:tcPr>
            <w:tcW w:w="65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Development Funding Agreement ("DFA")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above consolidated statements of profit or loss and other comprehensive income should be read in conjunction with the accompanying notes.</w:t>
      </w:r>
    </w:p>
    <w:p>
      <w:pPr>
        <w:spacing w:after="0" w:line="27" w:lineRule="exact"/>
        <w:rPr>
          <w:sz w:val="20"/>
          <w:szCs w:val="20"/>
          <w:color w:val="auto"/>
        </w:rPr>
      </w:pPr>
    </w:p>
    <w:p>
      <w:pPr>
        <w:ind w:left="180" w:hanging="172"/>
        <w:spacing w:after="0"/>
        <w:tabs>
          <w:tab w:leader="none" w:pos="1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Figures have been presented as described in Note 3</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current year, the description of this amount has been changed as described in Note 13.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2024, and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60" w:type="dxa"/>
            <w:vAlign w:val="bottom"/>
          </w:tcPr>
          <w:p>
            <w:pPr>
              <w:spacing w:after="0"/>
              <w:rPr>
                <w:sz w:val="15"/>
                <w:szCs w:val="15"/>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75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7560" w:type="dxa"/>
            <w:vAlign w:val="bottom"/>
          </w:tcPr>
          <w:p>
            <w:pPr>
              <w:spacing w:after="0"/>
              <w:rPr>
                <w:sz w:val="24"/>
                <w:szCs w:val="24"/>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2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172,471,346</w:t>
            </w:r>
          </w:p>
        </w:tc>
        <w:tc>
          <w:tcPr>
            <w:tcW w:w="3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89,188,713</w:t>
            </w: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tax receivable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10,398,039</w:t>
            </w: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5,926,350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Receivables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1,426,400</w:t>
            </w:r>
          </w:p>
        </w:tc>
        <w:tc>
          <w:tcPr>
            <w:tcW w:w="3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636,564</w:t>
            </w: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Prepayments (includes amounts owed by related parties $2,724,238 (2023: $nil))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3,896,779</w:t>
            </w:r>
          </w:p>
        </w:tc>
        <w:tc>
          <w:tcPr>
            <w:tcW w:w="30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2,634,671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188,192,564</w:t>
            </w:r>
          </w:p>
        </w:tc>
        <w:tc>
          <w:tcPr>
            <w:tcW w:w="3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98,386,298</w:t>
            </w: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47,725</w:t>
            </w:r>
          </w:p>
        </w:tc>
        <w:tc>
          <w:tcPr>
            <w:tcW w:w="3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33,035</w:t>
            </w: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84,226</w:t>
            </w: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168,451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Prepayments (includes amounts owed by related party $450,000 (2023: $nil))</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466,701</w:t>
            </w:r>
          </w:p>
        </w:tc>
        <w:tc>
          <w:tcPr>
            <w:tcW w:w="30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53,535</w:t>
            </w:r>
          </w:p>
        </w:tc>
        <w:tc>
          <w:tcPr>
            <w:tcW w:w="2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5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598,652</w:t>
            </w:r>
          </w:p>
        </w:tc>
        <w:tc>
          <w:tcPr>
            <w:tcW w:w="30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255,021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188,791,216</w:t>
            </w:r>
          </w:p>
        </w:tc>
        <w:tc>
          <w:tcPr>
            <w:tcW w:w="30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98,641,319</w:t>
            </w:r>
          </w:p>
        </w:tc>
        <w:tc>
          <w:tcPr>
            <w:tcW w:w="2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Payables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38,104,421</w:t>
            </w: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17,891,854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93,033</w:t>
            </w:r>
          </w:p>
        </w:tc>
        <w:tc>
          <w:tcPr>
            <w:tcW w:w="3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97,485</w:t>
            </w: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 financial liabilities - investor options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24,840,456</w:t>
            </w:r>
          </w:p>
        </w:tc>
        <w:tc>
          <w:tcPr>
            <w:tcW w:w="30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1,017,748</w:t>
            </w:r>
          </w:p>
        </w:tc>
        <w:tc>
          <w:tcPr>
            <w:tcW w:w="30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753,300</w:t>
            </w:r>
          </w:p>
        </w:tc>
        <w:tc>
          <w:tcPr>
            <w:tcW w:w="2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5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64,055,658</w:t>
            </w: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18,742,639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1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Financial liabilities - DFA (includes amounts due to a related party $141,554,653 (2023:</w:t>
            </w:r>
          </w:p>
        </w:tc>
        <w:tc>
          <w:tcPr>
            <w:tcW w:w="1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200,535,758</w:t>
            </w:r>
          </w:p>
        </w:tc>
        <w:tc>
          <w:tcPr>
            <w:tcW w:w="300" w:type="dxa"/>
            <w:vAlign w:val="bottom"/>
            <w:shd w:val="clear" w:color="auto" w:fill="CFF0FC"/>
          </w:tcPr>
          <w:p>
            <w:pPr>
              <w:spacing w:after="0"/>
              <w:rPr>
                <w:sz w:val="18"/>
                <w:szCs w:val="18"/>
                <w:color w:val="auto"/>
              </w:rPr>
            </w:pPr>
          </w:p>
        </w:tc>
        <w:tc>
          <w:tcPr>
            <w:tcW w:w="1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85,660,000</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756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$85,660,000))</w:t>
            </w:r>
          </w:p>
        </w:tc>
        <w:tc>
          <w:tcPr>
            <w:tcW w:w="1620" w:type="dxa"/>
            <w:vAlign w:val="bottom"/>
            <w:vMerge w:val="continue"/>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54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560" w:type="dxa"/>
            <w:vAlign w:val="bottom"/>
            <w:vMerge w:val="continue"/>
            <w:shd w:val="clear" w:color="auto" w:fill="CFF0FC"/>
          </w:tcPr>
          <w:p>
            <w:pPr>
              <w:spacing w:after="0"/>
              <w:rPr>
                <w:sz w:val="10"/>
                <w:szCs w:val="10"/>
                <w:color w:val="auto"/>
              </w:rPr>
            </w:pPr>
          </w:p>
        </w:tc>
        <w:tc>
          <w:tcPr>
            <w:tcW w:w="16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9,877</w:t>
            </w:r>
          </w:p>
        </w:tc>
        <w:tc>
          <w:tcPr>
            <w:tcW w:w="30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5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200,545,635</w:t>
            </w:r>
          </w:p>
        </w:tc>
        <w:tc>
          <w:tcPr>
            <w:tcW w:w="30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85,751,857</w:t>
            </w:r>
          </w:p>
        </w:tc>
        <w:tc>
          <w:tcPr>
            <w:tcW w:w="2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264,601,293</w:t>
            </w:r>
          </w:p>
        </w:tc>
        <w:tc>
          <w:tcPr>
            <w:tcW w:w="30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104,494,497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(75,810,077 )</w:t>
            </w:r>
          </w:p>
        </w:tc>
        <w:tc>
          <w:tcPr>
            <w:tcW w:w="1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(5,853,178 )</w:t>
            </w:r>
          </w:p>
        </w:tc>
        <w:tc>
          <w:tcPr>
            <w:tcW w:w="0" w:type="dxa"/>
            <w:vAlign w:val="bottom"/>
          </w:tcPr>
          <w:p>
            <w:pPr>
              <w:spacing w:after="0"/>
              <w:rPr>
                <w:sz w:val="1"/>
                <w:szCs w:val="1"/>
                <w:color w:val="auto"/>
              </w:rPr>
            </w:pPr>
          </w:p>
        </w:tc>
      </w:tr>
      <w:tr>
        <w:trPr>
          <w:trHeight w:val="221"/>
        </w:trPr>
        <w:tc>
          <w:tcPr>
            <w:tcW w:w="7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2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Contributed equity</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466,084,145</w:t>
            </w:r>
          </w:p>
        </w:tc>
        <w:tc>
          <w:tcPr>
            <w:tcW w:w="3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320,883,552</w:t>
            </w: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Loss</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(579,704,543 )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(359,462,438 )</w:t>
            </w:r>
          </w:p>
        </w:tc>
        <w:tc>
          <w:tcPr>
            <w:tcW w:w="0" w:type="dxa"/>
            <w:vAlign w:val="bottom"/>
          </w:tcPr>
          <w:p>
            <w:pPr>
              <w:spacing w:after="0"/>
              <w:rPr>
                <w:sz w:val="1"/>
                <w:szCs w:val="1"/>
                <w:color w:val="auto"/>
              </w:rPr>
            </w:pPr>
          </w:p>
        </w:tc>
      </w:tr>
      <w:tr>
        <w:trPr>
          <w:trHeight w:val="243"/>
        </w:trPr>
        <w:tc>
          <w:tcPr>
            <w:tcW w:w="7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Reserves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37,810,321</w:t>
            </w:r>
          </w:p>
        </w:tc>
        <w:tc>
          <w:tcPr>
            <w:tcW w:w="30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32,725,708</w:t>
            </w:r>
          </w:p>
        </w:tc>
        <w:tc>
          <w:tcPr>
            <w:tcW w:w="2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5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(75,810,077 )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(5,853,178 )</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-3496945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-3496945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-3171190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-3171190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-2236470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-2236470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-1156970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-1156970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-831215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-814070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-831215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-814070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-187960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-187960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above consolidated statements of financial position should be read in conjunction with the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Years ended June 30, 2024, and 2023, and 2022</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40" w:type="dxa"/>
            <w:vAlign w:val="bottom"/>
          </w:tcPr>
          <w:p>
            <w:pPr>
              <w:spacing w:after="0"/>
              <w:rPr>
                <w:sz w:val="15"/>
                <w:szCs w:val="15"/>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2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FX translation</w:t>
            </w: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4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payment</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2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200" w:type="dxa"/>
            <w:vAlign w:val="bottom"/>
          </w:tcPr>
          <w:p>
            <w:pPr>
              <w:spacing w:after="0"/>
              <w:rPr>
                <w:sz w:val="12"/>
                <w:szCs w:val="12"/>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2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2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at June 30, 2021</w:t>
            </w:r>
          </w:p>
        </w:tc>
        <w:tc>
          <w:tcPr>
            <w:tcW w:w="10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234,147,526</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4,087,650</w:t>
            </w: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1,085,411</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20,089,163</w:t>
            </w:r>
          </w:p>
        </w:tc>
        <w:tc>
          <w:tcPr>
            <w:tcW w:w="2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(124,123,982 )</w:t>
            </w:r>
          </w:p>
        </w:tc>
        <w:tc>
          <w:tcPr>
            <w:tcW w:w="120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135,285,768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Net loss for the year</w:t>
            </w: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0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0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14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(92,817,371 )</w:t>
            </w:r>
          </w:p>
        </w:tc>
        <w:tc>
          <w:tcPr>
            <w:tcW w:w="1300" w:type="dxa"/>
            <w:vAlign w:val="bottom"/>
            <w:gridSpan w:val="3"/>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(92,817,371 )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Comprehensive income and expense for the period</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(92,817,371 )</w:t>
            </w:r>
          </w:p>
        </w:tc>
        <w:tc>
          <w:tcPr>
            <w:tcW w:w="13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(92,817,371 )</w:t>
            </w:r>
          </w:p>
        </w:tc>
        <w:tc>
          <w:tcPr>
            <w:tcW w:w="0" w:type="dxa"/>
            <w:vAlign w:val="bottom"/>
          </w:tcPr>
          <w:p>
            <w:pPr>
              <w:spacing w:after="0"/>
              <w:rPr>
                <w:sz w:val="1"/>
                <w:szCs w:val="1"/>
                <w:color w:val="auto"/>
              </w:rPr>
            </w:pPr>
          </w:p>
        </w:tc>
      </w:tr>
      <w:tr>
        <w:trPr>
          <w:trHeight w:val="176"/>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options granted under LTIP and NED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1,129,691</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(872,516 )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257,175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Recognition of share-based payment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5,251,572</w:t>
            </w:r>
          </w:p>
        </w:tc>
        <w:tc>
          <w:tcPr>
            <w:tcW w:w="2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5,251,572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at June 30, 2022</w:t>
            </w:r>
          </w:p>
        </w:tc>
        <w:tc>
          <w:tcPr>
            <w:tcW w:w="10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235,277,217</w:t>
            </w:r>
          </w:p>
        </w:tc>
        <w:tc>
          <w:tcPr>
            <w:tcW w:w="13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8,466,706</w:t>
            </w:r>
          </w:p>
        </w:tc>
        <w:tc>
          <w:tcPr>
            <w:tcW w:w="220" w:type="dxa"/>
            <w:vAlign w:val="bottom"/>
          </w:tcPr>
          <w:p>
            <w:pPr>
              <w:spacing w:after="0"/>
              <w:rPr>
                <w:sz w:val="14"/>
                <w:szCs w:val="14"/>
                <w:color w:val="auto"/>
              </w:rPr>
            </w:pPr>
          </w:p>
        </w:tc>
        <w:tc>
          <w:tcPr>
            <w:tcW w:w="10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1,085,411</w:t>
            </w:r>
          </w:p>
        </w:tc>
        <w:tc>
          <w:tcPr>
            <w:tcW w:w="12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20,089,163</w:t>
            </w:r>
          </w:p>
        </w:tc>
        <w:tc>
          <w:tcPr>
            <w:tcW w:w="1340" w:type="dxa"/>
            <w:vAlign w:val="bottom"/>
            <w:gridSpan w:val="3"/>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(216,941,353 )</w:t>
            </w:r>
          </w:p>
        </w:tc>
        <w:tc>
          <w:tcPr>
            <w:tcW w:w="12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47,977,144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Net loss for the year</w:t>
            </w:r>
          </w:p>
        </w:tc>
        <w:tc>
          <w:tcPr>
            <w:tcW w:w="10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(142,521,085 )</w:t>
            </w:r>
          </w:p>
        </w:tc>
        <w:tc>
          <w:tcPr>
            <w:tcW w:w="1300" w:type="dxa"/>
            <w:vAlign w:val="bottom"/>
            <w:gridSpan w:val="3"/>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(142,521,085 )</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and expense for the period</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(142,521,085 )</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(142,521,085 )</w:t>
            </w:r>
          </w:p>
        </w:tc>
        <w:tc>
          <w:tcPr>
            <w:tcW w:w="0" w:type="dxa"/>
            <w:vAlign w:val="bottom"/>
          </w:tcPr>
          <w:p>
            <w:pPr>
              <w:spacing w:after="0"/>
              <w:rPr>
                <w:sz w:val="1"/>
                <w:szCs w:val="1"/>
                <w:color w:val="auto"/>
              </w:rPr>
            </w:pPr>
          </w:p>
        </w:tc>
      </w:tr>
      <w:tr>
        <w:trPr>
          <w:trHeight w:val="17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ordinary shares net of issuance costs $4,531,040</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81,815,357</w:t>
            </w: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81,815,357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options granted under LTIP and NED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3,790,978</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(2,750,258 )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1,040,720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Recognition of share-based payment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5,834,686</w:t>
            </w:r>
          </w:p>
        </w:tc>
        <w:tc>
          <w:tcPr>
            <w:tcW w:w="2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5,834,686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10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320,883,552</w:t>
            </w:r>
          </w:p>
        </w:tc>
        <w:tc>
          <w:tcPr>
            <w:tcW w:w="13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11,551,134</w:t>
            </w:r>
          </w:p>
        </w:tc>
        <w:tc>
          <w:tcPr>
            <w:tcW w:w="220" w:type="dxa"/>
            <w:vAlign w:val="bottom"/>
          </w:tcPr>
          <w:p>
            <w:pPr>
              <w:spacing w:after="0"/>
              <w:rPr>
                <w:sz w:val="14"/>
                <w:szCs w:val="14"/>
                <w:color w:val="auto"/>
              </w:rPr>
            </w:pPr>
          </w:p>
        </w:tc>
        <w:tc>
          <w:tcPr>
            <w:tcW w:w="10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1,085,411</w:t>
            </w:r>
          </w:p>
        </w:tc>
        <w:tc>
          <w:tcPr>
            <w:tcW w:w="12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20,089,163</w:t>
            </w:r>
          </w:p>
        </w:tc>
        <w:tc>
          <w:tcPr>
            <w:tcW w:w="1340" w:type="dxa"/>
            <w:vAlign w:val="bottom"/>
            <w:gridSpan w:val="3"/>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(359,462,438 )</w:t>
            </w:r>
          </w:p>
        </w:tc>
        <w:tc>
          <w:tcPr>
            <w:tcW w:w="1300" w:type="dxa"/>
            <w:vAlign w:val="bottom"/>
            <w:gridSpan w:val="3"/>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(5,853,178 )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Net loss for the year</w:t>
            </w:r>
          </w:p>
        </w:tc>
        <w:tc>
          <w:tcPr>
            <w:tcW w:w="10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(220,242,105 )</w:t>
            </w:r>
          </w:p>
        </w:tc>
        <w:tc>
          <w:tcPr>
            <w:tcW w:w="1300" w:type="dxa"/>
            <w:vAlign w:val="bottom"/>
            <w:gridSpan w:val="3"/>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(220,242,105 )</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and expense for the period</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(220,242,105 )</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(220,242,105 )</w:t>
            </w:r>
          </w:p>
        </w:tc>
        <w:tc>
          <w:tcPr>
            <w:tcW w:w="0" w:type="dxa"/>
            <w:vAlign w:val="bottom"/>
          </w:tcPr>
          <w:p>
            <w:pPr>
              <w:spacing w:after="0"/>
              <w:rPr>
                <w:sz w:val="1"/>
                <w:szCs w:val="1"/>
                <w:color w:val="auto"/>
              </w:rPr>
            </w:pPr>
          </w:p>
        </w:tc>
      </w:tr>
      <w:tr>
        <w:trPr>
          <w:trHeight w:val="139"/>
        </w:trPr>
        <w:tc>
          <w:tcPr>
            <w:tcW w:w="37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in September 2023 net of issuance</w:t>
            </w: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costs $4,764,890 (includes issuance costs paid to related party</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50,273,023</w:t>
            </w:r>
          </w:p>
        </w:tc>
        <w:tc>
          <w:tcPr>
            <w:tcW w:w="240" w:type="dxa"/>
            <w:vAlign w:val="bottom"/>
            <w:shd w:val="clear" w:color="auto" w:fill="CFF0FC"/>
          </w:tcPr>
          <w:p>
            <w:pPr>
              <w:spacing w:after="0"/>
              <w:rPr>
                <w:sz w:val="12"/>
                <w:szCs w:val="12"/>
                <w:color w:val="auto"/>
              </w:rPr>
            </w:pPr>
          </w:p>
        </w:tc>
        <w:tc>
          <w:tcPr>
            <w:tcW w:w="12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50,273,023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of $125,000)</w:t>
            </w:r>
          </w:p>
        </w:tc>
        <w:tc>
          <w:tcPr>
            <w:tcW w:w="10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80" w:type="dxa"/>
            <w:vAlign w:val="bottom"/>
            <w:gridSpan w:val="2"/>
            <w:vMerge w:val="continue"/>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gridSpan w:val="2"/>
            <w:vMerge w:val="continue"/>
            <w:shd w:val="clear" w:color="auto" w:fill="CFF0FC"/>
          </w:tcPr>
          <w:p>
            <w:pPr>
              <w:spacing w:after="0"/>
              <w:rPr>
                <w:sz w:val="16"/>
                <w:szCs w:val="16"/>
                <w:color w:val="auto"/>
              </w:rPr>
            </w:pPr>
          </w:p>
        </w:tc>
        <w:tc>
          <w:tcPr>
            <w:tcW w:w="12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7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in June 2024 net of issuance cost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94,926,676</w:t>
            </w:r>
          </w:p>
        </w:tc>
        <w:tc>
          <w:tcPr>
            <w:tcW w:w="240" w:type="dxa"/>
            <w:vAlign w:val="bottom"/>
          </w:tcPr>
          <w:p>
            <w:pPr>
              <w:spacing w:after="0"/>
              <w:rPr>
                <w:sz w:val="12"/>
                <w:szCs w:val="12"/>
                <w:color w:val="auto"/>
              </w:rPr>
            </w:pPr>
          </w:p>
        </w:tc>
        <w:tc>
          <w:tcPr>
            <w:tcW w:w="12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94,926,676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$8,903,734</w:t>
            </w:r>
          </w:p>
        </w:tc>
        <w:tc>
          <w:tcPr>
            <w:tcW w:w="10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Exercise of options investor options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Recognition of share-based payment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5,084,613</w:t>
            </w: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5,084,613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0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466,084,145</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16,635,747</w:t>
            </w: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1,085,411</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20,089,163</w:t>
            </w:r>
          </w:p>
        </w:tc>
        <w:tc>
          <w:tcPr>
            <w:tcW w:w="2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(579,704,543 )</w:t>
            </w:r>
          </w:p>
        </w:tc>
        <w:tc>
          <w:tcPr>
            <w:tcW w:w="1300" w:type="dxa"/>
            <w:vAlign w:val="bottom"/>
            <w:gridSpan w:val="3"/>
            <w:shd w:val="clear" w:color="auto" w:fill="CFF0FC"/>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(75,810,077 )</w:t>
            </w: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-2442210</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-2425065</wp:posOffset>
            </wp:positionV>
            <wp:extent cx="7747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-2442210</wp:posOffset>
            </wp:positionV>
            <wp:extent cx="774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-2425065</wp:posOffset>
            </wp:positionV>
            <wp:extent cx="774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-2442210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-2425065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-2442210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-2425065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-2442210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-2425065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-2442210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-1962150</wp:posOffset>
            </wp:positionV>
            <wp:extent cx="774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-1962150</wp:posOffset>
            </wp:positionV>
            <wp:extent cx="774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-1962150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-1962150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-1962150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-1704975</wp:posOffset>
            </wp:positionV>
            <wp:extent cx="774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-1704975</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-1704975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-1704975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-1704975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-1250950</wp:posOffset>
            </wp:positionV>
            <wp:extent cx="774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-1250950</wp:posOffset>
            </wp:positionV>
            <wp:extent cx="774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-1250950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-1250950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-1250950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-993775</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-993775</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-993775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-993775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-993775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-24765</wp:posOffset>
            </wp:positionV>
            <wp:extent cx="7747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-7620</wp:posOffset>
            </wp:positionV>
            <wp:extent cx="774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7747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774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above consolidated statements of change in equity should be read in conjunction with the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June 30, 2024, and 2023, and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0"/>
        </w:trPr>
        <w:tc>
          <w:tcPr>
            <w:tcW w:w="6580" w:type="dxa"/>
            <w:vAlign w:val="bottom"/>
          </w:tcPr>
          <w:p>
            <w:pPr>
              <w:spacing w:after="0"/>
              <w:rPr>
                <w:sz w:val="16"/>
                <w:szCs w:val="16"/>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6"/>
                <w:szCs w:val="16"/>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348"/>
        </w:trPr>
        <w:tc>
          <w:tcPr>
            <w:tcW w:w="6580" w:type="dxa"/>
            <w:vAlign w:val="bottom"/>
          </w:tcPr>
          <w:p>
            <w:pPr>
              <w:spacing w:after="0"/>
              <w:rPr>
                <w:sz w:val="24"/>
                <w:szCs w:val="24"/>
                <w:color w:val="auto"/>
              </w:rPr>
            </w:pP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US$</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3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Cashflow from operating activities</w:t>
            </w:r>
          </w:p>
        </w:tc>
        <w:tc>
          <w:tcPr>
            <w:tcW w:w="13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3,276,909</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3,121,594</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216,422</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 and license income received</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209,487</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90,683</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and other income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137,193</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276,869</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455,807</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of lease interest</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(5,660 )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(17,148 )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(5,920 )</w:t>
            </w:r>
          </w:p>
        </w:tc>
      </w:tr>
      <w:tr>
        <w:trPr>
          <w:trHeight w:val="211"/>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to suppliers, employees and for research &amp; development and intellectual</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costs (inclusive of GST)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(170,559,633 )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(130,292,806 )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(77,064,842 )</w:t>
            </w:r>
          </w:p>
        </w:tc>
      </w:tr>
      <w:tr>
        <w:trPr>
          <w:trHeight w:val="245"/>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incentive scheme credit received</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5,926,350</w:t>
            </w: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6,299,286</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4,972,898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(161,015,354 )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(120,608,379 )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(71,334,952 )</w:t>
            </w:r>
          </w:p>
        </w:tc>
      </w:tr>
      <w:tr>
        <w:trPr>
          <w:trHeight w:val="241"/>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13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plant and equipment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(33,489 )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(21,954 )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(16,910 )</w:t>
            </w:r>
          </w:p>
        </w:tc>
      </w:tr>
      <w:tr>
        <w:trPr>
          <w:trHeight w:val="20"/>
        </w:trPr>
        <w:tc>
          <w:tcPr>
            <w:tcW w:w="65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(33,489 )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(21,954 )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(16,910 )</w:t>
            </w:r>
          </w:p>
        </w:tc>
      </w:tr>
      <w:tr>
        <w:trPr>
          <w:trHeight w:val="239"/>
        </w:trPr>
        <w:tc>
          <w:tcPr>
            <w:tcW w:w="6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(88,679 )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(70,966 )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(85,578 )</w:t>
            </w: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on issue of shares, net of issuance costs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158,817,514</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81,815,358</w:t>
            </w:r>
          </w:p>
        </w:tc>
        <w:tc>
          <w:tcPr>
            <w:tcW w:w="2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proceeds from DFA</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85,000,000</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84,500,000</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received for ordinary shares issued on exercise of options</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1,040,718</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257,175</w:t>
            </w:r>
          </w:p>
        </w:tc>
        <w:tc>
          <w:tcPr>
            <w:tcW w:w="100" w:type="dxa"/>
            <w:vAlign w:val="bottom"/>
          </w:tcPr>
          <w:p>
            <w:pPr>
              <w:spacing w:after="0"/>
              <w:rPr>
                <w:sz w:val="20"/>
                <w:szCs w:val="20"/>
                <w:color w:val="auto"/>
              </w:rPr>
            </w:pPr>
          </w:p>
        </w:tc>
      </w:tr>
      <w:tr>
        <w:trPr>
          <w:trHeight w:val="236"/>
        </w:trPr>
        <w:tc>
          <w:tcPr>
            <w:tcW w:w="65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243,728,835</w:t>
            </w:r>
          </w:p>
        </w:tc>
        <w:tc>
          <w:tcPr>
            <w:tcW w:w="2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167,285,110</w:t>
            </w: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82,679,992</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46,654,777</w:t>
            </w:r>
          </w:p>
        </w:tc>
        <w:tc>
          <w:tcPr>
            <w:tcW w:w="20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(71,180,265 )</w:t>
            </w: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the balance of cash held in foreign currencies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602,641</w:t>
            </w:r>
          </w:p>
        </w:tc>
        <w:tc>
          <w:tcPr>
            <w:tcW w:w="2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(2,097,357 )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(2,381,619 )</w:t>
            </w: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89,188,713</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44,631,293</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118,193,177</w:t>
            </w:r>
          </w:p>
        </w:tc>
        <w:tc>
          <w:tcPr>
            <w:tcW w:w="100" w:type="dxa"/>
            <w:vAlign w:val="bottom"/>
          </w:tcPr>
          <w:p>
            <w:pPr>
              <w:spacing w:after="0"/>
              <w:rPr>
                <w:sz w:val="20"/>
                <w:szCs w:val="20"/>
                <w:color w:val="auto"/>
              </w:rPr>
            </w:pPr>
          </w:p>
        </w:tc>
      </w:tr>
      <w:tr>
        <w:trPr>
          <w:trHeight w:val="281"/>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172,471,346</w:t>
            </w:r>
          </w:p>
        </w:tc>
        <w:tc>
          <w:tcPr>
            <w:tcW w:w="24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89,188,713</w:t>
            </w:r>
          </w:p>
        </w:tc>
        <w:tc>
          <w:tcPr>
            <w:tcW w:w="20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44,631,293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-2245360</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-2245360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-1602740</wp:posOffset>
            </wp:positionV>
            <wp:extent cx="7747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-1602740</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-1602740</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-659130</wp:posOffset>
            </wp:positionV>
            <wp:extent cx="774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-659130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774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above consolidated statements of cash flows should be read in conjunction with the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Reporting Entity</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Opthea Limited (the Company) is a listed public company incorporated in Australia. The address of its registered office and principal place of business is: Suite 0403, Level 4, 650 Chapel Street, South Yarra, VIC 3141, Australia. These consolidated financial statements comprise the Company and its subsidiaries (together referred to as the Group). The Group’s principal activity is the development of new drugs for the treatment of eye diseases.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Accounting</w:t>
      </w:r>
    </w:p>
    <w:p>
      <w:pPr>
        <w:spacing w:after="0" w:line="22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These financial statements are general purpose financial statements which have been prepared in accordance with International Financial Reporting Standards (“or IFRS Accounting Standards”) as issued by the International Accounting Standards Board (the “IASB”).</w:t>
      </w:r>
    </w:p>
    <w:p>
      <w:pPr>
        <w:spacing w:after="0" w:line="162" w:lineRule="exact"/>
        <w:rPr>
          <w:sz w:val="20"/>
          <w:szCs w:val="20"/>
          <w:color w:val="auto"/>
        </w:rPr>
      </w:pPr>
    </w:p>
    <w:p>
      <w:pPr>
        <w:jc w:val="both"/>
        <w:ind w:right="20" w:firstLine="374"/>
        <w:spacing w:after="0" w:line="239" w:lineRule="exact"/>
        <w:rPr>
          <w:sz w:val="20"/>
          <w:szCs w:val="20"/>
          <w:color w:val="auto"/>
        </w:rPr>
      </w:pPr>
      <w:r>
        <w:rPr>
          <w:rFonts w:ascii="Times New Roman" w:cs="Times New Roman" w:eastAsia="Times New Roman" w:hAnsi="Times New Roman"/>
          <w:sz w:val="18"/>
          <w:szCs w:val="18"/>
          <w:color w:val="auto"/>
        </w:rPr>
        <w:t>The financial statements comprise the consolidated financial statements of the Group. For the purposes of preparing the consolidated financial statements, the Company is a 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profit entity.</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financial statements were authorized for issue by the directors on August 30,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the going concern basis, which contemplates continuity of normal activities and realization of assets and settlement of liabilities in the normal course of business.</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For the full year ended June 30, 2024, the Group incurred a loss after income tax of $220,242,105 (2023: $142,521,085), and had net cash outflows from operating activities of $161,015,354 (2023: $120,608,379). As of June 30, 2024, the Group had cash and cash equivalents of $172,471,346 (June 2023: $89,188,713), net current assets of $124,136,906 (June 2023: $79,643,659), and was in a net liability position of $75,810,077 (June 2023: net liability $5,853,178).</w:t>
      </w:r>
    </w:p>
    <w:p>
      <w:pPr>
        <w:spacing w:after="0" w:line="1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Group expects that the cash on hand at June 30, 2024 of $172.5 million, along with net proceeds from the Retail Entitlement Offer which closed in July 2024, will be able to fund its operations into the third calendar quarter of 2025 and that such proceeds will also be sufficient to fully fund all anticipated costs of the Phase 3 clinical trials to 52-week top-line data, expected in early second quarter calendar year 2025 for COAST and in mid-calendar year 2025 for ShORe trial. While sufficient funds are available into the third calendar quarter of 2025, the Group will need to raise significant additional funds to complete both trials’ two-year efficacy and safety phase, file a biologics license application with the FDA and EMA, potentially launch sozinibercept, if approved, and meet the obligations under the Amended and Restated Development Funding Agreement (“DFA”). As the Group is still in the research and development phase, the ability of the Group to continue its development activities as a going concern is dependent on it deriving sufficient cash from debt and equity investors.</w:t>
      </w:r>
    </w:p>
    <w:p>
      <w:pPr>
        <w:spacing w:after="0" w:line="19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 does not have any committed external source of funds and expects to finance future cash needs through the exercise of outstanding registered investor options, public or private equity financings, or potential collaborations within select regions such as the U.S., E.U., Australia, or rest of world markets, to leverage greater market exposure and to commercialize sozinibercept for wet AMD.</w:t>
      </w:r>
    </w:p>
    <w:p>
      <w:pPr>
        <w:spacing w:after="0" w:line="17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 part of both equity financings in August/September 2023 and June/July 2024, investors in these equity capital raises received investor options ("Investor Options"). These Investor Options are registered and trade on the Australian Securities Exchange ("ASX"). Currently on issue are approximately 97.8 million 2023 Investor Options with an exercise price of A$0.80 and an expiry of August 31, 2025, and approximately 189.4 million 2024 Investor Options with an exercise price of A$1.00 and an expiry of June 30, 2026. Option holders can exercise their options and pay the cash proceeds to Opthea to secure their ordinary shares at any time before expiry. Assuming the holders exercise all their options, Opthea will receive approximately $50.9 million and $123.1 million in gross cash proceeds from the 2023 and 2024 Investor Options, applying current foreign exchange rates between the period 30 August 2024 to 30 June 2026.These options are considered uncommitted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funding at the date of the approval of these financial statements. Refer to Note 14 and 25 for details of how Investor Options are accounted for.</w:t>
      </w:r>
    </w:p>
    <w:p>
      <w:pPr>
        <w:spacing w:after="0" w:line="22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Opthea has a US$350.0 million shelf of American Depositary Shares ("ADS") on file with the Securities and Exchange Commission ("SEC") which it can draw upon in the U.S. market until its expiry in February 2025. Under this shelf, Opthea may offer and sell up to US$75.0 million of its ordinary shares in the form of ADSs through Jefferies, with each ADS representing eight ordinary shares (the "At the Market Program" or "ATM Program"). Opthea has not sold any ordinary shares under the ATM Program and the ability to raise capital under this program is subject to market conditions and is not guaranteed.</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243F60"/>
        </w:rPr>
        <w:t xml:space="preserve">The DFA contains terms that require compliance by the Company to maintain a minimum cash balance and to provide a notice to the DFA Investors in the event it </w:t>
      </w:r>
      <w:r>
        <w:rPr>
          <w:rFonts w:ascii="Times New Roman" w:cs="Times New Roman" w:eastAsia="Times New Roman" w:hAnsi="Times New Roman"/>
          <w:sz w:val="18"/>
          <w:szCs w:val="18"/>
          <w:color w:val="000000"/>
        </w:rPr>
        <w:t>anticipates that it may not meet the requirement. Under such a notification, the DFA investors have the option, but not the obligation, to</w:t>
      </w:r>
      <w:r>
        <w:rPr>
          <w:rFonts w:ascii="Times New Roman" w:cs="Times New Roman" w:eastAsia="Times New Roman" w:hAnsi="Times New Roman"/>
          <w:sz w:val="18"/>
          <w:szCs w:val="18"/>
          <w:color w:val="243F60"/>
        </w:rPr>
        <w:t xml:space="preserve"> </w:t>
      </w:r>
      <w:r>
        <w:rPr>
          <w:rFonts w:ascii="Times New Roman" w:cs="Times New Roman" w:eastAsia="Times New Roman" w:hAnsi="Times New Roman"/>
          <w:sz w:val="18"/>
          <w:szCs w:val="18"/>
          <w:color w:val="000000"/>
        </w:rPr>
        <w:t>contribute additional funds under the existing DFA terms if the Group cannot sufficiently raise capital in a timely manner. Based on the cash flow forecast and in the absence of any capital raises or other sources of funding, the Group is expected to be below this requirement prior to the third calendar quarter 2025 and would therefore trigger a notification to the DFA Investors.</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certain instances which may result upon the termination of the DFA, the Group will be obligated to pay the DFA investors several multiples of the amounts paid to the Group under the DFA. At 30 June 2024, the Group remains in compliance with the DFA and no such instances have occurred or are expected to occur.</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Directors and management have considered the cash flow forecasts including the funding requirements of the business. They have also considered the Group's key risks and uncertainties affecting the likely development of the business, as well as the progress of the clinical trials. On February 14, 2024, the Group announced that it had completed enrollment of the COAST Phase 3 trial, and completion of enrollment of the ShORe Phase 3 trial was announced on May 28, 2024. The completion of the enrollments of these trials was a critical milestone in the Company's plans to commercialize sozinibercept for wet AMD.</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While the Group can manage the timing of expected future cash outflows, any material changes to the Group's forecasts may impact the progress of the clinical trials and the timing of regulatory approval. The Group has a history of successfully raising capital to fund its ongoing operations, including a US$58.2 million private placement and rights equity offering in August/ September of 2023, securing the additional US$50.0 million option under the Amended DFA in December 2023, and a US$151.9 million private placement and rights equity offering in June/July of 2024 (of which US$114.3 million was received prior to 30 June 2024).</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Based on this assessment, the Directors and management believe that the Group has adequate funding between its existing funds and the funds it is reasonably likely able to raise to continue normal activities, realize its assets, and settle its liabilities in the normal course of business. Accordingly, the directors have prepared the consolidated financial statements on the going concern basis.</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There is no guarantee that sufficient funds will be able to be raised to finance operations for twelve months from the issuance of these consolidated financial statements. Therefore, a material uncertainty exists that may cast significant doubt as to whether the Group will continue as a going concern and, therefore, that it may be unable to realize its assets and discharge its liabilities in the normal course of business.</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financial statements do not include any adjustments related to the recoverability and classification of recorded asset amounts or to the amounts and classification of liabilities that might be necessary should the Group not continue as a going concern.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Accounting Policies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consolidated financial statements have been prepared using the material accounting policies and measurement bases summarized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measurement</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a historical cost basis, except for certain financial liabilities, which have been measured at fair value. All amounts are presented in United States dollars unless otherwise stated.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Presentation</w:t>
      </w:r>
    </w:p>
    <w:p>
      <w:pPr>
        <w:spacing w:after="0" w:line="227" w:lineRule="exact"/>
        <w:rPr>
          <w:sz w:val="20"/>
          <w:szCs w:val="20"/>
          <w:color w:val="auto"/>
        </w:rPr>
      </w:pPr>
    </w:p>
    <w:p>
      <w:pPr>
        <w:ind w:left="360" w:hanging="352"/>
        <w:spacing w:after="0"/>
        <w:tabs>
          <w:tab w:leader="none" w:pos="360" w:val="left"/>
        </w:tabs>
        <w:numPr>
          <w:ilvl w:val="0"/>
          <w:numId w:val="92"/>
        </w:numPr>
        <w:rPr>
          <w:rFonts w:ascii="Times New Roman" w:cs="Times New Roman" w:eastAsia="Times New Roman" w:hAnsi="Times New Roman"/>
          <w:sz w:val="18"/>
          <w:szCs w:val="18"/>
          <w:b w:val="1"/>
          <w:bCs w:val="1"/>
          <w:i w:val="1"/>
          <w:iCs w:val="1"/>
          <w:color w:val="162B75"/>
        </w:rPr>
      </w:pPr>
      <w:r>
        <w:rPr>
          <w:rFonts w:ascii="Times New Roman" w:cs="Times New Roman" w:eastAsia="Times New Roman" w:hAnsi="Times New Roman"/>
          <w:sz w:val="18"/>
          <w:szCs w:val="18"/>
          <w:i w:val="1"/>
          <w:iCs w:val="1"/>
          <w:color w:val="auto"/>
        </w:rPr>
        <w:t>Research and Development and Administrative expenses</w:t>
      </w:r>
    </w:p>
    <w:p>
      <w:pPr>
        <w:spacing w:after="0" w:line="22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the current financial year the Group changed its presentation in the consolidated statement of profit or loss and other comprehensive income to reflect expenses by business function. As part of this change, it was identified that certain insurance and employee costs should be reclassified from Administration expenses to Research and Development expenses to better reflect the full nature of the Research and Development expenses. These adjustments represent reclassifications within operating expenses and had no effect on the operating loss and total loss for the year. Prior year comparative amounts have been reclassified which resulted in $8 million of expenses being reclassified from Administration expenses to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0" w:hanging="352"/>
        <w:spacing w:after="0"/>
        <w:tabs>
          <w:tab w:leader="none" w:pos="360" w:val="left"/>
        </w:tabs>
        <w:numPr>
          <w:ilvl w:val="0"/>
          <w:numId w:val="9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Adjustment of 31 December 2023 derivative financial liability</w:t>
      </w:r>
    </w:p>
    <w:p>
      <w:pPr>
        <w:spacing w:after="0" w:line="106" w:lineRule="exact"/>
        <w:rPr>
          <w:sz w:val="20"/>
          <w:szCs w:val="20"/>
          <w:color w:val="auto"/>
        </w:rPr>
      </w:pPr>
    </w:p>
    <w:p>
      <w:pPr>
        <w:ind w:left="120" w:right="480" w:firstLine="629"/>
        <w:spacing w:after="0" w:line="276" w:lineRule="auto"/>
        <w:rPr>
          <w:sz w:val="20"/>
          <w:szCs w:val="20"/>
          <w:color w:val="auto"/>
        </w:rPr>
      </w:pPr>
      <w:r>
        <w:rPr>
          <w:rFonts w:ascii="Times New Roman" w:cs="Times New Roman" w:eastAsia="Times New Roman" w:hAnsi="Times New Roman"/>
          <w:sz w:val="17"/>
          <w:szCs w:val="17"/>
          <w:color w:val="auto"/>
        </w:rPr>
        <w:t>Subsequent to the issuance of the Company’s 31 December 2023 condensed consolidated interim financial statements furnished through a 6-K on February 29, 2024, the Company determined that a $3.2 million adjustment to contributed equity, $5.6 million Fair value loss on derivatives</w:t>
      </w:r>
    </w:p>
    <w:p>
      <w:pPr>
        <w:spacing w:after="0" w:line="1" w:lineRule="exact"/>
        <w:rPr>
          <w:sz w:val="20"/>
          <w:szCs w:val="20"/>
          <w:color w:val="auto"/>
        </w:rPr>
      </w:pPr>
    </w:p>
    <w:p>
      <w:pPr>
        <w:ind w:left="120" w:right="600"/>
        <w:spacing w:after="0" w:line="253" w:lineRule="auto"/>
        <w:rPr>
          <w:sz w:val="20"/>
          <w:szCs w:val="20"/>
          <w:color w:val="auto"/>
        </w:rPr>
      </w:pPr>
      <w:r>
        <w:rPr>
          <w:rFonts w:ascii="Times New Roman" w:cs="Times New Roman" w:eastAsia="Times New Roman" w:hAnsi="Times New Roman"/>
          <w:sz w:val="18"/>
          <w:szCs w:val="18"/>
          <w:color w:val="auto"/>
        </w:rPr>
        <w:t>– investor options and a corresponding financial liability of $8.7 million relating to Investor options issued in September 2023 were improperly excluded from the condensed consolidated interim financial statements as of and for the six-month period ended 31 December 2023. The below table reflects the impact of the adjustment on key statement of profit and loss and other comprehensive income and statement of financial position line items. We will reflect these adjustments in the comparatives included in the 31 December 2024 condensed consolidated interim financial statements at the time such financial statements are issued.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60" w:type="dxa"/>
            <w:vAlign w:val="bottom"/>
          </w:tcPr>
          <w:p>
            <w:pPr>
              <w:spacing w:after="0"/>
              <w:rPr>
                <w:sz w:val="17"/>
                <w:szCs w:val="17"/>
                <w:color w:val="auto"/>
              </w:rPr>
            </w:pPr>
          </w:p>
        </w:tc>
        <w:tc>
          <w:tcPr>
            <w:tcW w:w="322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As previously reported -</w:t>
            </w: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22"/>
        </w:trPr>
        <w:tc>
          <w:tcPr>
            <w:tcW w:w="4660" w:type="dxa"/>
            <w:vAlign w:val="bottom"/>
          </w:tcPr>
          <w:p>
            <w:pPr>
              <w:spacing w:after="0"/>
              <w:rPr>
                <w:sz w:val="19"/>
                <w:szCs w:val="19"/>
                <w:color w:val="auto"/>
              </w:rPr>
            </w:pPr>
          </w:p>
        </w:tc>
        <w:tc>
          <w:tcPr>
            <w:tcW w:w="322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As adjusted</w:t>
            </w:r>
          </w:p>
        </w:tc>
      </w:tr>
      <w:tr>
        <w:trPr>
          <w:trHeight w:val="253"/>
        </w:trPr>
        <w:tc>
          <w:tcPr>
            <w:tcW w:w="4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Fair value loss on derivatives - investor options</w:t>
            </w:r>
          </w:p>
        </w:tc>
        <w:tc>
          <w:tcPr>
            <w:tcW w:w="3220" w:type="dxa"/>
            <w:vAlign w:val="bottom"/>
            <w:shd w:val="clear" w:color="auto" w:fill="CFF0FC"/>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ind w:right="471"/>
              <w:spacing w:after="0"/>
              <w:rPr>
                <w:sz w:val="20"/>
                <w:szCs w:val="20"/>
                <w:color w:val="auto"/>
              </w:rPr>
            </w:pPr>
            <w:r>
              <w:rPr>
                <w:rFonts w:ascii="Times New Roman" w:cs="Times New Roman" w:eastAsia="Times New Roman" w:hAnsi="Times New Roman"/>
                <w:sz w:val="18"/>
                <w:szCs w:val="18"/>
                <w:color w:val="auto"/>
              </w:rPr>
              <w:t>5,499,738</w:t>
            </w: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5,499,738</w:t>
            </w:r>
          </w:p>
        </w:tc>
      </w:tr>
      <w:tr>
        <w:trPr>
          <w:trHeight w:val="239"/>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before tax</w:t>
            </w:r>
          </w:p>
        </w:tc>
        <w:tc>
          <w:tcPr>
            <w:tcW w:w="32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101,223,489</w:t>
            </w:r>
          </w:p>
        </w:tc>
        <w:tc>
          <w:tcPr>
            <w:tcW w:w="182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5,499,738</w:t>
            </w: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106,723,227</w:t>
            </w:r>
          </w:p>
        </w:tc>
      </w:tr>
      <w:tr>
        <w:trPr>
          <w:trHeight w:val="247"/>
        </w:trPr>
        <w:tc>
          <w:tcPr>
            <w:tcW w:w="4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Derivative financial liabilities – investor options</w:t>
            </w:r>
          </w:p>
        </w:tc>
        <w:tc>
          <w:tcPr>
            <w:tcW w:w="3220" w:type="dxa"/>
            <w:vAlign w:val="bottom"/>
            <w:shd w:val="clear" w:color="auto" w:fill="CFF0FC"/>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ind w:right="371"/>
              <w:spacing w:after="0"/>
              <w:rPr>
                <w:sz w:val="20"/>
                <w:szCs w:val="20"/>
                <w:color w:val="auto"/>
              </w:rPr>
            </w:pPr>
            <w:r>
              <w:rPr>
                <w:rFonts w:ascii="Times New Roman" w:cs="Times New Roman" w:eastAsia="Times New Roman" w:hAnsi="Times New Roman"/>
                <w:sz w:val="18"/>
                <w:szCs w:val="18"/>
                <w:color w:val="auto"/>
              </w:rPr>
              <w:t>(8,662,603 )</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(8,662,603 )</w:t>
            </w:r>
          </w:p>
        </w:tc>
      </w:tr>
      <w:tr>
        <w:trPr>
          <w:trHeight w:val="239"/>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Contributed equity</w:t>
            </w:r>
          </w:p>
        </w:tc>
        <w:tc>
          <w:tcPr>
            <w:tcW w:w="32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374,320,334</w:t>
            </w:r>
          </w:p>
        </w:tc>
        <w:tc>
          <w:tcPr>
            <w:tcW w:w="182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(3,162,865 )</w:t>
            </w: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371,157,469</w:t>
            </w:r>
          </w:p>
        </w:tc>
      </w:tr>
      <w:tr>
        <w:trPr>
          <w:trHeight w:val="247"/>
        </w:trPr>
        <w:tc>
          <w:tcPr>
            <w:tcW w:w="4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Accumulated losses</w:t>
            </w:r>
          </w:p>
        </w:tc>
        <w:tc>
          <w:tcPr>
            <w:tcW w:w="3220" w:type="dxa"/>
            <w:vAlign w:val="bottom"/>
            <w:shd w:val="clear" w:color="auto" w:fill="CFF0FC"/>
          </w:tcPr>
          <w:p>
            <w:pPr>
              <w:jc w:val="right"/>
              <w:ind w:right="352"/>
              <w:spacing w:after="0"/>
              <w:rPr>
                <w:sz w:val="20"/>
                <w:szCs w:val="20"/>
                <w:color w:val="auto"/>
              </w:rPr>
            </w:pPr>
            <w:r>
              <w:rPr>
                <w:rFonts w:ascii="Times New Roman" w:cs="Times New Roman" w:eastAsia="Times New Roman" w:hAnsi="Times New Roman"/>
                <w:sz w:val="18"/>
                <w:szCs w:val="18"/>
                <w:color w:val="auto"/>
              </w:rPr>
              <w:t>(455,647,868 )</w:t>
            </w:r>
          </w:p>
        </w:tc>
        <w:tc>
          <w:tcPr>
            <w:tcW w:w="1820" w:type="dxa"/>
            <w:vAlign w:val="bottom"/>
            <w:shd w:val="clear" w:color="auto" w:fill="CFF0FC"/>
          </w:tcPr>
          <w:p>
            <w:pPr>
              <w:jc w:val="right"/>
              <w:ind w:right="371"/>
              <w:spacing w:after="0"/>
              <w:rPr>
                <w:sz w:val="20"/>
                <w:szCs w:val="20"/>
                <w:color w:val="auto"/>
              </w:rPr>
            </w:pPr>
            <w:r>
              <w:rPr>
                <w:rFonts w:ascii="Times New Roman" w:cs="Times New Roman" w:eastAsia="Times New Roman" w:hAnsi="Times New Roman"/>
                <w:sz w:val="18"/>
                <w:szCs w:val="18"/>
                <w:color w:val="auto"/>
              </w:rPr>
              <w:t>(5,499,738 )</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(461,147,606 )</w:t>
            </w:r>
          </w:p>
        </w:tc>
      </w:tr>
      <w:tr>
        <w:trPr>
          <w:trHeight w:val="239"/>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equity</w:t>
            </w:r>
          </w:p>
        </w:tc>
        <w:tc>
          <w:tcPr>
            <w:tcW w:w="32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(46,913,724 )</w:t>
            </w:r>
          </w:p>
        </w:tc>
        <w:tc>
          <w:tcPr>
            <w:tcW w:w="182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(8,662,603 )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(55,576,327 )</w:t>
            </w:r>
          </w:p>
        </w:tc>
      </w:tr>
      <w:tr>
        <w:trPr>
          <w:trHeight w:val="247"/>
        </w:trPr>
        <w:tc>
          <w:tcPr>
            <w:tcW w:w="4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 and diluted loss per share (cents)</w:t>
            </w:r>
          </w:p>
        </w:tc>
        <w:tc>
          <w:tcPr>
            <w:tcW w:w="3220" w:type="dxa"/>
            <w:vAlign w:val="bottom"/>
            <w:shd w:val="clear" w:color="auto" w:fill="CFF0FC"/>
          </w:tcPr>
          <w:p>
            <w:pPr>
              <w:jc w:val="right"/>
              <w:ind w:right="352"/>
              <w:spacing w:after="0"/>
              <w:rPr>
                <w:sz w:val="20"/>
                <w:szCs w:val="20"/>
                <w:color w:val="auto"/>
              </w:rPr>
            </w:pPr>
            <w:r>
              <w:rPr>
                <w:rFonts w:ascii="Times New Roman" w:cs="Times New Roman" w:eastAsia="Times New Roman" w:hAnsi="Times New Roman"/>
                <w:sz w:val="18"/>
                <w:szCs w:val="18"/>
                <w:color w:val="auto"/>
              </w:rPr>
              <w:t>(16.23 )</w:t>
            </w:r>
          </w:p>
        </w:tc>
        <w:tc>
          <w:tcPr>
            <w:tcW w:w="1820" w:type="dxa"/>
            <w:vAlign w:val="bottom"/>
            <w:shd w:val="clear" w:color="auto" w:fill="CFF0FC"/>
          </w:tcPr>
          <w:p>
            <w:pPr>
              <w:jc w:val="right"/>
              <w:ind w:right="371"/>
              <w:spacing w:after="0"/>
              <w:rPr>
                <w:sz w:val="20"/>
                <w:szCs w:val="20"/>
                <w:color w:val="auto"/>
              </w:rPr>
            </w:pPr>
            <w:r>
              <w:rPr>
                <w:rFonts w:ascii="Times New Roman" w:cs="Times New Roman" w:eastAsia="Times New Roman" w:hAnsi="Times New Roman"/>
                <w:sz w:val="18"/>
                <w:szCs w:val="18"/>
                <w:color w:val="auto"/>
              </w:rPr>
              <w:t>(0.95 )</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(17.18 )</w:t>
            </w:r>
          </w:p>
        </w:tc>
      </w:tr>
    </w:tbl>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consolidated financial statements incorporate the financial statements of the Company and its subsidiaries. Control is achieved when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760" w:hanging="378"/>
        <w:spacing w:after="0"/>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power over the investee;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exposed, or has rights, to variable returns from its involvement with the investee;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ability to use its power to affect its returns.</w:t>
      </w:r>
    </w:p>
    <w:p>
      <w:pPr>
        <w:spacing w:after="0" w:line="225"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Consolidation of a subsidiary begins when the Company obtains control over the subsidiary and ceases when the Company loses control of the subsidiary.</w:t>
      </w:r>
    </w:p>
    <w:p>
      <w:pPr>
        <w:spacing w:after="0" w:line="162"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All intragroup assets and liabilities, equity, income, expenses and cash flows relating to transactions between members of the Group are eliminated in full 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 Functional and presentation currency</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functional and presentation currency of the Group is the United States dollars (US$).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87" w:name="page188"/>
    <w:bookmarkEnd w:id="1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ii. Transactions and balances</w:t>
      </w:r>
    </w:p>
    <w:p>
      <w:pPr>
        <w:spacing w:after="0" w:line="22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Transactions in foreign currencies are initially recorded in the functional currency by applying the exchange rates ruling in place at the date of the transaction. Monetary assets and liabilities denominated in foreign currencies are retranslated at the rate of exchange ruling in place at the reporting date.</w:t>
      </w:r>
    </w:p>
    <w:p>
      <w:pPr>
        <w:spacing w:after="0" w:line="121" w:lineRule="exact"/>
        <w:rPr>
          <w:sz w:val="20"/>
          <w:szCs w:val="20"/>
          <w:color w:val="auto"/>
        </w:rPr>
      </w:pPr>
    </w:p>
    <w:p>
      <w:pPr>
        <w:jc w:val="both"/>
        <w:ind w:firstLine="374"/>
        <w:spacing w:after="0" w:line="236"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monetary items that are measured in terms of historical cost in a foreign currency are translated using the exchange rate as of the date of the initial transaction.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monetary items measured at fair value in a foreign currency are translated using the exchange rates at the date when the fair value was determined.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Recognition and derecognition of financial assets</w:t>
      </w:r>
    </w:p>
    <w:p>
      <w:pPr>
        <w:spacing w:after="0" w:line="22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Purchases and sales of financial assets that require delivery of assets within the time frame generally established by regulation or convention in the marketplace are recognized on the trade date, i.e., the date that the Group commits to purchase the asset. Financial assets are derecognized when the right to receive cash flows from the financial assets has expired or when the entity transfers substantially all the risks and rewards of the financial assets. If the entity neither retains nor transfers substantially all of the risks and rewards, it derecognizes the asset if it has transferred control of the assets.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When financial assets are recognized initially, they are measured at fair value, plus directly attributable transaction costs.</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86" w:lineRule="exact"/>
        <w:rPr>
          <w:sz w:val="20"/>
          <w:szCs w:val="20"/>
          <w:color w:val="auto"/>
        </w:rPr>
      </w:pPr>
    </w:p>
    <w:p>
      <w:pPr>
        <w:jc w:val="both"/>
        <w:ind w:firstLine="374"/>
        <w:spacing w:after="0" w:line="245" w:lineRule="exact"/>
        <w:rPr>
          <w:sz w:val="20"/>
          <w:szCs w:val="20"/>
          <w:color w:val="auto"/>
        </w:rPr>
      </w:pPr>
      <w:r>
        <w:rPr>
          <w:rFonts w:ascii="Times New Roman" w:cs="Times New Roman" w:eastAsia="Times New Roman" w:hAnsi="Times New Roman"/>
          <w:sz w:val="18"/>
          <w:szCs w:val="18"/>
          <w:color w:val="auto"/>
        </w:rPr>
        <w:t>Cash and cash equivalents in the statement of financial position comprise cash at bank and in hand and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deposits with an original maturity of three months or less that are readily convertible to known amounts of cash and which are subject to an insignificant risk of changes in value.</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purposes of the statement of cash flows, cash and cash equivalents consist of cash and cash equivalents as defined above.</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Other receivables</w:t>
      </w:r>
    </w:p>
    <w:p>
      <w:pPr>
        <w:spacing w:after="0" w:line="22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Other receivables generally comprise bank interest receivable, other receivables from external parties and Goods and Services Tax (GST) credits receivable and are recognized and carried at original invoice amount less an allowance for any uncollectible amounts. The amounts are usually received within 30 to 60 days of recognition.</w:t>
      </w:r>
    </w:p>
    <w:p>
      <w:pPr>
        <w:spacing w:after="0" w:line="176"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The Group measures the loss allowance for receivables at an amount equal to lifetime expected credit losses (ECL). The ECL on receivables are estimated under the simplified approach as permitted under IFRS 9 “Financial Instruments.” This uses a provision matrix by reference to past experience of the debtor and an analysis of the debtor’s current financial position, adjusted for factors that are specific to the debtors and general economic conditions of the industry in which the debtors operate.</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Group writes off a receivable when there is information indicating that the debtor is in severe financial difficulty and there is no realistic prospect of recovery.</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Finance income</w:t>
      </w:r>
    </w:p>
    <w:p>
      <w:pPr>
        <w:spacing w:after="0" w:line="186" w:lineRule="exact"/>
        <w:rPr>
          <w:sz w:val="20"/>
          <w:szCs w:val="20"/>
          <w:color w:val="auto"/>
        </w:rPr>
      </w:pPr>
    </w:p>
    <w:p>
      <w:pPr>
        <w:jc w:val="both"/>
        <w:ind w:firstLine="374"/>
        <w:spacing w:after="0" w:line="245" w:lineRule="exact"/>
        <w:rPr>
          <w:sz w:val="20"/>
          <w:szCs w:val="20"/>
          <w:color w:val="auto"/>
        </w:rPr>
      </w:pPr>
      <w:r>
        <w:rPr>
          <w:rFonts w:ascii="Times New Roman" w:cs="Times New Roman" w:eastAsia="Times New Roman" w:hAnsi="Times New Roman"/>
          <w:sz w:val="18"/>
          <w:szCs w:val="18"/>
          <w:color w:val="auto"/>
        </w:rPr>
        <w:t>Almost all of the Group’s finance income is earned on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bank deposits, and as such, finance income is recognized when the Group’s right to receive the payment is established.</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Payables</w:t>
      </w:r>
    </w:p>
    <w:p>
      <w:pPr>
        <w:spacing w:after="0" w:line="186" w:lineRule="exact"/>
        <w:rPr>
          <w:sz w:val="20"/>
          <w:szCs w:val="20"/>
          <w:color w:val="auto"/>
        </w:rPr>
      </w:pPr>
    </w:p>
    <w:p>
      <w:pPr>
        <w:jc w:val="both"/>
        <w:ind w:firstLine="374"/>
        <w:spacing w:after="0" w:line="236" w:lineRule="exact"/>
        <w:rPr>
          <w:sz w:val="20"/>
          <w:szCs w:val="20"/>
          <w:color w:val="auto"/>
        </w:rPr>
      </w:pPr>
      <w:r>
        <w:rPr>
          <w:rFonts w:ascii="Times New Roman" w:cs="Times New Roman" w:eastAsia="Times New Roman" w:hAnsi="Times New Roman"/>
          <w:sz w:val="18"/>
          <w:szCs w:val="18"/>
          <w:color w:val="auto"/>
        </w:rPr>
        <w:t>Payables are carried at amortized cost and due to their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they are not discounted. They represent liabilities for goods and services provided to the Group prior to the end of the financial year that are unpaid and arise when the Group becomes obliged to make future payments in respect of the purchase of these goods and services.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amounts are unsecured and are usually paid within 30 days of recognition.</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Financial liabilitie</w:t>
      </w: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 xml:space="preserve"> - DFA</w:t>
      </w:r>
    </w:p>
    <w:p>
      <w:pPr>
        <w:spacing w:after="0" w:line="22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Financial liabilities are recognized in the Group’s statement of financial position when the Group becomes a party to the contractual provisions of the instrument. Financial liabilities are initially measured at fair value. Transaction costs that are directly attributable to the acquisitions or issue of financial liabilities (other than financial liabilities at fair value through profit or loss) are deducted from the fair value of the financial liabilities, as appropriate, on initial recognition. Subsequent measurement of the liability will be at its amortized cost, subject to any re-measurement of the obligation for changes in assumptions, which would be recognized through the consolidated statement of profit or loss and other comprehensive income.</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Amortized cost and effective interest method</w:t>
      </w:r>
    </w:p>
    <w:p>
      <w:pPr>
        <w:spacing w:after="0" w:line="22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effective interest method is a method of calculating the amortized cost of an instrument and of allocating interest expense over the relevant period. The effective interest rate is the rate that exactly discounts estimated future cash payments through the expected life of the financial liability, or (where appropriate) a shorter period, to the amortized cost of the financial liability.</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expense is recognized in profit and loss and is included in the “Interest expense on DFA” line item.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liabilities -investor options</w:t>
      </w:r>
    </w:p>
    <w:p>
      <w:pPr>
        <w:spacing w:after="0" w:line="22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414042"/>
        </w:rPr>
        <w:t>Derivative financial liabilities relate to investor options and are recognized in the Group’s statement of financial position when the Group becomes a party to the contractual provisions of the instrument. These options are considered a derivative as these are options with an exercise price denominated in a currency that differs from an entity’s functional currency and where certain existing equity investors were not offered to participate in the equity raise on a pro rata basis. Such derivatives are measured at fair value with subsequent changes in fair value accounted for through profit and loss Transaction costs that are directly attributable to the issue of derivative financial liabilities at fair value through profit or loss are recognized immediately in profit or loss. Transaction costs are allocated between the instruments issued based on the proportionate fair value.</w:t>
      </w:r>
    </w:p>
    <w:p>
      <w:pPr>
        <w:spacing w:after="0" w:line="187" w:lineRule="exact"/>
        <w:rPr>
          <w:sz w:val="20"/>
          <w:szCs w:val="20"/>
          <w:color w:val="auto"/>
        </w:rPr>
      </w:pPr>
    </w:p>
    <w:p>
      <w:pPr>
        <w:jc w:val="both"/>
        <w:ind w:firstLine="374"/>
        <w:spacing w:after="0" w:line="222" w:lineRule="exact"/>
        <w:rPr>
          <w:sz w:val="20"/>
          <w:szCs w:val="20"/>
          <w:color w:val="auto"/>
        </w:rPr>
      </w:pPr>
      <w:r>
        <w:rPr>
          <w:rFonts w:ascii="Times New Roman" w:cs="Times New Roman" w:eastAsia="Times New Roman" w:hAnsi="Times New Roman"/>
          <w:sz w:val="18"/>
          <w:szCs w:val="18"/>
          <w:color w:val="414042"/>
        </w:rPr>
        <w:t>At every reporting period, the Company reviews the fair value of the investor options which can be measured against the current trading value of the options on ASX., It is expected that a revaluation will result in a non</w:t>
      </w:r>
      <w:r>
        <w:rPr>
          <w:rFonts w:ascii="MS PGothic" w:cs="MS PGothic" w:eastAsia="MS PGothic" w:hAnsi="MS PGothic"/>
          <w:sz w:val="18"/>
          <w:szCs w:val="18"/>
          <w:color w:val="414042"/>
        </w:rPr>
        <w:t>‑</w:t>
      </w:r>
      <w:r>
        <w:rPr>
          <w:rFonts w:ascii="Times New Roman" w:cs="Times New Roman" w:eastAsia="Times New Roman" w:hAnsi="Times New Roman"/>
          <w:sz w:val="18"/>
          <w:szCs w:val="18"/>
          <w:color w:val="414042"/>
        </w:rPr>
        <w:t>cash gain or loss depending on the closing trading price of the options. Revaluation gains or losses are recognized on the Profit and Loss statement with a corresponding adjustment recorded to the liability. The gains or losses are unrealized.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w:t>
      </w:r>
    </w:p>
    <w:p>
      <w:pPr>
        <w:spacing w:after="0" w:line="229" w:lineRule="exact"/>
        <w:rPr>
          <w:sz w:val="20"/>
          <w:szCs w:val="20"/>
          <w:color w:val="auto"/>
        </w:rPr>
      </w:pPr>
    </w:p>
    <w:p>
      <w:pPr>
        <w:jc w:val="both"/>
        <w:ind w:firstLine="374"/>
        <w:spacing w:after="0" w:line="239" w:lineRule="exact"/>
        <w:rPr>
          <w:sz w:val="20"/>
          <w:szCs w:val="20"/>
          <w:color w:val="auto"/>
        </w:rPr>
      </w:pPr>
      <w:r>
        <w:rPr>
          <w:rFonts w:ascii="Times New Roman" w:cs="Times New Roman" w:eastAsia="Times New Roman" w:hAnsi="Times New Roman"/>
          <w:sz w:val="18"/>
          <w:szCs w:val="18"/>
          <w:color w:val="auto"/>
        </w:rPr>
        <w:t>Equipment is stated at historical cost less accumulated depreciation and any accumulated impairment losses. Depreciation is calculated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their useful economic lives as follows:</w:t>
      </w:r>
    </w:p>
    <w:p>
      <w:pPr>
        <w:spacing w:after="0" w:line="170" w:lineRule="exact"/>
        <w:rPr>
          <w:sz w:val="20"/>
          <w:szCs w:val="20"/>
          <w:color w:val="auto"/>
        </w:rPr>
      </w:pPr>
    </w:p>
    <w:p>
      <w:pPr>
        <w:ind w:left="760" w:hanging="378"/>
        <w:spacing w:after="0"/>
        <w:tabs>
          <w:tab w:leader="none" w:pos="7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and furniture – 3 to 10 years;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improvements – 8 years or the term of the lease if shorter.</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assets’ residual values, useful lives and amortization methods are reviewed, and adjusted if appropriate, at each financial year end.</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An item of equipment is derecognized upon disposal or when no further economic benefits are expected from its use or disposal.</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Research costs are expensed as incurred. An intangible asset arising from the development expenditure on an internal project will only be recognized when the Group can demonstrate the technical feasibility of completing the intangible asset so that it will be available for use or sale, its intention to complete and its ability to use or sell the asset, how the asset will generate future economic benefits, the availability of resources to complete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development and the ability to measure reliably the expenditure attributable to the intangible asset during its development. The Company considers that the capitalization may only be considered after regulatory approval.</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June 30, 2024, 2023 and 2022, the Group is in the research phase and has not capitalized any development costs to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and employee benefits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 Wages, salaries, annual leave and sick leave</w:t>
      </w:r>
    </w:p>
    <w:p>
      <w:pPr>
        <w:spacing w:after="0" w:line="186" w:lineRule="exact"/>
        <w:rPr>
          <w:sz w:val="20"/>
          <w:szCs w:val="20"/>
          <w:color w:val="auto"/>
        </w:rPr>
      </w:pPr>
    </w:p>
    <w:p>
      <w:pPr>
        <w:jc w:val="both"/>
        <w:ind w:firstLine="374"/>
        <w:spacing w:after="0" w:line="245" w:lineRule="exact"/>
        <w:rPr>
          <w:sz w:val="20"/>
          <w:szCs w:val="20"/>
          <w:color w:val="auto"/>
        </w:rPr>
      </w:pPr>
      <w:r>
        <w:rPr>
          <w:rFonts w:ascii="Times New Roman" w:cs="Times New Roman" w:eastAsia="Times New Roman" w:hAnsi="Times New Roman"/>
          <w:sz w:val="18"/>
          <w:szCs w:val="18"/>
          <w:color w:val="auto"/>
        </w:rPr>
        <w:t>Liabilities for wages and salaries, including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monetary benefits and annual leave expected to be settled within 12 months of the reporting date are recognized in current provisions in respect of employees’ services up to the reporting date. They are measured at the amounts expected to be paid when the liabilities are settled. Expenses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accumulating sick leave are recognized when the leave is taken and are measured at the rate paid or payable.</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ii. Long service leave</w:t>
      </w:r>
    </w:p>
    <w:p>
      <w:pPr>
        <w:spacing w:after="0" w:line="22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liability for long service leave is recognized in the provision for employee benefits and measured as the present value of expected future payments to be made in respect of services provided by employees up to the reporting date. Consideration is given to expected future wage and salary levels, experience of employee departures, and periods of service. Expected future payments are discounted using market yields at the reporting date on bonds with terms to maturity that match, as closely as possible, the estimated future cash outflows.</w:t>
      </w:r>
    </w:p>
    <w:p>
      <w:pPr>
        <w:spacing w:after="0" w:line="13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Share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payment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-43815</wp:posOffset>
            </wp:positionV>
            <wp:extent cx="64135" cy="393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5" w:lineRule="exact"/>
        <w:rPr>
          <w:sz w:val="20"/>
          <w:szCs w:val="20"/>
          <w:color w:val="auto"/>
        </w:rPr>
      </w:pPr>
    </w:p>
    <w:p>
      <w:pPr>
        <w:jc w:val="both"/>
        <w:ind w:firstLine="374"/>
        <w:spacing w:after="0" w:line="259" w:lineRule="exact"/>
        <w:rPr>
          <w:sz w:val="20"/>
          <w:szCs w:val="20"/>
          <w:color w:val="auto"/>
        </w:rPr>
      </w:pPr>
      <w:r>
        <w:rPr>
          <w:rFonts w:ascii="Times New Roman" w:cs="Times New Roman" w:eastAsia="Times New Roman" w:hAnsi="Times New Roman"/>
          <w:sz w:val="18"/>
          <w:szCs w:val="18"/>
          <w:color w:val="auto"/>
        </w:rPr>
        <w:t>The Group provides benefits to directors and employees (including key management personnel) of the Group in the form of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payments, whereby employees render services in exchange for shares or rights over shares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 transactions).</w:t>
      </w:r>
    </w:p>
    <w:p>
      <w:pPr>
        <w:spacing w:after="0" w:line="131" w:lineRule="exact"/>
        <w:rPr>
          <w:sz w:val="20"/>
          <w:szCs w:val="20"/>
          <w:color w:val="auto"/>
        </w:rPr>
      </w:pPr>
    </w:p>
    <w:p>
      <w:pPr>
        <w:jc w:val="both"/>
        <w:ind w:right="20" w:firstLine="374"/>
        <w:spacing w:after="0" w:line="245" w:lineRule="exact"/>
        <w:rPr>
          <w:sz w:val="20"/>
          <w:szCs w:val="20"/>
          <w:color w:val="auto"/>
        </w:rPr>
      </w:pPr>
      <w:r>
        <w:rPr>
          <w:rFonts w:ascii="Times New Roman" w:cs="Times New Roman" w:eastAsia="Times New Roman" w:hAnsi="Times New Roman"/>
          <w:sz w:val="18"/>
          <w:szCs w:val="18"/>
          <w:color w:val="auto"/>
        </w:rPr>
        <w:t>The cost of these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 transactions with employees is measured by reference to the fair value at the date at which they are granted. Binomial models are used to value the options issued.</w:t>
      </w:r>
    </w:p>
    <w:p>
      <w:pPr>
        <w:spacing w:after="0" w:line="158" w:lineRule="exact"/>
        <w:rPr>
          <w:sz w:val="20"/>
          <w:szCs w:val="20"/>
          <w:color w:val="auto"/>
        </w:rPr>
      </w:pPr>
    </w:p>
    <w:p>
      <w:pPr>
        <w:jc w:val="both"/>
        <w:ind w:firstLine="374"/>
        <w:spacing w:after="0" w:line="245" w:lineRule="exact"/>
        <w:rPr>
          <w:sz w:val="20"/>
          <w:szCs w:val="20"/>
          <w:color w:val="auto"/>
        </w:rPr>
      </w:pPr>
      <w:r>
        <w:rPr>
          <w:rFonts w:ascii="Times New Roman" w:cs="Times New Roman" w:eastAsia="Times New Roman" w:hAnsi="Times New Roman"/>
          <w:sz w:val="18"/>
          <w:szCs w:val="18"/>
          <w:color w:val="auto"/>
        </w:rPr>
        <w:t>The cost of the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 transactions is recognized, together with a corresponding increase in equity, over the period in which the performance conditions are fulfilled (the vesting period), ending on the date on which the relevant employees become fully entitled to the award (the vesting date).</w:t>
      </w:r>
    </w:p>
    <w:p>
      <w:pPr>
        <w:spacing w:after="0" w:line="19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charge to profit or loss for the period is the cumulative amount less the amounts already charged in previous periods. There is a corresponding credit to equity.</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Until an award has vested, any amounts recorded are contingent and will be adjusted if more or fewer awards vest than were originally anticipated to do so.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Contributed equity</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Ordinary shares are classified as equity. Incremental costs directly attributable to the issue of new shares or options are shown in equity as a deduction, net of tax, from the proceeds. Transaction costs are allocated between the instruments issued based on the proportionate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374"/>
        <w:spacing w:after="0" w:line="219" w:lineRule="exact"/>
        <w:rPr>
          <w:sz w:val="20"/>
          <w:szCs w:val="20"/>
          <w:color w:val="auto"/>
        </w:rPr>
      </w:pPr>
      <w:r>
        <w:rPr>
          <w:rFonts w:ascii="Times New Roman" w:cs="Times New Roman" w:eastAsia="Times New Roman" w:hAnsi="Times New Roman"/>
          <w:sz w:val="18"/>
          <w:szCs w:val="18"/>
          <w:color w:val="auto"/>
        </w:rPr>
        <w:t>License revenue in connection with licensing of the Group’s intellectual property (including patents) to customers is recognized as a right to use the Group’s intellectual property as it exists at the point in time in which the license is granted. This is because the contracts for the license of intellectual property are distinct and do not require, nor does the customer reasonably expect, that the Group will undertake further activities that significantly affect the intellectual property to which the customer has the rights. Although the Group is entitled to sales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royalties from the eventual sales of goods and services to third parties using the intellectual property licensed, these royalty arrangements do not in themselves indicate that the customer would reasonably expect the Group to undertake such activities, and no such activities are undertaken or contracted in practice. Accordingly, the promise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provide rights to the Group’s intellectual property is accounted for as a performance obligation satisfied at a point in time.</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consideration is received in exchange for licenses of intellectual property:</w:t>
      </w:r>
    </w:p>
    <w:p>
      <w:pPr>
        <w:spacing w:after="0" w:line="184" w:lineRule="exact"/>
        <w:rPr>
          <w:sz w:val="20"/>
          <w:szCs w:val="20"/>
          <w:color w:val="auto"/>
        </w:rPr>
      </w:pPr>
    </w:p>
    <w:p>
      <w:pPr>
        <w:ind w:left="760" w:hanging="378"/>
        <w:spacing w:after="0" w:line="245" w:lineRule="exact"/>
        <w:tabs>
          <w:tab w:leader="none" w:pos="7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front license fees – these are fixed amounts and are recognized at the point in time when the Group transfers the intellectual property to the customer.</w:t>
      </w:r>
    </w:p>
    <w:p>
      <w:pPr>
        <w:spacing w:after="0" w:line="158" w:lineRule="exact"/>
        <w:rPr>
          <w:rFonts w:ascii="Times New Roman" w:cs="Times New Roman" w:eastAsia="Times New Roman" w:hAnsi="Times New Roman"/>
          <w:sz w:val="18"/>
          <w:szCs w:val="18"/>
          <w:color w:val="auto"/>
        </w:rPr>
      </w:pPr>
    </w:p>
    <w:p>
      <w:pPr>
        <w:ind w:left="760" w:hanging="378"/>
        <w:spacing w:after="0" w:line="245" w:lineRule="exact"/>
        <w:tabs>
          <w:tab w:leader="none" w:pos="7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royalties – these are variable consideration amounts promised in exchange for the license of intellectual property and are recognized when the sales to third parties occur given the performance obligation to transfer the intellectual property to the customer is already satisfied.</w:t>
      </w:r>
    </w:p>
    <w:p>
      <w:pPr>
        <w:spacing w:after="0" w:line="158"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During the years ended June 30, 2024, 2023 and 2022, the Group’s only revenue related to sales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royalties.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Current tax</w:t>
      </w:r>
    </w:p>
    <w:p>
      <w:pPr>
        <w:spacing w:after="0" w:line="22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Current tax assets and liabilities for the current and prior periods are measured at the amount expected to be recovered from or paid to the taxation authorities based on the current period’s taxable income.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tax rates and tax laws used to compute the amount are those that are enacted or substantively enacted by the reporting date.</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Research and development tax incentive</w:t>
      </w:r>
    </w:p>
    <w:p>
      <w:pPr>
        <w:spacing w:after="0" w:line="22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Research and Development (R&amp;D) Tax Incentive Scheme is an Australian Federal Government program under which eligible companies with annual aggregated revenue of less than A$20 million can receive cash amounts equal to 43.5% of eligible research and development expenditures from the Australian Taxation Office (ATO). The R&amp;D Tax Incentive Scheme incentive relates to eligible expenditure incurred in Australia and, under certain circumstances, overseas on the development of the Group’s lead candidate, sozinibercept. The R&amp;D tax incentive is applied annually to eligible expenditure incurred during the Group’s financial year following annual application to AusIndustry, an Australian governmental agency, and subsequent filing of its Income Tax Return with the ATO after the financial year end.</w:t>
      </w:r>
    </w:p>
    <w:p>
      <w:pPr>
        <w:spacing w:after="0" w:line="187"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Group estimates the amount of R&amp;D tax incentive after the completion of the financial year based on eligible Australia and overseas expenditures incurred during that year.</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 xml:space="preserve">The Group has presented incentives in respect of the R&amp;D Tax Incentive Scheme within income tax benefit in the Statements of Profit or Loss and Other Comprehensive Income by analogizing with IAS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Deferred tax</w:t>
      </w:r>
    </w:p>
    <w:p>
      <w:pPr>
        <w:spacing w:after="0" w:line="22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Deferred income tax is provided on all temporary differences at the reporting date between the tax bases of assets and liabilities and their carrying amounts for financial reporting purposes.</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Deferred income tax liabilities are recognized for all taxable temporary differences except when the deferred income tax liability arises from the initial recognition of goodwill or of an asset or liability in a transaction that is not a business combination and that, at the time of the transaction, does not give rise to equal taxable and deductible temporary differences.</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Deferred income tax assets are recognized for all deductible temporary differences, carry forward of unused tax assets (or credits) and unused tax losses, to the extent that it is probable that taxable profit will be available against which the deductible temporary differences, and the carry forward of unused tax credits and unused tax losses can be utilized, except when the deferred income tax asset relating to the deductible temporary differences arises from the initial recognition of an asset or liability in a transaction that is not a business combination and, at the time of the transaction, affects neither the accounting profit or taxable profit or loss.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carrying amount of deferred income tax assets is reviewed at each reporting date and reduced to the extent that it is no longer probable that sufficient taxable profit will be available to allow all or part of the deferred income tax asset to be utilized.</w:t>
      </w:r>
    </w:p>
    <w:p>
      <w:pPr>
        <w:spacing w:after="0" w:line="16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Unrecognized deferred income tax assets are reassessed at each reporting date and are recognized to the extent that it has become probable that future taxable profit will allow the deferred tax asset to be recovered.</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Deferred income tax assets and liabilities are measured at the tax rates that are expected to apply to the year when the asset is realized or the liability is settled, based on tax rates (and tax laws) that have been enacted or substantively enacted at balance date.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Income taxes relating to items recognized directly in equity are recognized directly in equity and not in profit or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consolidation legislation</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Tax consolidation is a system adopted by the ATO that treats a group of entities as a single entity for tax purposes. Opthea Limited and its 100% owned Australian domiciled subsidiary formed a tax consolidated group effective July 1, 2003. The head entity, Opthea Limited, and its controlled entity, Vegenics Pty Ltd, are current members of the tax consolidated group and account for their own current and deferred tax amounts. Members of the tax consolidated group have adopted the “separate taxpayer within group” method to allocate the current and deferred tax amounts to each entity within the Group. This method requires adjustments for transactions and events occurring within the tax consolidated group that do not give rise to a tax consequence for the Group or that have a different tax consequence at the level of the Group.</w:t>
      </w:r>
    </w:p>
    <w:p>
      <w:pPr>
        <w:spacing w:after="0" w:line="18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This method requires adjustments for transactions and events occurring within the tax consolidated group that do not give rise to a tax consequence for the Group or that have a different tax consequence at the level of the Group.</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head entity which is the parent entity, in assuming the net unused tax losses and unused relevant tax credits, has recognized reductions to investments in subsidiaries and where the amount of tax losses assumed is in excess of the carrying value of the investment, the parent has recognized the difference as a distribution from subsidiaries in profit or loss.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2" w:name="page193"/>
    <w:bookmarkEnd w:id="1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taxes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Revenues, expenses, assets and liabilities are recognized net of the amount of GST except:</w:t>
      </w:r>
    </w:p>
    <w:p>
      <w:pPr>
        <w:spacing w:after="0" w:line="225" w:lineRule="exact"/>
        <w:rPr>
          <w:sz w:val="20"/>
          <w:szCs w:val="20"/>
          <w:color w:val="auto"/>
        </w:rPr>
      </w:pPr>
    </w:p>
    <w:p>
      <w:pPr>
        <w:ind w:left="760" w:hanging="378"/>
        <w:spacing w:after="0" w:line="282" w:lineRule="auto"/>
        <w:tabs>
          <w:tab w:leader="none" w:pos="7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GST incurred on a purchase of goods and services is not recoverable from the taxation authority, in which case the GST is recognized as part of the cost of acquisition of the asset or as part of the expense item as applicable;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and payables are stated with the amount of GST included.</w:t>
      </w:r>
    </w:p>
    <w:p>
      <w:pPr>
        <w:spacing w:after="0" w:line="225"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net amount of GST recoverable from, or payable to the taxation authority is included as part of receivables or payables in the statement of financial position.</w:t>
      </w:r>
    </w:p>
    <w:p>
      <w:pPr>
        <w:spacing w:after="0" w:line="162"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Cash flows are included in the statement of cash flows on a gross basis and the GST component of cash flows arising from investing and financing activities, which is recoverable from, or payable to, the taxation authority is classified as part of operating cash flows.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Commitments and contingencies are disclosed net of the amount of GST recoverable from, or payable to, the taxation authority.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Critical Accounting Judgments and Key Sources of Estimation Uncertainty</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applying the Group’s accounting policies, management continually evaluates judgments, estimates and assumptions based on experience and other factors, including expectations of future events that may have an impact on the Group. All judgments, estimates and assumptions made are believed to be reasonable based on the most current set of circumstances available to management. Actual results may differ from the judgments, estimates and assumptions.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judgments, estimates and assumptions made by management in the preparation of these financial statements are outlined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 Critical judgments in applying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ind w:firstLine="374"/>
        <w:spacing w:after="0" w:line="220" w:lineRule="exact"/>
        <w:rPr>
          <w:sz w:val="20"/>
          <w:szCs w:val="20"/>
          <w:color w:val="auto"/>
        </w:rPr>
      </w:pPr>
      <w:r>
        <w:rPr>
          <w:rFonts w:ascii="Times New Roman" w:cs="Times New Roman" w:eastAsia="Times New Roman" w:hAnsi="Times New Roman"/>
          <w:sz w:val="18"/>
          <w:szCs w:val="18"/>
          <w:color w:val="auto"/>
        </w:rPr>
        <w:t>The majority of Opthea’s expenditure is incurred as a result of clinical trials for sozinibercept. During the years ended June 30, 2020 2021 and 2022, Opthea completed its Phase 2b wet 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macular degeneration (wet AMD) and Phase 1b/2a diabetic macular edema (DME) trials and Phase 3 clinical trials for sozinibercept was initiated during 2021. A key measure of Opthea’s performance is the level of expenditure incurred on the research of sozinibercept</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Judgment is required in relation to:</w:t>
      </w:r>
    </w:p>
    <w:p>
      <w:pPr>
        <w:spacing w:after="0" w:line="225" w:lineRule="exact"/>
        <w:rPr>
          <w:sz w:val="20"/>
          <w:szCs w:val="20"/>
          <w:color w:val="auto"/>
        </w:rPr>
      </w:pPr>
    </w:p>
    <w:p>
      <w:pPr>
        <w:ind w:left="760" w:hanging="378"/>
        <w:spacing w:after="0"/>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expenses in the income statement between research and development costs and operating expenses; and</w:t>
      </w:r>
    </w:p>
    <w:p>
      <w:pPr>
        <w:spacing w:after="0" w:line="22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costs relate to R&amp;D, and consequently if they meet the capitalization criteria under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directors have determined that the Group is still in a research phase and accordingly, no development costs have been capitalized as of June 30, 2024, 2023 and 2022. The development costs may be considered for capitalization post receiving regulatory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DFA</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Group’s accounting policy for DFA requires judgment around the determination of it having the characteristics of a debt instrument. The payments received under the DFA have been recorded as a financial liability in the Group’s consolidated statement of financial position. The Company exercised significant judgement in accounting for the amended DFA, including consideration of whether the amended DFA resulted in a modification of the original loan. The Company concluded that the amended DFA agreement forms part of the existing agreement as the US$50 million is contemplated in the existing agreement on the same return and repayment profile, there have been no substantive changes in the original terms and conditions of the loan and the co-investor was introduced by Ocelot SPV LP ("Ocelot"). Judgment is also required in assessing the timing of regulatory approval and attainment of certain sales milestones and the contractual success fee payments expected to be due as discounted using an imputed interest rate. If the timing and/or amount of such expected payments is materially different from the estimates used on the initial recognition date, the Group will adjust the accretion of the development financing liability using the previously determined imputed interest rate. Refer to Note 13 and 24 for further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liabilities – investor options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Group’s accounting for investor options requires judgment as these are options with an exercise price denominated in a currency that differs from an entity’s functional currency and are treated as a derivative where certain existing equity investors were not offered to participate in the equity raise on a pro rata basis. Judgement is required in determining whether the offer was made on a pro rata basis, which impacts the accounting of the options. Such derivatives measured at fair value with subsequent changes in fair value accounted for through profit and loss. Refer to Note14 and 25 for further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Research and development tax incentive</w:t>
      </w:r>
    </w:p>
    <w:p>
      <w:pPr>
        <w:spacing w:after="0" w:line="227"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Research and Development (R&amp;D) Tax Incentive Scheme is an Australian Federal Government program under which eligible companies can receive cash refunds of 43.5% of eligible R&amp;D expenditure. Judgments are required as to the R&amp;D tax incentive refundable offset eligibility in respect of:</w:t>
      </w:r>
    </w:p>
    <w:p>
      <w:pPr>
        <w:spacing w:after="0" w:line="162" w:lineRule="exact"/>
        <w:rPr>
          <w:sz w:val="20"/>
          <w:szCs w:val="20"/>
          <w:color w:val="auto"/>
        </w:rPr>
      </w:pPr>
    </w:p>
    <w:p>
      <w:pPr>
        <w:ind w:left="760" w:hanging="378"/>
        <w:spacing w:after="0"/>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ability to make claims and its continued compliance under the scheme;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and other supporting costs previously approved by Australian tax authorities;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amounts, timing and geographical location of future costs related to the projects for which applications have been approved to date;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whether expenditure on projects for which approval has been given by Australian tax authorities relate to Australian or overseas expenditure.</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the years ended June 30, 2024, and 2023, the Group has recognized an R&amp;D tax incentive receivable of US$10.4 million and US$5.9 million respectively within the consolidated statements of financial position, with a corresponding amount recognized within income tax benefit within the consolidated statements of profit or loss and other comprehensive income.</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R&amp;D tax incentive receivable as of June 30, 2024 and 2023 is based on the legislation as currently enacted as of June 30, 2024 and 2023, respectively. Any proposed changes to the legislation, such as rate changes and eligibility requirements, may have a retrospective impact if the legislation is passed. During the years ended June 30, 2024 and 2023, no such legislative changes have occurred.</w:t>
      </w:r>
    </w:p>
    <w:p>
      <w:pPr>
        <w:spacing w:after="0" w:line="17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Investment tax credits such as the R&amp;D tax incentive are outside of the scope of IAS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and IAS 20 “</w:t>
      </w:r>
      <w:r>
        <w:rPr>
          <w:rFonts w:ascii="Times New Roman" w:cs="Times New Roman" w:eastAsia="Times New Roman" w:hAnsi="Times New Roman"/>
          <w:sz w:val="18"/>
          <w:szCs w:val="18"/>
          <w:i w:val="1"/>
          <w:iCs w:val="1"/>
          <w:color w:val="auto"/>
        </w:rPr>
        <w:t>Accounting for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Grants and Disclosure of Government Assistance</w:t>
      </w:r>
      <w:r>
        <w:rPr>
          <w:rFonts w:ascii="Times New Roman" w:cs="Times New Roman" w:eastAsia="Times New Roman" w:hAnsi="Times New Roman"/>
          <w:sz w:val="18"/>
          <w:szCs w:val="18"/>
          <w:color w:val="auto"/>
        </w:rPr>
        <w:t>.” Based on the guidance in IAS 8 “Accounting Policies, Changes in Accounting Estimates and Errors,”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need to make an accounting policy choice on how to present these incentives, which in practice is done by either analogizing with IAS 12 or with IAS 20. In the Group’s opinion, the R&amp;D tax incentive should be presented by analogizing to IAS 12 because the nature of the incentive is considered to be more closely aligned to income taxes, based on the following considerations:</w:t>
      </w:r>
    </w:p>
    <w:p>
      <w:pPr>
        <w:spacing w:after="0" w:line="185" w:lineRule="exact"/>
        <w:rPr>
          <w:sz w:val="20"/>
          <w:szCs w:val="20"/>
          <w:color w:val="auto"/>
        </w:rPr>
      </w:pPr>
    </w:p>
    <w:p>
      <w:pPr>
        <w:jc w:val="both"/>
        <w:ind w:left="760" w:hanging="378"/>
        <w:spacing w:after="0" w:line="227" w:lineRule="exact"/>
        <w:tabs>
          <w:tab w:leader="none" w:pos="7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R&amp;D tax incentive is considered an income tax offset which will be offset against the Group’s tax obligation if and when the Group returns to a net tax payable position. In addition, whilst the Group is currently eligible to receive cash payments under the scheme since its consolidated revenue is currently below A$20 million, if and when the Group generates revenue in excess of A$20 million the R&amp;D tax incentive will become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refundable and can only be offset against any future income tax payable by the Group.</w:t>
      </w:r>
    </w:p>
    <w:p>
      <w:pPr>
        <w:spacing w:after="0" w:line="172"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ATO, which is the tax authority in Australia, manages the annual claims process as the R&amp;D tax incentive is included in the Group’s annual income tax return.</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22" w:lineRule="exact"/>
        <w:tabs>
          <w:tab w:leader="none" w:pos="7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ATO is also responsible for making the R&amp;D tax incentive cash payment if a company is eligible for a cash refund under the program, oversees compliance with the requirements of the R&amp;D tax incentive scheme and performs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issuance reviews. Refer to Note 16 for further information.</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Income tax</w:t>
      </w:r>
    </w:p>
    <w:p>
      <w:pPr>
        <w:spacing w:after="0" w:line="22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Group’s accounting policy for taxation requires judgments as to the differences between tax and accounting treatments of income and costs recognized in the consolidated statements of profit or loss and other comprehensive income. Judgment is also required in assessing whether deferred tax assets and liabilities are recognized in the statements of financial position and if accumulated income tax losses can be used to offset potential future tax profits.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Functional currency</w:t>
      </w:r>
    </w:p>
    <w:p>
      <w:pPr>
        <w:spacing w:after="0" w:line="22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Significant judgment is required in determining the currency of the primary economic environment in which the Group operates, which requires an evaluation of various indicators related to the Group’s underlying transactions, events and conditions as they relate to generating and expending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4.2 Key sources of estimation uncertainty</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Development funding - financial liability</w:t>
      </w:r>
    </w:p>
    <w:p>
      <w:pPr>
        <w:spacing w:after="0" w:line="22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Group evaluated the Funding Agreement and determined it to be a research and development funding arrangement with the characteristics of a debt instrument, as the transfer of financial risk to DFA investors was not considered substantive and genuine. Accordingly, the Group has recorded payments received under the Funding Agreement as part of a development financing liability in its consolidated balance sheet. The Group measures the overall development financing liability at amortized cost based on the estimated timing of regulatory approval and attainment of certain sales milestones and the contractual success fee payments expected to be due therefrom, as discounted using an imputed interest rate. The development financing liability will be accreted as interest expense to its expected future repayment amount over the expected life of the agreement using the effective interest rate method. If the dates are delayed from those used at reporting date, it is expected that a remeasurement will result in a non-cash gain. If the timelines for approval and launch are accelerated, the Group would anticipate a remeasurement resulting in a non-cash charge to be recognized in the Consolidated Statements of Profit or Loss. Refer to Note 13 and 27 for further information.</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Derivative financial liabilities - investor options</w:t>
      </w:r>
    </w:p>
    <w:p>
      <w:pPr>
        <w:spacing w:after="0" w:line="227" w:lineRule="exact"/>
        <w:rPr>
          <w:sz w:val="20"/>
          <w:szCs w:val="20"/>
          <w:color w:val="auto"/>
        </w:rPr>
      </w:pPr>
    </w:p>
    <w:p>
      <w:pPr>
        <w:jc w:val="both"/>
        <w:ind w:firstLine="374"/>
        <w:spacing w:after="0" w:line="218" w:lineRule="exact"/>
        <w:rPr>
          <w:sz w:val="20"/>
          <w:szCs w:val="20"/>
          <w:color w:val="auto"/>
        </w:rPr>
      </w:pPr>
      <w:r>
        <w:rPr>
          <w:rFonts w:ascii="Times New Roman" w:cs="Times New Roman" w:eastAsia="Times New Roman" w:hAnsi="Times New Roman"/>
          <w:sz w:val="18"/>
          <w:szCs w:val="18"/>
          <w:color w:val="auto"/>
        </w:rPr>
        <w:t>The Group accounts for investor options as a derivative financial liability. Such derivatives are measured at fair value with subsequent changes in fair value accounted for through profit and loss. For the investor options that are traded on the Australian Securities Exchange, the Group uses the quoted price at the balance sheet date as the fair value of the options. For the investor options issued on June 14, 2024, fair values were determined internally using Binomial models as a quoted price was not available as at year end. Key inputs to the valuation include the share price at grant date, expected term, volatility, dividend yield, risk free rate and exercise price. Where relevant, the expected life used in the model has been adjusted based on management’s best estimate for the effects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transferability, exercise restrictions (including the probability of meeting market conditions attached to the option), and behavioral considerations. Expected volatility is based on the historical share price volatility over the past 2 years. These investor options were listed for trading on the Australian Securities Exchange in July 2024. Should the quoted price differ from the internally determined fair value, this could have a material impact on the amounts recognized in derivative financial liabilities and in the profit and loss. Refer to Note 14 and 25 for further information.</w:t>
      </w:r>
    </w:p>
    <w:p>
      <w:pPr>
        <w:spacing w:after="0" w:line="163"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8"/>
          <w:szCs w:val="18"/>
          <w:i w:val="1"/>
          <w:iCs w:val="1"/>
          <w:color w:val="auto"/>
        </w:rPr>
        <w:t>Share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based payment transactions</w:t>
      </w:r>
    </w:p>
    <w:p>
      <w:pPr>
        <w:spacing w:after="0" w:line="225" w:lineRule="exact"/>
        <w:rPr>
          <w:sz w:val="20"/>
          <w:szCs w:val="20"/>
          <w:color w:val="auto"/>
        </w:rPr>
      </w:pPr>
    </w:p>
    <w:p>
      <w:pPr>
        <w:jc w:val="both"/>
        <w:ind w:firstLine="374"/>
        <w:spacing w:after="0" w:line="233" w:lineRule="exact"/>
        <w:rPr>
          <w:sz w:val="20"/>
          <w:szCs w:val="20"/>
          <w:color w:val="auto"/>
        </w:rPr>
      </w:pPr>
      <w:r>
        <w:rPr>
          <w:rFonts w:ascii="Times New Roman" w:cs="Times New Roman" w:eastAsia="Times New Roman" w:hAnsi="Times New Roman"/>
          <w:sz w:val="18"/>
          <w:szCs w:val="18"/>
          <w:color w:val="auto"/>
        </w:rPr>
        <w:t>The Group measures the cost of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 transactions with employees by reference to the fair value of the equity instruments at the date at which they are granted. Fair values are determined internally using Binomial models. The related assumptions are detailed in note 34. The accounting estimates and assumptions relating to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payments have no impact on the carrying amounts of assets and liabilities in future reporting periods but may impact expenses and equity. Should one or more of the assumptions and estimates used in estimating the fair value of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payments change, this could have a material impact on the amounts recognized in equity and employee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 Refer to Note 39 for further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Application of New and Revised Accounting Standards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and amended Accounting Standards that are effective for the current year</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Group has adopted all of the new and revised Standards and Interpretations issued by the International Accounting Standards Board (the IASB) that are relevant to its operations and effective for the current year.</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the current year, the Group has applied a number of amendments to International Financial Reporting Standards and Interpretations issued by the International Accounting Standards Board (IASB) that are effective for an annual period that begins on or after July 1, 2023. Their adoption has not had any material impact on the disclosures or on the amounts reported in these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and revised International Accounting Standards and Interpretations on issue but not yet effective</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At the date of authorization of the financial statements, certain new accounting standard and interpretations have been published that are not mandatory for June 30, 2024 reporting periods and have not been early adopted by the Company.</w:t>
      </w:r>
    </w:p>
    <w:p>
      <w:pPr>
        <w:spacing w:after="0" w:line="52" w:lineRule="exact"/>
        <w:rPr>
          <w:sz w:val="20"/>
          <w:szCs w:val="20"/>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IFRS 18 </w:t>
      </w:r>
      <w:r>
        <w:rPr>
          <w:rFonts w:ascii="Times New Roman" w:cs="Times New Roman" w:eastAsia="Times New Roman" w:hAnsi="Times New Roman"/>
          <w:sz w:val="18"/>
          <w:szCs w:val="18"/>
          <w:i w:val="1"/>
          <w:iCs w:val="1"/>
          <w:color w:val="auto"/>
        </w:rPr>
        <w:t>Presentation and Disclosure in Financial Statements</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Directors have not yet evaluated the impact that the new and revised Accounting Standards, Interpretations and amendments will have on the Group's financial statements.</w:t>
      </w:r>
    </w:p>
    <w:p>
      <w:pPr>
        <w:spacing w:after="0" w:line="162"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Group has not applied the new and revised International Accounting Standards, Interpretations and amendments that have been issued but are not yet effective.</w:t>
      </w:r>
    </w:p>
    <w:p>
      <w:pPr>
        <w:spacing w:after="0" w:line="162"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The new and revised Accounting Standards, Interpretations and amendments are not expected to have a material impact on the amounts recognized or disclosures included in the Group’s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Segment Information</w:t>
      </w:r>
    </w:p>
    <w:p>
      <w:pPr>
        <w:spacing w:after="0" w:line="22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Group operates in one industry and two geographical areas, those being the biotechnology and healthcare industry and Australia and United States, respectively.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Group is focused primarily on developing a novel therapy for the treatment of highly prevalent and progressive retinal diseases.</w:t>
      </w:r>
    </w:p>
    <w:p>
      <w:pPr>
        <w:spacing w:after="0" w:line="22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chief executive officer regularly reviews entity wide information that is compliant with International Financial Reporting Standards. There is only one segment for segment reporting purposes, and the information reviewed by the chief executive officer for the purpose of resources allocation and performance assessment is the same as the information presented in the consolidated financial statements.</w:t>
      </w:r>
    </w:p>
    <w:p>
      <w:pPr>
        <w:spacing w:after="0" w:line="176" w:lineRule="exact"/>
        <w:rPr>
          <w:sz w:val="20"/>
          <w:szCs w:val="20"/>
          <w:color w:val="auto"/>
        </w:rPr>
      </w:pPr>
    </w:p>
    <w:p>
      <w:pPr>
        <w:jc w:val="both"/>
        <w:ind w:firstLine="374"/>
        <w:spacing w:after="0" w:line="220" w:lineRule="exact"/>
        <w:rPr>
          <w:sz w:val="20"/>
          <w:szCs w:val="20"/>
          <w:color w:val="auto"/>
        </w:rPr>
      </w:pPr>
      <w:r>
        <w:rPr>
          <w:rFonts w:ascii="Times New Roman" w:cs="Times New Roman" w:eastAsia="Times New Roman" w:hAnsi="Times New Roman"/>
          <w:sz w:val="18"/>
          <w:szCs w:val="18"/>
          <w:color w:val="auto"/>
        </w:rPr>
        <w:t>The Group’s only revenue stream in the current and previous financial year is royalty income generated from licenses granted in respect of the Group’s intellectual property that are unrelated to the Group’s core business and the development of sozinibercept and that are not under development. These licenses are primarily used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licensees for research purposes. All of the royalty income of US$124,666 (2023: US$108,406 2022:US$90,683) was generated from customers based outside of Australia. The Group does not have any major customers. All equipment is located in Australia and United States.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Revenue</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4280" w:type="dxa"/>
            <w:vAlign w:val="bottom"/>
            <w:gridSpan w:val="2"/>
          </w:tcPr>
          <w:p>
            <w:pPr>
              <w:ind w:left="3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36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24"/>
                <w:szCs w:val="24"/>
                <w:color w:val="auto"/>
              </w:rPr>
            </w:pPr>
          </w:p>
        </w:tc>
        <w:tc>
          <w:tcPr>
            <w:tcW w:w="13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24"/>
                <w:szCs w:val="24"/>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Sales-based royalties</w:t>
            </w:r>
          </w:p>
        </w:tc>
        <w:tc>
          <w:tcPr>
            <w:tcW w:w="29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124,666</w:t>
            </w:r>
          </w:p>
        </w:tc>
        <w:tc>
          <w:tcPr>
            <w:tcW w:w="2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108,406</w:t>
            </w: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90,683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124,666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108,406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90,683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Other Income</w:t>
            </w:r>
          </w:p>
        </w:tc>
        <w:tc>
          <w:tcPr>
            <w:tcW w:w="29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80" w:type="dxa"/>
            <w:vAlign w:val="bottom"/>
            <w:vMerge w:val="continue"/>
          </w:tcPr>
          <w:p>
            <w:pPr>
              <w:spacing w:after="0"/>
              <w:rPr>
                <w:sz w:val="24"/>
                <w:szCs w:val="24"/>
                <w:color w:val="auto"/>
              </w:rPr>
            </w:pPr>
          </w:p>
        </w:tc>
        <w:tc>
          <w:tcPr>
            <w:tcW w:w="2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3680" w:type="dxa"/>
            <w:vAlign w:val="bottom"/>
          </w:tcPr>
          <w:p>
            <w:pPr>
              <w:spacing w:after="0"/>
              <w:rPr>
                <w:sz w:val="24"/>
                <w:szCs w:val="24"/>
                <w:color w:val="auto"/>
              </w:rPr>
            </w:pPr>
          </w:p>
        </w:tc>
        <w:tc>
          <w:tcPr>
            <w:tcW w:w="4280" w:type="dxa"/>
            <w:vAlign w:val="bottom"/>
            <w:gridSpan w:val="2"/>
          </w:tcPr>
          <w:p>
            <w:pPr>
              <w:ind w:left="3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36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24"/>
                <w:szCs w:val="24"/>
                <w:color w:val="auto"/>
              </w:rPr>
            </w:pPr>
          </w:p>
        </w:tc>
        <w:tc>
          <w:tcPr>
            <w:tcW w:w="13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24"/>
                <w:szCs w:val="24"/>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 and other income</w:t>
            </w:r>
          </w:p>
        </w:tc>
        <w:tc>
          <w:tcPr>
            <w:tcW w:w="29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137,193</w:t>
            </w:r>
          </w:p>
        </w:tc>
        <w:tc>
          <w:tcPr>
            <w:tcW w:w="2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276,869</w:t>
            </w: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108,322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29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137,193</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276,869</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108,322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680" w:type="dxa"/>
            <w:vAlign w:val="bottom"/>
          </w:tcPr>
          <w:p>
            <w:pPr>
              <w:spacing w:after="0"/>
              <w:rPr>
                <w:sz w:val="24"/>
                <w:szCs w:val="24"/>
                <w:color w:val="auto"/>
              </w:rPr>
            </w:pPr>
          </w:p>
        </w:tc>
        <w:tc>
          <w:tcPr>
            <w:tcW w:w="4280" w:type="dxa"/>
            <w:vAlign w:val="bottom"/>
            <w:gridSpan w:val="2"/>
          </w:tcPr>
          <w:p>
            <w:pPr>
              <w:jc w:val="right"/>
              <w:ind w:right="2077"/>
              <w:spacing w:after="0"/>
              <w:rPr>
                <w:sz w:val="20"/>
                <w:szCs w:val="20"/>
                <w:color w:val="auto"/>
              </w:rPr>
            </w:pPr>
            <w:r>
              <w:rPr>
                <w:rFonts w:ascii="Times New Roman" w:cs="Times New Roman" w:eastAsia="Times New Roman" w:hAnsi="Times New Roman"/>
                <w:sz w:val="18"/>
                <w:szCs w:val="18"/>
                <w:color w:val="auto"/>
              </w:rPr>
              <w:t>F-19</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-2459355</wp:posOffset>
            </wp:positionV>
            <wp:extent cx="774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-2459355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-1233805</wp:posOffset>
            </wp:positionV>
            <wp:extent cx="7747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-1233805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Research and Development Expenses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13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6580" w:type="dxa"/>
            <w:vAlign w:val="bottom"/>
          </w:tcPr>
          <w:p>
            <w:pPr>
              <w:spacing w:after="0"/>
              <w:rPr>
                <w:sz w:val="24"/>
                <w:szCs w:val="24"/>
                <w:color w:val="auto"/>
              </w:rPr>
            </w:pPr>
          </w:p>
        </w:tc>
        <w:tc>
          <w:tcPr>
            <w:tcW w:w="13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37"/>
        </w:trPr>
        <w:tc>
          <w:tcPr>
            <w:tcW w:w="65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Employee benefits expenses:</w:t>
            </w:r>
          </w:p>
        </w:tc>
        <w:tc>
          <w:tcPr>
            <w:tcW w:w="1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58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Salaries and fees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4,809,177</w:t>
            </w:r>
          </w:p>
        </w:tc>
        <w:tc>
          <w:tcPr>
            <w:tcW w:w="1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3,756,109</w:t>
            </w:r>
          </w:p>
        </w:tc>
        <w:tc>
          <w:tcPr>
            <w:tcW w:w="1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1,407,205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bonuses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1,424,817</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445,097</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190,198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Superannuation</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182,223</w:t>
            </w:r>
          </w:p>
        </w:tc>
        <w:tc>
          <w:tcPr>
            <w:tcW w:w="1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120,311</w:t>
            </w:r>
          </w:p>
        </w:tc>
        <w:tc>
          <w:tcPr>
            <w:tcW w:w="1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Share-based payments expense</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1,299,456</w:t>
            </w:r>
          </w:p>
        </w:tc>
        <w:tc>
          <w:tcPr>
            <w:tcW w:w="120" w:type="dxa"/>
            <w:vAlign w:val="bottom"/>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1,909,173</w:t>
            </w:r>
          </w:p>
        </w:tc>
        <w:tc>
          <w:tcPr>
            <w:tcW w:w="100" w:type="dxa"/>
            <w:vAlign w:val="bottom"/>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829,598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employee benefits expense</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7,715,673</w:t>
            </w:r>
          </w:p>
        </w:tc>
        <w:tc>
          <w:tcPr>
            <w:tcW w:w="1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6,230,690</w:t>
            </w:r>
          </w:p>
        </w:tc>
        <w:tc>
          <w:tcPr>
            <w:tcW w:w="1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2,498,056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Payroll tax</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295,069</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207,562</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81,281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Research Insurance</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322,306</w:t>
            </w:r>
          </w:p>
        </w:tc>
        <w:tc>
          <w:tcPr>
            <w:tcW w:w="1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262,322</w:t>
            </w:r>
          </w:p>
        </w:tc>
        <w:tc>
          <w:tcPr>
            <w:tcW w:w="1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212,289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Research project costs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167,993,273</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122,128,314</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78,654,217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176,326,321</w:t>
            </w:r>
          </w:p>
        </w:tc>
        <w:tc>
          <w:tcPr>
            <w:tcW w:w="120" w:type="dxa"/>
            <w:vAlign w:val="bottom"/>
          </w:tcPr>
          <w:p>
            <w:pPr>
              <w:spacing w:after="0"/>
              <w:rPr>
                <w:sz w:val="21"/>
                <w:szCs w:val="21"/>
                <w:color w:val="auto"/>
              </w:rPr>
            </w:pP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128,828,888</w:t>
            </w:r>
          </w:p>
        </w:tc>
        <w:tc>
          <w:tcPr>
            <w:tcW w:w="100" w:type="dxa"/>
            <w:vAlign w:val="bottom"/>
          </w:tcPr>
          <w:p>
            <w:pPr>
              <w:spacing w:after="0"/>
              <w:rPr>
                <w:sz w:val="21"/>
                <w:szCs w:val="21"/>
                <w:color w:val="auto"/>
              </w:rPr>
            </w:pP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81,445,843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research project costs relate to the research programs in respect to the treatment of eye diseases by sozinibercept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Expenses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2"/>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540"/>
        </w:trPr>
        <w:tc>
          <w:tcPr>
            <w:tcW w:w="6580" w:type="dxa"/>
            <w:vAlign w:val="bottom"/>
          </w:tcPr>
          <w:p>
            <w:pPr>
              <w:spacing w:after="0"/>
              <w:rPr>
                <w:sz w:val="24"/>
                <w:szCs w:val="24"/>
                <w:color w:val="auto"/>
              </w:rPr>
            </w:pPr>
          </w:p>
        </w:tc>
        <w:tc>
          <w:tcPr>
            <w:tcW w:w="13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24"/>
                <w:szCs w:val="24"/>
                <w:color w:val="auto"/>
              </w:rPr>
            </w:pPr>
          </w:p>
        </w:tc>
        <w:tc>
          <w:tcPr>
            <w:tcW w:w="13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24"/>
                <w:szCs w:val="24"/>
                <w:color w:val="auto"/>
              </w:rPr>
            </w:pP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658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44"/>
        </w:trPr>
        <w:tc>
          <w:tcPr>
            <w:tcW w:w="6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Administrative expenses</w:t>
            </w:r>
          </w:p>
        </w:tc>
        <w:tc>
          <w:tcPr>
            <w:tcW w:w="13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benefits expenses:</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6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Salaries and fees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3,946,256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2,518,450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1,524,038</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bonuses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707,384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820,848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186,451</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Superannuation</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120,197</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167,086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100,844</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Share-based payments expense</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3,785,157</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3,925,513</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4,421,974</w:t>
            </w:r>
          </w:p>
        </w:tc>
        <w:tc>
          <w:tcPr>
            <w:tcW w:w="100" w:type="dxa"/>
            <w:vAlign w:val="bottom"/>
          </w:tcPr>
          <w:p>
            <w:pPr>
              <w:spacing w:after="0"/>
              <w:rPr>
                <w:sz w:val="20"/>
                <w:szCs w:val="20"/>
                <w:color w:val="auto"/>
              </w:rPr>
            </w:pPr>
          </w:p>
        </w:tc>
      </w:tr>
      <w:tr>
        <w:trPr>
          <w:trHeight w:val="23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employee benefits expense</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8,558,994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7,431,897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6,233,307</w:t>
            </w:r>
          </w:p>
        </w:tc>
        <w:tc>
          <w:tcPr>
            <w:tcW w:w="100" w:type="dxa"/>
            <w:vAlign w:val="bottom"/>
            <w:shd w:val="clear" w:color="auto" w:fill="CFF0FC"/>
          </w:tcPr>
          <w:p>
            <w:pPr>
              <w:spacing w:after="0"/>
              <w:rPr>
                <w:sz w:val="20"/>
                <w:szCs w:val="20"/>
                <w:color w:val="auto"/>
              </w:rPr>
            </w:pPr>
          </w:p>
        </w:tc>
      </w:tr>
      <w:tr>
        <w:trPr>
          <w:trHeight w:val="241"/>
        </w:trPr>
        <w:tc>
          <w:tcPr>
            <w:tcW w:w="6580" w:type="dxa"/>
            <w:vAlign w:val="bottom"/>
            <w:tcBorders>
              <w:top w:val="single" w:sz="8" w:color="CFF0F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1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Insurance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1,669,307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2,289,446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3,992,816</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Investor relations costs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383,092</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451,378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328,026</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Audit and accounting</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526,002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337,038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496,652</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Travel expenses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743,878</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580,644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13,616</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Payroll tax</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186,627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132,441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91,604</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Legal fees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1,303,884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1,330,054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1,252,014</w:t>
            </w:r>
          </w:p>
        </w:tc>
        <w:tc>
          <w:tcPr>
            <w:tcW w:w="100" w:type="dxa"/>
            <w:vAlign w:val="bottom"/>
            <w:shd w:val="clear" w:color="auto" w:fill="CFF0FC"/>
          </w:tcPr>
          <w:p>
            <w:pPr>
              <w:spacing w:after="0"/>
              <w:rPr>
                <w:sz w:val="21"/>
                <w:szCs w:val="21"/>
                <w:color w:val="auto"/>
              </w:rPr>
            </w:pPr>
          </w:p>
        </w:tc>
      </w:tr>
      <w:tr>
        <w:trPr>
          <w:trHeight w:val="243"/>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Advisory fees</w:t>
            </w:r>
            <w:r>
              <w:rPr>
                <w:rFonts w:ascii="Times New Roman" w:cs="Times New Roman" w:eastAsia="Times New Roman" w:hAnsi="Times New Roman"/>
                <w:sz w:val="21"/>
                <w:szCs w:val="21"/>
                <w:color w:val="auto"/>
                <w:vertAlign w:val="superscript"/>
              </w:rPr>
              <w:t>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6,084,005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156,978</w:t>
            </w:r>
          </w:p>
        </w:tc>
        <w:tc>
          <w:tcPr>
            <w:tcW w:w="100" w:type="dxa"/>
            <w:vAlign w:val="bottom"/>
          </w:tcPr>
          <w:p>
            <w:pPr>
              <w:spacing w:after="0"/>
              <w:rPr>
                <w:sz w:val="21"/>
                <w:szCs w:val="21"/>
                <w:color w:val="auto"/>
              </w:rPr>
            </w:pPr>
          </w:p>
        </w:tc>
      </w:tr>
      <w:tr>
        <w:trPr>
          <w:trHeight w:val="243"/>
        </w:trPr>
        <w:tc>
          <w:tcPr>
            <w:tcW w:w="6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Consultancy costs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708,955</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1,389,048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1,619,824</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expenses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1,586,268</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1,455,004</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1,027,906</w:t>
            </w:r>
          </w:p>
        </w:tc>
        <w:tc>
          <w:tcPr>
            <w:tcW w:w="100" w:type="dxa"/>
            <w:vAlign w:val="bottom"/>
          </w:tcPr>
          <w:p>
            <w:pPr>
              <w:spacing w:after="0"/>
              <w:rPr>
                <w:sz w:val="20"/>
                <w:szCs w:val="20"/>
                <w:color w:val="auto"/>
              </w:rPr>
            </w:pPr>
          </w:p>
        </w:tc>
      </w:tr>
      <w:tr>
        <w:trPr>
          <w:trHeight w:val="23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expenses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7,116,252</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14,049,058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8,979,436</w:t>
            </w:r>
          </w:p>
        </w:tc>
        <w:tc>
          <w:tcPr>
            <w:tcW w:w="100" w:type="dxa"/>
            <w:vAlign w:val="bottom"/>
            <w:shd w:val="clear" w:color="auto" w:fill="CFF0FC"/>
          </w:tcPr>
          <w:p>
            <w:pPr>
              <w:spacing w:after="0"/>
              <w:rPr>
                <w:sz w:val="20"/>
                <w:szCs w:val="20"/>
                <w:color w:val="auto"/>
              </w:rPr>
            </w:pPr>
          </w:p>
        </w:tc>
      </w:tr>
      <w:tr>
        <w:trPr>
          <w:trHeight w:val="241"/>
        </w:trPr>
        <w:tc>
          <w:tcPr>
            <w:tcW w:w="6580" w:type="dxa"/>
            <w:vAlign w:val="bottom"/>
            <w:tcBorders>
              <w:top w:val="single" w:sz="8" w:color="CFF0F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of:</w:t>
            </w:r>
          </w:p>
        </w:tc>
        <w:tc>
          <w:tcPr>
            <w:tcW w:w="1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Equipment and furniture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100" w:type="dxa"/>
            <w:vAlign w:val="bottom"/>
          </w:tcPr>
          <w:p>
            <w:pPr>
              <w:spacing w:after="0"/>
              <w:rPr>
                <w:sz w:val="20"/>
                <w:szCs w:val="20"/>
                <w:color w:val="auto"/>
              </w:rPr>
            </w:pPr>
          </w:p>
        </w:tc>
      </w:tr>
      <w:tr>
        <w:trPr>
          <w:trHeight w:val="243"/>
        </w:trPr>
        <w:tc>
          <w:tcPr>
            <w:tcW w:w="65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Right-of-use assets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84,225</w:t>
            </w: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84,226</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101,226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78,382</w:t>
            </w:r>
          </w:p>
        </w:tc>
        <w:tc>
          <w:tcPr>
            <w:tcW w:w="100" w:type="dxa"/>
            <w:vAlign w:val="bottom"/>
          </w:tcPr>
          <w:p>
            <w:pPr>
              <w:spacing w:after="0"/>
              <w:rPr>
                <w:sz w:val="20"/>
                <w:szCs w:val="20"/>
                <w:color w:val="auto"/>
              </w:rPr>
            </w:pPr>
          </w:p>
        </w:tc>
      </w:tr>
      <w:tr>
        <w:trPr>
          <w:trHeight w:val="241"/>
        </w:trPr>
        <w:tc>
          <w:tcPr>
            <w:tcW w:w="658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disposal of non-current assets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0"/>
                <w:szCs w:val="20"/>
                <w:color w:val="auto"/>
              </w:rPr>
            </w:pPr>
          </w:p>
        </w:tc>
      </w:tr>
      <w:tr>
        <w:trPr>
          <w:trHeight w:val="247"/>
        </w:trPr>
        <w:tc>
          <w:tcPr>
            <w:tcW w:w="658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administrative expenses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15,778,271</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21,582,181</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15,291,294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-3299460</wp:posOffset>
            </wp:positionV>
            <wp:extent cx="774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-3299460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-3299460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-1430655</wp:posOffset>
            </wp:positionV>
            <wp:extent cx="774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-1430655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-805180</wp:posOffset>
            </wp:positionV>
            <wp:extent cx="7747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-805180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-170815</wp:posOffset>
            </wp:positionV>
            <wp:extent cx="7747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60" w:right="4120" w:hanging="5452"/>
        <w:spacing w:after="0" w:line="783" w:lineRule="auto"/>
        <w:tabs>
          <w:tab w:leader="none" w:pos="38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fees relates to a market assessment of potential financing alternatives and solutions. 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Finance Income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13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6580" w:type="dxa"/>
            <w:vAlign w:val="bottom"/>
          </w:tcPr>
          <w:p>
            <w:pPr>
              <w:spacing w:after="0"/>
              <w:rPr>
                <w:sz w:val="24"/>
                <w:szCs w:val="24"/>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24"/>
                <w:szCs w:val="24"/>
                <w:color w:val="auto"/>
              </w:rPr>
            </w:pPr>
          </w:p>
        </w:tc>
        <w:tc>
          <w:tcPr>
            <w:tcW w:w="13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24"/>
                <w:szCs w:val="24"/>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3,394,726</w:t>
            </w:r>
          </w:p>
        </w:tc>
        <w:tc>
          <w:tcPr>
            <w:tcW w:w="2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3,227,496</w:t>
            </w: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235,468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finance income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3,394,726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3,227,496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235,468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12. Interest expense on DFA</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5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6580" w:type="dxa"/>
            <w:vAlign w:val="bottom"/>
          </w:tcPr>
          <w:p>
            <w:pPr>
              <w:spacing w:after="0"/>
              <w:rPr>
                <w:sz w:val="24"/>
                <w:szCs w:val="24"/>
                <w:color w:val="auto"/>
              </w:rPr>
            </w:pPr>
          </w:p>
        </w:tc>
        <w:tc>
          <w:tcPr>
            <w:tcW w:w="13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580" w:type="dxa"/>
            <w:vAlign w:val="bottom"/>
          </w:tcPr>
          <w:p>
            <w:pPr>
              <w:spacing w:after="0"/>
              <w:rPr>
                <w:sz w:val="24"/>
                <w:szCs w:val="24"/>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24"/>
                <w:szCs w:val="24"/>
                <w:color w:val="auto"/>
              </w:rPr>
            </w:pPr>
          </w:p>
        </w:tc>
        <w:tc>
          <w:tcPr>
            <w:tcW w:w="13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24"/>
                <w:szCs w:val="24"/>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on DFA</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30,263,042</w:t>
            </w:r>
          </w:p>
        </w:tc>
        <w:tc>
          <w:tcPr>
            <w:tcW w:w="2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13,462,160</w:t>
            </w: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interest expense on DFA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30,263,042</w:t>
            </w:r>
          </w:p>
        </w:tc>
        <w:tc>
          <w:tcPr>
            <w:tcW w:w="16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13,462,160</w:t>
            </w:r>
          </w:p>
        </w:tc>
        <w:tc>
          <w:tcPr>
            <w:tcW w:w="2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The interest expense on DFA is non-cash interest at the imputed rate of 23%.</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Gain on remeasurement of financial liability -DFA</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6580" w:type="dxa"/>
            <w:vAlign w:val="bottom"/>
          </w:tcPr>
          <w:p>
            <w:pPr>
              <w:spacing w:after="0"/>
              <w:rPr>
                <w:sz w:val="24"/>
                <w:szCs w:val="24"/>
                <w:color w:val="auto"/>
              </w:rPr>
            </w:pPr>
          </w:p>
        </w:tc>
        <w:tc>
          <w:tcPr>
            <w:tcW w:w="13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580" w:type="dxa"/>
            <w:vAlign w:val="bottom"/>
          </w:tcPr>
          <w:p>
            <w:pPr>
              <w:spacing w:after="0"/>
              <w:rPr>
                <w:sz w:val="24"/>
                <w:szCs w:val="24"/>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24"/>
                <w:szCs w:val="24"/>
                <w:color w:val="auto"/>
              </w:rPr>
            </w:pPr>
          </w:p>
        </w:tc>
        <w:tc>
          <w:tcPr>
            <w:tcW w:w="13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24"/>
                <w:szCs w:val="24"/>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remeasurement of financial liability - DFA</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387,284</w:t>
            </w:r>
          </w:p>
        </w:tc>
        <w:tc>
          <w:tcPr>
            <w:tcW w:w="2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12,302,160</w:t>
            </w: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gain on remeasurement of financial liability - DFA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387,284</w:t>
            </w:r>
          </w:p>
        </w:tc>
        <w:tc>
          <w:tcPr>
            <w:tcW w:w="16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12,302,160</w:t>
            </w:r>
          </w:p>
        </w:tc>
        <w:tc>
          <w:tcPr>
            <w:tcW w:w="2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-2699385</wp:posOffset>
            </wp:positionV>
            <wp:extent cx="774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-2699385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-1576705</wp:posOffset>
            </wp:positionV>
            <wp:extent cx="7747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-1576705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-187960</wp:posOffset>
            </wp:positionV>
            <wp:extent cx="774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At each reporting date, the Group reassess the estimated timing of regulatory approval and attainment of sales milestones and the expected fixed and variable contractual success fee payments due therefrom. If the timing and/or amount of such expected payments is materially different from the estimates used on the initial recognition date, the Group will adjust the accretion of the development financing liability using the previously determined imputed interest rate.</w:t>
      </w:r>
    </w:p>
    <w:p>
      <w:pPr>
        <w:spacing w:after="0" w:line="180" w:lineRule="exact"/>
        <w:rPr>
          <w:sz w:val="20"/>
          <w:szCs w:val="20"/>
          <w:color w:val="auto"/>
        </w:rPr>
      </w:pPr>
    </w:p>
    <w:p>
      <w:pPr>
        <w:jc w:val="both"/>
        <w:ind w:firstLine="374"/>
        <w:spacing w:after="0" w:line="220" w:lineRule="exact"/>
        <w:rPr>
          <w:sz w:val="20"/>
          <w:szCs w:val="20"/>
          <w:color w:val="auto"/>
        </w:rPr>
      </w:pPr>
      <w:r>
        <w:rPr>
          <w:rFonts w:ascii="Times New Roman" w:cs="Times New Roman" w:eastAsia="Times New Roman" w:hAnsi="Times New Roman"/>
          <w:sz w:val="18"/>
          <w:szCs w:val="18"/>
          <w:color w:val="auto"/>
        </w:rPr>
        <w:t>At June 30, 2023 the Group performed a remeasurement of the carrying amount of the Financial Liability. The expected timeline for approval and commercial launch have been delayed by twelve months, thus extending date of expected repayments. As the Group has more time to repay the amounts owed, the carrying value of the Financial Liability at June 30, 2023 was adjusted downward to reflect this delay. The remeasurement resulted in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gain on revaluation of $12.3 million. This change is recorded on the Profit or Loss statement as a gain on remeasurement of financial liability.</w:t>
      </w:r>
    </w:p>
    <w:p>
      <w:pPr>
        <w:spacing w:after="0" w:line="20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At June 30, 2024, the Group performed a remeasurement of the carrying amount of the Financial Liability recognized under the Development Funding Agreement. The remeasurement resulted in a non-cash gain on remeasurement of $0.4 million. This change is recorded on the consolidated statement of profit or loss and other comprehensive income as an unrealized adjustment gain on the DFA. The Group will continue to accrete non-cash interest at the imputed rate of approximately 23%. Refer to Note 27.</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DFA financial liability is initially recognized at fair value, and subsequently measured at amortized cost, using the effective interest rate method. In the prior period, changes in the financial liability arising from changes in the expected timeline for approval and commercial launch were presented in the consolidated statement of profit or loss and other comprehensive income as a “Fair value adjustment gain on DFA.” In the current year, the description of this amount has been updated to “Gain on remeasurement of financial liability – DFA” to better reflect the underlying nature of the instrument and the subsequent measurement at amortized cost. This change had no effect on the statement of financial position and the reported results of operations in any of the financial periods presented.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Fair value loss on derivative - investor options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13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6580" w:type="dxa"/>
            <w:vAlign w:val="bottom"/>
          </w:tcPr>
          <w:p>
            <w:pPr>
              <w:spacing w:after="0"/>
              <w:rPr>
                <w:sz w:val="24"/>
                <w:szCs w:val="24"/>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24"/>
                <w:szCs w:val="24"/>
                <w:color w:val="auto"/>
              </w:rPr>
            </w:pPr>
          </w:p>
        </w:tc>
        <w:tc>
          <w:tcPr>
            <w:tcW w:w="13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24"/>
                <w:szCs w:val="24"/>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580" w:type="dxa"/>
            <w:vAlign w:val="bottom"/>
          </w:tcPr>
          <w:p>
            <w:pPr>
              <w:ind w:left="200"/>
              <w:spacing w:after="0" w:line="205" w:lineRule="exact"/>
              <w:rPr>
                <w:sz w:val="20"/>
                <w:szCs w:val="20"/>
                <w:color w:val="auto"/>
              </w:rPr>
            </w:pPr>
            <w:r>
              <w:rPr>
                <w:rFonts w:ascii="Times New Roman" w:cs="Times New Roman" w:eastAsia="Times New Roman" w:hAnsi="Times New Roman"/>
                <w:sz w:val="18"/>
                <w:szCs w:val="18"/>
                <w:color w:val="auto"/>
              </w:rPr>
              <w:t>Fair value loss on derivative - investor options in September 2023 (2023 Investor</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11,192,991</w:t>
            </w:r>
          </w:p>
        </w:tc>
        <w:tc>
          <w:tcPr>
            <w:tcW w:w="24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65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options)</w:t>
            </w:r>
          </w:p>
        </w:tc>
        <w:tc>
          <w:tcPr>
            <w:tcW w:w="13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58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6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loss on derivative - investor options in June 2024 (2024 Investor options)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30,544</w:t>
            </w: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fair value loss on derivative - investor options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11,223,535</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760"/>
              <w:spacing w:after="0"/>
              <w:rPr>
                <w:sz w:val="20"/>
                <w:szCs w:val="20"/>
                <w:color w:val="auto"/>
              </w:rPr>
            </w:pPr>
            <w:r>
              <w:rPr>
                <w:rFonts w:ascii="Times New Roman" w:cs="Times New Roman" w:eastAsia="Times New Roman" w:hAnsi="Times New Roman"/>
                <w:sz w:val="15"/>
                <w:szCs w:val="15"/>
                <w:color w:val="414042"/>
              </w:rPr>
              <w:t>Refer to Note 25 and Note 30.</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5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Net Foreign Exchange loss</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5"/>
        </w:trPr>
        <w:tc>
          <w:tcPr>
            <w:tcW w:w="6580" w:type="dxa"/>
            <w:vAlign w:val="bottom"/>
          </w:tcPr>
          <w:p>
            <w:pPr>
              <w:spacing w:after="0"/>
              <w:rPr>
                <w:sz w:val="24"/>
                <w:szCs w:val="24"/>
                <w:color w:val="auto"/>
              </w:rPr>
            </w:pPr>
          </w:p>
        </w:tc>
        <w:tc>
          <w:tcPr>
            <w:tcW w:w="13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580" w:type="dxa"/>
            <w:vAlign w:val="bottom"/>
          </w:tcPr>
          <w:p>
            <w:pPr>
              <w:spacing w:after="0"/>
              <w:rPr>
                <w:sz w:val="24"/>
                <w:szCs w:val="24"/>
                <w:color w:val="auto"/>
              </w:rPr>
            </w:pPr>
          </w:p>
        </w:tc>
        <w:tc>
          <w:tcPr>
            <w:tcW w:w="13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24"/>
                <w:szCs w:val="24"/>
                <w:color w:val="auto"/>
              </w:rPr>
            </w:pPr>
          </w:p>
        </w:tc>
        <w:tc>
          <w:tcPr>
            <w:tcW w:w="13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24"/>
                <w:szCs w:val="24"/>
                <w:color w:val="auto"/>
              </w:rPr>
            </w:pP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37"/>
        </w:trPr>
        <w:tc>
          <w:tcPr>
            <w:tcW w:w="658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6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foreign exchange loss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107,001</w:t>
            </w:r>
          </w:p>
        </w:tc>
        <w:tc>
          <w:tcPr>
            <w:tcW w:w="2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489,137</w:t>
            </w: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2,813,993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net foreign exchange loss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107,001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489,137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2,813,993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-1807845</wp:posOffset>
            </wp:positionV>
            <wp:extent cx="7747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-1807845</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-187960</wp:posOffset>
            </wp:positionV>
            <wp:extent cx="774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Exchange differences arising on the translation of monetary items are recognized in the consolidated statements of profit and loss and other comprehensive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900" w:type="dxa"/>
            <w:vAlign w:val="bottom"/>
            <w:gridSpan w:val="2"/>
          </w:tcPr>
          <w:p>
            <w:pPr>
              <w:jc w:val="center"/>
              <w:ind w:lef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0"/>
        </w:trPr>
        <w:tc>
          <w:tcPr>
            <w:tcW w:w="5980" w:type="dxa"/>
            <w:vAlign w:val="bottom"/>
          </w:tcPr>
          <w:p>
            <w:pPr>
              <w:spacing w:after="0"/>
              <w:rPr>
                <w:sz w:val="24"/>
                <w:szCs w:val="24"/>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320" w:type="dxa"/>
            <w:vAlign w:val="bottom"/>
          </w:tcPr>
          <w:p>
            <w:pPr>
              <w:spacing w:after="0"/>
              <w:rPr>
                <w:sz w:val="24"/>
                <w:szCs w:val="24"/>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(a) Income tax benefit</w:t>
            </w:r>
          </w:p>
        </w:tc>
        <w:tc>
          <w:tcPr>
            <w:tcW w:w="14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major components of income tax benefit are:</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Statement of Profit or Loss and Other Comprehensive Income</w:t>
            </w:r>
          </w:p>
        </w:tc>
        <w:tc>
          <w:tcPr>
            <w:tcW w:w="1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Current tax</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(985,843 )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income tax credit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10,398,039</w:t>
            </w:r>
          </w:p>
        </w:tc>
        <w:tc>
          <w:tcPr>
            <w:tcW w:w="24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5,926,350</w:t>
            </w:r>
          </w:p>
        </w:tc>
        <w:tc>
          <w:tcPr>
            <w:tcW w:w="32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6,299,286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9,412,196</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5,926,350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6,299,286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98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Deferred tax</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 respect of the current year</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income tax benefit recognized in the Statement of Comprehensive</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9,412,196</w:t>
            </w:r>
          </w:p>
        </w:tc>
        <w:tc>
          <w:tcPr>
            <w:tcW w:w="240" w:type="dxa"/>
            <w:vAlign w:val="bottom"/>
          </w:tcPr>
          <w:p>
            <w:pPr>
              <w:spacing w:after="0"/>
              <w:rPr>
                <w:sz w:val="18"/>
                <w:szCs w:val="18"/>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5,926,350</w:t>
            </w:r>
          </w:p>
        </w:tc>
        <w:tc>
          <w:tcPr>
            <w:tcW w:w="1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6,299,286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59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Income</w:t>
            </w:r>
          </w:p>
        </w:tc>
        <w:tc>
          <w:tcPr>
            <w:tcW w:w="14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980" w:type="dxa"/>
            <w:vAlign w:val="bottom"/>
            <w:vMerge w:val="continue"/>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598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(b) Current tax receivable</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8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4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32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Tax Incentive Credit receivable</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10,398,039</w:t>
            </w:r>
          </w:p>
        </w:tc>
        <w:tc>
          <w:tcPr>
            <w:tcW w:w="24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5,926,350</w:t>
            </w:r>
          </w:p>
        </w:tc>
        <w:tc>
          <w:tcPr>
            <w:tcW w:w="32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6,299,286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-1567815</wp:posOffset>
            </wp:positionV>
            <wp:extent cx="7747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-1567815</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-933450</wp:posOffset>
            </wp:positionV>
            <wp:extent cx="7747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-933450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-170815</wp:posOffset>
            </wp:positionV>
            <wp:extent cx="7747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1" w:lineRule="exact"/>
        <w:rPr>
          <w:sz w:val="20"/>
          <w:szCs w:val="20"/>
          <w:color w:val="auto"/>
        </w:rPr>
      </w:pPr>
    </w:p>
    <w:p>
      <w:pPr>
        <w:ind w:firstLine="382"/>
        <w:spacing w:after="0" w:line="286" w:lineRule="auto"/>
        <w:tabs>
          <w:tab w:leader="none" w:pos="633"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Numerical reconciliation between aggregate income tax benefit recognized in the Statement of Profit of Loss and Other Comprehensive Income and benefit calculated per the statutory income tax rate</w:t>
      </w:r>
    </w:p>
    <w:p>
      <w:pPr>
        <w:sectPr>
          <w:pgSz w:w="11900" w:h="16838" w:orient="portrait"/>
          <w:cols w:equalWidth="0" w:num="1">
            <w:col w:w="11240"/>
          </w:cols>
          <w:pgMar w:left="320" w:top="765" w:right="339"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A reconciliation between income tax benefit and the product of accounting loss before income tax multiplied by the Group’s applicable income tax rate is as follows:</w:t>
      </w:r>
    </w:p>
    <w:p>
      <w:pPr>
        <w:spacing w:after="0" w:line="200" w:lineRule="exact"/>
        <w:rPr>
          <w:sz w:val="20"/>
          <w:szCs w:val="20"/>
          <w:color w:val="auto"/>
        </w:rPr>
      </w:pPr>
    </w:p>
    <w:p>
      <w:pPr>
        <w:spacing w:after="0" w:line="266" w:lineRule="exact"/>
        <w:rPr>
          <w:sz w:val="20"/>
          <w:szCs w:val="20"/>
          <w:color w:val="auto"/>
        </w:rPr>
      </w:pPr>
    </w:p>
    <w:p>
      <w:pPr>
        <w:ind w:left="6560"/>
        <w:spacing w:after="0"/>
        <w:tabs>
          <w:tab w:leader="none" w:pos="8300" w:val="left"/>
          <w:tab w:leader="none" w:pos="101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339" w:lineRule="exact"/>
        <w:rPr>
          <w:sz w:val="20"/>
          <w:szCs w:val="20"/>
          <w:color w:val="auto"/>
        </w:rPr>
      </w:pPr>
    </w:p>
    <w:p>
      <w:pPr>
        <w:ind w:left="6580"/>
        <w:spacing w:after="0"/>
        <w:tabs>
          <w:tab w:leader="none" w:pos="8320" w:val="left"/>
          <w:tab w:leader="none" w:pos="10140" w:val="left"/>
        </w:tabs>
        <w:rPr>
          <w:sz w:val="20"/>
          <w:szCs w:val="20"/>
          <w:color w:val="auto"/>
        </w:rPr>
      </w:pPr>
      <w:r>
        <w:rPr>
          <w:rFonts w:ascii="Times New Roman" w:cs="Times New Roman" w:eastAsia="Times New Roman" w:hAnsi="Times New Roman"/>
          <w:sz w:val="14"/>
          <w:szCs w:val="14"/>
          <w:b w:val="1"/>
          <w:bCs w:val="1"/>
          <w:color w:val="auto"/>
        </w:rPr>
        <w:t>US$</w:t>
      </w:r>
      <w:r>
        <w:rPr>
          <w:sz w:val="20"/>
          <w:szCs w:val="20"/>
          <w:color w:val="auto"/>
        </w:rPr>
        <w:tab/>
      </w:r>
      <w:r>
        <w:rPr>
          <w:rFonts w:ascii="Times New Roman" w:cs="Times New Roman" w:eastAsia="Times New Roman" w:hAnsi="Times New Roman"/>
          <w:sz w:val="14"/>
          <w:szCs w:val="14"/>
          <w:b w:val="1"/>
          <w:bCs w:val="1"/>
          <w:color w:val="auto"/>
        </w:rPr>
        <w:t>US$</w:t>
      </w:r>
      <w:r>
        <w:rPr>
          <w:sz w:val="20"/>
          <w:szCs w:val="20"/>
          <w:color w:val="auto"/>
        </w:rPr>
        <w:tab/>
      </w:r>
      <w:r>
        <w:rPr>
          <w:rFonts w:ascii="Times New Roman" w:cs="Times New Roman" w:eastAsia="Times New Roman" w:hAnsi="Times New Roman"/>
          <w:sz w:val="14"/>
          <w:szCs w:val="14"/>
          <w:b w:val="1"/>
          <w:bCs w:val="1"/>
          <w:color w:val="auto"/>
        </w:rPr>
        <w:t>US$</w:t>
      </w:r>
    </w:p>
    <w:p>
      <w:pPr>
        <w:sectPr>
          <w:pgSz w:w="11900" w:h="16838" w:orient="portrait"/>
          <w:cols w:equalWidth="0" w:num="1">
            <w:col w:w="11240"/>
          </w:cols>
          <w:pgMar w:left="320" w:top="765" w:right="339" w:bottom="1440" w:gutter="0" w:footer="0" w:header="0"/>
        </w:sectPr>
      </w:pPr>
    </w:p>
    <w:p>
      <w:pPr>
        <w:spacing w:after="0" w:line="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Accounting 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At the Company's statutory income tax rate of 30%</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R&amp;D tax incentive on eligible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Non-deductible R&amp;D expenditure</w:t>
      </w:r>
    </w:p>
    <w:p>
      <w:pPr>
        <w:spacing w:after="0" w:line="36" w:lineRule="exact"/>
        <w:rPr>
          <w:sz w:val="20"/>
          <w:szCs w:val="20"/>
          <w:color w:val="auto"/>
        </w:rPr>
      </w:pPr>
    </w:p>
    <w:p>
      <w:pPr>
        <w:ind w:left="200" w:right="720"/>
        <w:spacing w:after="0" w:line="281" w:lineRule="auto"/>
        <w:rPr>
          <w:sz w:val="20"/>
          <w:szCs w:val="20"/>
          <w:color w:val="auto"/>
        </w:rPr>
      </w:pPr>
      <w:r>
        <w:rPr>
          <w:rFonts w:ascii="Times New Roman" w:cs="Times New Roman" w:eastAsia="Times New Roman" w:hAnsi="Times New Roman"/>
          <w:sz w:val="18"/>
          <w:szCs w:val="18"/>
          <w:color w:val="auto"/>
        </w:rPr>
        <w:t>Other non-deductible expenses - share-based payment expense Amount of temporary differences and carried forward tax losses not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543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6319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200" w:firstLine="1"/>
        <w:spacing w:after="0" w:line="268" w:lineRule="auto"/>
        <w:tabs>
          <w:tab w:leader="none" w:pos="465"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Recognized deferred tax assets and liabilities in statement of financial position</w:t>
      </w: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income tax at June 30 relates to the following:</w:t>
      </w:r>
    </w:p>
    <w:p>
      <w:pPr>
        <w:spacing w:after="0" w:line="32"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tax liabilities:</w:t>
      </w:r>
    </w:p>
    <w:p>
      <w:pPr>
        <w:spacing w:after="0" w:line="40"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and royalty income receivable (future assessable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291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543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6256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(229,654,301 )</w:t>
            </w:r>
          </w:p>
        </w:tc>
        <w:tc>
          <w:tcPr>
            <w:tcW w:w="1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(148,447,435 )</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(99,116,657 )</w:t>
            </w:r>
          </w:p>
        </w:tc>
        <w:tc>
          <w:tcPr>
            <w:tcW w:w="0" w:type="dxa"/>
            <w:vAlign w:val="bottom"/>
          </w:tcPr>
          <w:p>
            <w:pPr>
              <w:spacing w:after="0"/>
              <w:rPr>
                <w:sz w:val="1"/>
                <w:szCs w:val="1"/>
                <w:color w:val="auto"/>
              </w:rPr>
            </w:pPr>
          </w:p>
        </w:tc>
      </w:tr>
      <w:tr>
        <w:trPr>
          <w:trHeight w:val="238"/>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68,896,290</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44,534,230</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29,734,997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10,398,039</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5,926,350</w:t>
            </w: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6,299,286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(7,175,011 )</w:t>
            </w:r>
          </w:p>
        </w:tc>
        <w:tc>
          <w:tcPr>
            <w:tcW w:w="1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(4,087,138 )</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(4,344,335 )</w:t>
            </w:r>
          </w:p>
        </w:tc>
        <w:tc>
          <w:tcPr>
            <w:tcW w:w="0" w:type="dxa"/>
            <w:vAlign w:val="bottom"/>
          </w:tcPr>
          <w:p>
            <w:pPr>
              <w:spacing w:after="0"/>
              <w:rPr>
                <w:sz w:val="1"/>
                <w:szCs w:val="1"/>
                <w:color w:val="auto"/>
              </w:rPr>
            </w:pPr>
          </w:p>
        </w:tc>
      </w:tr>
      <w:tr>
        <w:trPr>
          <w:trHeight w:val="243"/>
        </w:trPr>
        <w:tc>
          <w:tcPr>
            <w:tcW w:w="1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(1,525,384 )</w:t>
            </w:r>
          </w:p>
        </w:tc>
        <w:tc>
          <w:tcPr>
            <w:tcW w:w="1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(1,750,406 )</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(1,575,472 )</w:t>
            </w:r>
          </w:p>
        </w:tc>
        <w:tc>
          <w:tcPr>
            <w:tcW w:w="0" w:type="dxa"/>
            <w:vAlign w:val="bottom"/>
          </w:tcPr>
          <w:p>
            <w:pPr>
              <w:spacing w:after="0"/>
              <w:rPr>
                <w:sz w:val="1"/>
                <w:szCs w:val="1"/>
                <w:color w:val="auto"/>
              </w:rPr>
            </w:pPr>
          </w:p>
        </w:tc>
      </w:tr>
      <w:tr>
        <w:trPr>
          <w:trHeight w:val="338"/>
        </w:trPr>
        <w:tc>
          <w:tcPr>
            <w:tcW w:w="17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(61,181,738 )</w:t>
            </w:r>
          </w:p>
        </w:tc>
        <w:tc>
          <w:tcPr>
            <w:tcW w:w="17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(38,696,687 )</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(23,815,190 )</w:t>
            </w:r>
          </w:p>
        </w:tc>
        <w:tc>
          <w:tcPr>
            <w:tcW w:w="0" w:type="dxa"/>
            <w:vAlign w:val="bottom"/>
          </w:tcPr>
          <w:p>
            <w:pPr>
              <w:spacing w:after="0"/>
              <w:rPr>
                <w:sz w:val="1"/>
                <w:szCs w:val="1"/>
                <w:color w:val="auto"/>
              </w:rPr>
            </w:pPr>
          </w:p>
        </w:tc>
      </w:tr>
      <w:tr>
        <w:trPr>
          <w:trHeight w:val="115"/>
        </w:trPr>
        <w:tc>
          <w:tcPr>
            <w:tcW w:w="1700" w:type="dxa"/>
            <w:vAlign w:val="bottom"/>
            <w:gridSpan w:val="2"/>
            <w:vMerge w:val="continue"/>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1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9,412,196</w:t>
            </w:r>
          </w:p>
        </w:tc>
        <w:tc>
          <w:tcPr>
            <w:tcW w:w="240" w:type="dxa"/>
            <w:vAlign w:val="bottom"/>
          </w:tcPr>
          <w:p>
            <w:pPr>
              <w:spacing w:after="0"/>
              <w:rPr>
                <w:sz w:val="20"/>
                <w:szCs w:val="20"/>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5,926,350</w:t>
            </w:r>
          </w:p>
        </w:tc>
        <w:tc>
          <w:tcPr>
            <w:tcW w:w="220" w:type="dxa"/>
            <w:vAlign w:val="bottom"/>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6,299,286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1"/>
        </w:trPr>
        <w:tc>
          <w:tcPr>
            <w:tcW w:w="17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7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74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0" w:type="dxa"/>
            <w:vAlign w:val="bottom"/>
          </w:tcPr>
          <w:p>
            <w:pPr>
              <w:spacing w:after="0"/>
              <w:rPr>
                <w:sz w:val="1"/>
                <w:szCs w:val="1"/>
                <w:color w:val="auto"/>
              </w:rPr>
            </w:pPr>
          </w:p>
        </w:tc>
      </w:tr>
      <w:tr>
        <w:trPr>
          <w:trHeight w:val="844"/>
        </w:trPr>
        <w:tc>
          <w:tcPr>
            <w:tcW w:w="1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(77,184 )</w:t>
            </w:r>
          </w:p>
        </w:tc>
        <w:tc>
          <w:tcPr>
            <w:tcW w:w="1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(44,785 )</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(17,085 )</w:t>
            </w:r>
          </w:p>
        </w:tc>
        <w:tc>
          <w:tcPr>
            <w:tcW w:w="0" w:type="dxa"/>
            <w:vAlign w:val="bottom"/>
          </w:tcPr>
          <w:p>
            <w:pPr>
              <w:spacing w:after="0"/>
              <w:rPr>
                <w:sz w:val="1"/>
                <w:szCs w:val="1"/>
                <w:color w:val="auto"/>
              </w:rPr>
            </w:pPr>
          </w:p>
        </w:tc>
      </w:tr>
      <w:tr>
        <w:trPr>
          <w:trHeight w:val="241"/>
        </w:trPr>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(77,184</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(44,785</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(17,085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800" w:space="180"/>
            <w:col w:w="5260"/>
          </w:cols>
          <w:pgMar w:left="320" w:top="765" w:right="3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Deferred tax assets related to temporary differences:</w:t>
            </w:r>
          </w:p>
        </w:tc>
        <w:tc>
          <w:tcPr>
            <w:tcW w:w="1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Recognition of tax losses</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201,437</w:t>
            </w:r>
          </w:p>
        </w:tc>
        <w:tc>
          <w:tcPr>
            <w:tcW w:w="2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200,536</w:t>
            </w:r>
          </w:p>
        </w:tc>
        <w:tc>
          <w:tcPr>
            <w:tcW w:w="22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198,607</w:t>
            </w:r>
          </w:p>
        </w:tc>
        <w:tc>
          <w:tcPr>
            <w:tcW w:w="100" w:type="dxa"/>
            <w:vAlign w:val="bottom"/>
            <w:shd w:val="clear" w:color="auto" w:fill="CFF0FC"/>
          </w:tcPr>
          <w:p>
            <w:pPr>
              <w:spacing w:after="0"/>
              <w:rPr>
                <w:sz w:val="21"/>
                <w:szCs w:val="21"/>
                <w:color w:val="auto"/>
              </w:rPr>
            </w:pPr>
          </w:p>
        </w:tc>
      </w:tr>
      <w:tr>
        <w:trPr>
          <w:trHeight w:val="239"/>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provisions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189,897</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161,006</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161,159</w:t>
            </w:r>
          </w:p>
        </w:tc>
        <w:tc>
          <w:tcPr>
            <w:tcW w:w="100" w:type="dxa"/>
            <w:vAlign w:val="bottom"/>
          </w:tcPr>
          <w:p>
            <w:pPr>
              <w:spacing w:after="0"/>
              <w:rPr>
                <w:sz w:val="20"/>
                <w:szCs w:val="20"/>
                <w:color w:val="auto"/>
              </w:rPr>
            </w:pPr>
          </w:p>
        </w:tc>
      </w:tr>
      <w:tr>
        <w:trPr>
          <w:trHeight w:val="243"/>
        </w:trPr>
        <w:tc>
          <w:tcPr>
            <w:tcW w:w="5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miscellaneous items</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3,340,215</w:t>
            </w:r>
          </w:p>
        </w:tc>
        <w:tc>
          <w:tcPr>
            <w:tcW w:w="24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270,721</w:t>
            </w:r>
          </w:p>
        </w:tc>
        <w:tc>
          <w:tcPr>
            <w:tcW w:w="22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3,731,549</w:t>
            </w:r>
          </w:p>
        </w:tc>
        <w:tc>
          <w:tcPr>
            <w:tcW w:w="24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632,263</w:t>
            </w: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666,297</w:t>
            </w:r>
          </w:p>
        </w:tc>
        <w:tc>
          <w:tcPr>
            <w:tcW w:w="100" w:type="dxa"/>
            <w:vAlign w:val="bottom"/>
          </w:tcPr>
          <w:p>
            <w:pPr>
              <w:spacing w:after="0"/>
              <w:rPr>
                <w:sz w:val="20"/>
                <w:szCs w:val="20"/>
                <w:color w:val="auto"/>
              </w:rPr>
            </w:pPr>
          </w:p>
        </w:tc>
      </w:tr>
      <w:tr>
        <w:trPr>
          <w:trHeight w:val="241"/>
        </w:trPr>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deferred tax assets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3,654,365</w:t>
            </w:r>
          </w:p>
        </w:tc>
        <w:tc>
          <w:tcPr>
            <w:tcW w:w="24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587,478</w:t>
            </w:r>
          </w:p>
        </w:tc>
        <w:tc>
          <w:tcPr>
            <w:tcW w:w="22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649,212</w:t>
            </w:r>
          </w:p>
        </w:tc>
        <w:tc>
          <w:tcPr>
            <w:tcW w:w="100" w:type="dxa"/>
            <w:vAlign w:val="bottom"/>
            <w:shd w:val="clear" w:color="auto" w:fill="CFF0FC"/>
          </w:tcPr>
          <w:p>
            <w:pPr>
              <w:spacing w:after="0"/>
              <w:rPr>
                <w:sz w:val="20"/>
                <w:szCs w:val="20"/>
                <w:color w:val="auto"/>
              </w:rPr>
            </w:pPr>
          </w:p>
        </w:tc>
      </w:tr>
      <w:tr>
        <w:trPr>
          <w:trHeight w:val="239"/>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temporary differences not recognized</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(3,654,365 )</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(587,478 )</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(649,212 )</w:t>
            </w:r>
          </w:p>
        </w:tc>
      </w:tr>
      <w:tr>
        <w:trPr>
          <w:trHeight w:val="237"/>
        </w:trPr>
        <w:tc>
          <w:tcPr>
            <w:tcW w:w="5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deferred tax recognized in the statement of financial position</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-650875</wp:posOffset>
            </wp:positionV>
            <wp:extent cx="7747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-650875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774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 Carry forward unrecognized tax losses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Group had income tax losses of US$124,807,138 and capital losses of US$412,122 at year end (2023: income tax losses of US$67,878,759 and capital losses of US$412,122) for which no deferred tax asset is recognized on the consolidated statement of financial position as they are currently not considered probable of realization. These tax losses are available indefinitely for offset against future assessable income subject to continuing to meet relevant statutory tests.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(e) Franking credit balance</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Franking credits are a type of tax credit in Australia that is available to the Group’s shareholder to reduce double taxation on any dividends paid by the Group. The franking account balance at the end of the financial year at 30% (2023: 30%) is A$227,371 (2023: A$227,371), which represents the amount of franking credits available for the subsequent financial year. Franking credits are not recognized in the consolidated statement of financial position.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Earnings per Share</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4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3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4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540"/>
        </w:trPr>
        <w:tc>
          <w:tcPr>
            <w:tcW w:w="6480" w:type="dxa"/>
            <w:vAlign w:val="bottom"/>
          </w:tcPr>
          <w:p>
            <w:pPr>
              <w:spacing w:after="0"/>
              <w:rPr>
                <w:sz w:val="24"/>
                <w:szCs w:val="24"/>
                <w:color w:val="auto"/>
              </w:rPr>
            </w:pPr>
          </w:p>
        </w:tc>
        <w:tc>
          <w:tcPr>
            <w:tcW w:w="16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US$</w:t>
            </w: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US$</w:t>
            </w: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648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5"/>
        </w:trPr>
        <w:tc>
          <w:tcPr>
            <w:tcW w:w="6480" w:type="dxa"/>
            <w:vAlign w:val="bottom"/>
            <w:shd w:val="clear" w:color="auto" w:fill="CFF0FC"/>
          </w:tcPr>
          <w:p>
            <w:pPr>
              <w:ind w:left="200"/>
              <w:spacing w:after="0" w:line="205" w:lineRule="exact"/>
              <w:rPr>
                <w:sz w:val="20"/>
                <w:szCs w:val="20"/>
                <w:color w:val="auto"/>
              </w:rPr>
            </w:pPr>
            <w:r>
              <w:rPr>
                <w:rFonts w:ascii="Times New Roman" w:cs="Times New Roman" w:eastAsia="Times New Roman" w:hAnsi="Times New Roman"/>
                <w:sz w:val="18"/>
                <w:szCs w:val="18"/>
                <w:color w:val="auto"/>
              </w:rPr>
              <w:t>The following reflects the income used in the basic and diluted earnings per share</w:t>
            </w:r>
          </w:p>
        </w:tc>
        <w:tc>
          <w:tcPr>
            <w:tcW w:w="1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8"/>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computations:</w:t>
            </w:r>
          </w:p>
        </w:tc>
        <w:tc>
          <w:tcPr>
            <w:tcW w:w="1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 Earnings used in calculating earnings per share</w:t>
            </w: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2"/>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attributable to ordinary equity holders of the parent</w:t>
            </w: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(220,242,105 )</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(142,521,085 )</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(92,817,371 )</w:t>
            </w:r>
          </w:p>
        </w:tc>
      </w:tr>
      <w:tr>
        <w:trPr>
          <w:trHeight w:val="241"/>
        </w:trPr>
        <w:tc>
          <w:tcPr>
            <w:tcW w:w="6480" w:type="dxa"/>
            <w:vAlign w:val="bottom"/>
            <w:tcBorders>
              <w:top w:val="single" w:sz="8" w:color="CFF0FC"/>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(b) Weighted average number of shares</w:t>
            </w:r>
          </w:p>
        </w:tc>
        <w:tc>
          <w:tcPr>
            <w:tcW w:w="1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number of ordinary shares on issue for basic earnings per share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638,202,922</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442,637,406</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351,560,198</w:t>
            </w:r>
          </w:p>
        </w:tc>
        <w:tc>
          <w:tcPr>
            <w:tcW w:w="100" w:type="dxa"/>
            <w:vAlign w:val="bottom"/>
          </w:tcPr>
          <w:p>
            <w:pPr>
              <w:spacing w:after="0"/>
              <w:rPr>
                <w:sz w:val="20"/>
                <w:szCs w:val="20"/>
                <w:color w:val="auto"/>
              </w:rPr>
            </w:pPr>
          </w:p>
        </w:tc>
      </w:tr>
      <w:tr>
        <w:trPr>
          <w:trHeight w:val="247"/>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Effect of dilution:</w:t>
            </w:r>
          </w:p>
        </w:tc>
        <w:tc>
          <w:tcPr>
            <w:tcW w:w="1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 options</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adjusted for the effect of dilution</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638,202,922</w:t>
            </w:r>
          </w:p>
        </w:tc>
        <w:tc>
          <w:tcPr>
            <w:tcW w:w="2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442,637,406</w:t>
            </w:r>
          </w:p>
        </w:tc>
        <w:tc>
          <w:tcPr>
            <w:tcW w:w="22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351,560,198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Loss per share (basic and diluted in cents)</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(34.51 )</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(32.20 )</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(26.40 )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-1102360</wp:posOffset>
            </wp:positionV>
            <wp:extent cx="774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-1102360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-1102360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-159385</wp:posOffset>
            </wp:positionV>
            <wp:extent cx="7747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-159385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On August 24 and 28, 2023 the company announced a capital raising which has involved 195,647,457 ordinary shares and investor options that represent potential ordinary shares of 97,823,728.</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On June 14, 2024 the company announced a capital raising which involved an additional 139,627,846 ordinary shares and options that represent potential ordinary shares of 189,428,654.</w:t>
      </w:r>
    </w:p>
    <w:p>
      <w:pPr>
        <w:spacing w:after="0" w:line="162" w:lineRule="exact"/>
        <w:rPr>
          <w:sz w:val="20"/>
          <w:szCs w:val="20"/>
          <w:color w:val="auto"/>
        </w:rPr>
      </w:pPr>
    </w:p>
    <w:p>
      <w:pPr>
        <w:jc w:val="both"/>
        <w:ind w:firstLine="374"/>
        <w:spacing w:after="0" w:line="222" w:lineRule="exact"/>
        <w:rPr>
          <w:sz w:val="20"/>
          <w:szCs w:val="20"/>
          <w:color w:val="auto"/>
        </w:rPr>
      </w:pPr>
      <w:r>
        <w:rPr>
          <w:rFonts w:ascii="Times New Roman" w:cs="Times New Roman" w:eastAsia="Times New Roman" w:hAnsi="Times New Roman"/>
          <w:sz w:val="18"/>
          <w:szCs w:val="18"/>
          <w:color w:val="auto"/>
        </w:rPr>
        <w:t>Diluted earnings per share is calculated as net loss divided by the weighted average number of ordinary shares and dilutive potential ordinary shares. Options granted under the Long Term Incentive (LTIP)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Executive Director Share and Option (NED Plan) plans would generally be included in the calculation due to the conditions of the issuance being satisfied.</w:t>
      </w:r>
    </w:p>
    <w:p>
      <w:pPr>
        <w:spacing w:after="0" w:line="158"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As the Group is in a loss position, the options are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and, accordingly, the basic loss per share is the same as the diluted loss per share.</w:t>
      </w:r>
    </w:p>
    <w:p>
      <w:pPr>
        <w:spacing w:after="0" w:line="266" w:lineRule="exact"/>
        <w:rPr>
          <w:sz w:val="20"/>
          <w:szCs w:val="20"/>
          <w:color w:val="auto"/>
        </w:rPr>
      </w:pPr>
    </w:p>
    <w:p>
      <w:pPr>
        <w:jc w:val="both"/>
        <w:ind w:firstLine="374"/>
        <w:spacing w:after="0" w:line="222" w:lineRule="exact"/>
        <w:rPr>
          <w:sz w:val="20"/>
          <w:szCs w:val="20"/>
          <w:color w:val="auto"/>
        </w:rPr>
      </w:pPr>
      <w:r>
        <w:rPr>
          <w:rFonts w:ascii="Times New Roman" w:cs="Times New Roman" w:eastAsia="Times New Roman" w:hAnsi="Times New Roman"/>
          <w:sz w:val="18"/>
          <w:szCs w:val="18"/>
          <w:color w:val="auto"/>
        </w:rPr>
        <w:t>At June 30, 2024, a total number of 35,300,000 options/rights (2023: 25,450,000), 6,550,000 ADS options that represent 8 ordinary shares for each ADS held (2023:1,505,000) and 240,708,149 (2023: nil) investor options were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and were therefore excluded from the weighted average number of ordinary shares for the purpose of diluted earnings per share. These options related to the option plans listed below.</w:t>
      </w:r>
    </w:p>
    <w:p>
      <w:pPr>
        <w:spacing w:after="0" w:line="19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Fully paid ordinary shares have no par value, carry one vote per share and carry the right to dividends. No cash dividends have been paid, declared or recommended during or since the end of the financial year by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Ordinary Options</w:t>
            </w:r>
          </w:p>
        </w:tc>
        <w:tc>
          <w:tcPr>
            <w:tcW w:w="14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0"/>
                <w:szCs w:val="20"/>
                <w:color w:val="auto"/>
              </w:rPr>
            </w:pPr>
          </w:p>
        </w:tc>
      </w:tr>
      <w:tr>
        <w:trPr>
          <w:trHeight w:val="237"/>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NED Plan</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21,000,000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16,500,000</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14,000,000</w:t>
            </w:r>
          </w:p>
        </w:tc>
        <w:tc>
          <w:tcPr>
            <w:tcW w:w="100" w:type="dxa"/>
            <w:vAlign w:val="bottom"/>
            <w:shd w:val="clear" w:color="auto" w:fill="CFF0FC"/>
          </w:tcPr>
          <w:p>
            <w:pPr>
              <w:spacing w:after="0"/>
              <w:rPr>
                <w:sz w:val="20"/>
                <w:szCs w:val="20"/>
                <w:color w:val="auto"/>
              </w:rPr>
            </w:pP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LTIP</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11,400,000</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6,050,000</w:t>
            </w: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7,388,000</w:t>
            </w:r>
          </w:p>
        </w:tc>
        <w:tc>
          <w:tcPr>
            <w:tcW w:w="100" w:type="dxa"/>
            <w:vAlign w:val="bottom"/>
          </w:tcPr>
          <w:p>
            <w:pPr>
              <w:spacing w:after="0"/>
              <w:rPr>
                <w:sz w:val="20"/>
                <w:szCs w:val="20"/>
                <w:color w:val="auto"/>
              </w:rPr>
            </w:pPr>
          </w:p>
        </w:tc>
      </w:tr>
      <w:tr>
        <w:trPr>
          <w:trHeight w:val="238"/>
        </w:trPr>
        <w:tc>
          <w:tcPr>
            <w:tcW w:w="648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32,400,000</w:t>
            </w:r>
          </w:p>
        </w:tc>
        <w:tc>
          <w:tcPr>
            <w:tcW w:w="2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22,550,000</w:t>
            </w:r>
          </w:p>
        </w:tc>
        <w:tc>
          <w:tcPr>
            <w:tcW w:w="22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21,388,000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18"/>
        </w:trPr>
        <w:tc>
          <w:tcPr>
            <w:tcW w:w="6480" w:type="dxa"/>
            <w:vAlign w:val="bottom"/>
          </w:tcPr>
          <w:p>
            <w:pPr>
              <w:spacing w:after="0"/>
              <w:rPr>
                <w:sz w:val="24"/>
                <w:szCs w:val="24"/>
                <w:color w:val="auto"/>
              </w:rPr>
            </w:pPr>
          </w:p>
        </w:tc>
        <w:tc>
          <w:tcPr>
            <w:tcW w:w="14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40" w:type="dxa"/>
            <w:vAlign w:val="bottom"/>
            <w:gridSpan w:val="2"/>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r>
      <w:tr>
        <w:trPr>
          <w:trHeight w:val="23"/>
        </w:trPr>
        <w:tc>
          <w:tcPr>
            <w:tcW w:w="64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Rights</w:t>
            </w:r>
          </w:p>
        </w:tc>
        <w:tc>
          <w:tcPr>
            <w:tcW w:w="14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NED Plan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22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LTIP</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2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648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2,900,000</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2,900,000</w:t>
            </w: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1,600,000</w:t>
            </w:r>
          </w:p>
        </w:tc>
        <w:tc>
          <w:tcPr>
            <w:tcW w:w="100" w:type="dxa"/>
            <w:vAlign w:val="bottom"/>
          </w:tcPr>
          <w:p>
            <w:pPr>
              <w:spacing w:after="0"/>
              <w:rPr>
                <w:sz w:val="20"/>
                <w:szCs w:val="20"/>
                <w:color w:val="auto"/>
              </w:rPr>
            </w:pPr>
          </w:p>
        </w:tc>
      </w:tr>
      <w:tr>
        <w:trPr>
          <w:trHeight w:val="418"/>
        </w:trPr>
        <w:tc>
          <w:tcPr>
            <w:tcW w:w="6480" w:type="dxa"/>
            <w:vAlign w:val="bottom"/>
          </w:tcPr>
          <w:p>
            <w:pPr>
              <w:spacing w:after="0"/>
              <w:rPr>
                <w:sz w:val="24"/>
                <w:szCs w:val="24"/>
                <w:color w:val="auto"/>
              </w:rPr>
            </w:pPr>
          </w:p>
        </w:tc>
        <w:tc>
          <w:tcPr>
            <w:tcW w:w="14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40" w:type="dxa"/>
            <w:vAlign w:val="bottom"/>
            <w:gridSpan w:val="2"/>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r>
      <w:tr>
        <w:trPr>
          <w:trHeight w:val="23"/>
        </w:trPr>
        <w:tc>
          <w:tcPr>
            <w:tcW w:w="64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ADS Options</w:t>
            </w:r>
          </w:p>
        </w:tc>
        <w:tc>
          <w:tcPr>
            <w:tcW w:w="14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NED Plan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LTIP - Extended terms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277,000</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LTIP</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6,273,000</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1,505,000</w:t>
            </w: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100" w:type="dxa"/>
            <w:vAlign w:val="bottom"/>
          </w:tcPr>
          <w:p>
            <w:pPr>
              <w:spacing w:after="0"/>
              <w:rPr>
                <w:sz w:val="20"/>
                <w:szCs w:val="20"/>
                <w:color w:val="auto"/>
              </w:rPr>
            </w:pPr>
          </w:p>
        </w:tc>
      </w:tr>
      <w:tr>
        <w:trPr>
          <w:trHeight w:val="238"/>
        </w:trPr>
        <w:tc>
          <w:tcPr>
            <w:tcW w:w="648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6,550,000</w:t>
            </w:r>
          </w:p>
        </w:tc>
        <w:tc>
          <w:tcPr>
            <w:tcW w:w="2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1,505,000</w:t>
            </w:r>
          </w:p>
        </w:tc>
        <w:tc>
          <w:tcPr>
            <w:tcW w:w="22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925,000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8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Investor Options</w:t>
            </w:r>
          </w:p>
        </w:tc>
        <w:tc>
          <w:tcPr>
            <w:tcW w:w="14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40" w:type="dxa"/>
            <w:vAlign w:val="bottom"/>
            <w:gridSpan w:val="2"/>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r>
      <w:tr>
        <w:trPr>
          <w:trHeight w:val="250"/>
        </w:trPr>
        <w:tc>
          <w:tcPr>
            <w:tcW w:w="648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2023 investor options - listed</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97,822,109</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2024 investor options- granted and not listed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142,886,040</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8"/>
        </w:trPr>
        <w:tc>
          <w:tcPr>
            <w:tcW w:w="648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240,708,149</w:t>
            </w:r>
          </w:p>
        </w:tc>
        <w:tc>
          <w:tcPr>
            <w:tcW w:w="2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-3136900</wp:posOffset>
            </wp:positionV>
            <wp:extent cx="774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-3136900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-2357120</wp:posOffset>
            </wp:positionV>
            <wp:extent cx="7747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-2357120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-2357120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-1096645</wp:posOffset>
            </wp:positionV>
            <wp:extent cx="7747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-1096645</wp:posOffset>
            </wp:positionV>
            <wp:extent cx="68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7747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June 30, 2024, 20,024,203 outstanding options and rights were exercisable as of that date (2023: 10,842,234 2022: 12,857,589). As at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537,914 outstanding ADS options were exercisable as of that date (2023: 250,000, 2021: nil).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Current Assets – Cash and Cash Equivalents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62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17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348"/>
        </w:trPr>
        <w:tc>
          <w:tcPr>
            <w:tcW w:w="7680" w:type="dxa"/>
            <w:vAlign w:val="bottom"/>
          </w:tcPr>
          <w:p>
            <w:pPr>
              <w:spacing w:after="0"/>
              <w:rPr>
                <w:sz w:val="24"/>
                <w:szCs w:val="24"/>
                <w:color w:val="auto"/>
              </w:rPr>
            </w:pPr>
          </w:p>
        </w:tc>
        <w:tc>
          <w:tcPr>
            <w:tcW w:w="16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r>
      <w:tr>
        <w:trPr>
          <w:trHeight w:val="23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at bank and in hand</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91,728,846</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12,067,158</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deposits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80,742,500</w:t>
            </w: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77,121,555</w:t>
            </w:r>
          </w:p>
        </w:tc>
        <w:tc>
          <w:tcPr>
            <w:tcW w:w="100" w:type="dxa"/>
            <w:vAlign w:val="bottom"/>
          </w:tcPr>
          <w:p>
            <w:pPr>
              <w:spacing w:after="0"/>
              <w:rPr>
                <w:sz w:val="20"/>
                <w:szCs w:val="20"/>
                <w:color w:val="auto"/>
              </w:rPr>
            </w:pPr>
          </w:p>
        </w:tc>
      </w:tr>
      <w:tr>
        <w:trPr>
          <w:trHeight w:val="238"/>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172,471,346</w:t>
            </w:r>
          </w:p>
        </w:tc>
        <w:tc>
          <w:tcPr>
            <w:tcW w:w="22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89,188,713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Cash at bank earns interest at floating rates based on daily bank deposit rates. The carrying amounts of cash and cash equivalents represent fair value.</w:t>
      </w:r>
    </w:p>
    <w:p>
      <w:pPr>
        <w:spacing w:after="0" w:line="184" w:lineRule="exact"/>
        <w:rPr>
          <w:sz w:val="20"/>
          <w:szCs w:val="20"/>
          <w:color w:val="auto"/>
        </w:rPr>
      </w:pPr>
    </w:p>
    <w:p>
      <w:pPr>
        <w:jc w:val="both"/>
        <w:ind w:firstLine="374"/>
        <w:spacing w:after="0" w:line="236" w:lineRule="exact"/>
        <w:rPr>
          <w:sz w:val="20"/>
          <w:szCs w:val="20"/>
          <w:color w:val="auto"/>
        </w:rPr>
      </w:pPr>
      <w:r>
        <w:rPr>
          <w:rFonts w:ascii="Times New Roman" w:cs="Times New Roman" w:eastAsia="Times New Roman" w:hAnsi="Times New Roman"/>
          <w:sz w:val="18"/>
          <w:szCs w:val="18"/>
          <w:color w:val="auto"/>
        </w:rPr>
        <w:t>Short term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deposits are with two major Australian banks and are made for varying periods of between 30 and 92 days, depending on the immediate cash requirements of the Group, and earn interest at a fixed rate for the respective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deposit periods. At year end, the average rate was 4.71% (2023: 4.67%, 2022: 0.43%).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Current Assets - Receivables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6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17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348"/>
        </w:trPr>
        <w:tc>
          <w:tcPr>
            <w:tcW w:w="7680" w:type="dxa"/>
            <w:vAlign w:val="bottom"/>
          </w:tcPr>
          <w:p>
            <w:pPr>
              <w:spacing w:after="0"/>
              <w:rPr>
                <w:sz w:val="24"/>
                <w:szCs w:val="24"/>
                <w:color w:val="auto"/>
              </w:rPr>
            </w:pPr>
          </w:p>
        </w:tc>
        <w:tc>
          <w:tcPr>
            <w:tcW w:w="16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r>
      <w:tr>
        <w:trPr>
          <w:trHeight w:val="23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receivable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280,669</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162,853</w:t>
            </w:r>
          </w:p>
        </w:tc>
        <w:tc>
          <w:tcPr>
            <w:tcW w:w="100" w:type="dxa"/>
            <w:vAlign w:val="bottom"/>
            <w:shd w:val="clear" w:color="auto" w:fill="CFF0FC"/>
          </w:tcPr>
          <w:p>
            <w:pPr>
              <w:spacing w:after="0"/>
              <w:rPr>
                <w:sz w:val="20"/>
                <w:szCs w:val="20"/>
                <w:color w:val="auto"/>
              </w:rPr>
            </w:pPr>
          </w:p>
        </w:tc>
      </w:tr>
      <w:tr>
        <w:trPr>
          <w:trHeight w:val="243"/>
        </w:trPr>
        <w:tc>
          <w:tcPr>
            <w:tcW w:w="76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GST receivable</w:t>
            </w:r>
            <w:r>
              <w:rPr>
                <w:rFonts w:ascii="Times New Roman" w:cs="Times New Roman" w:eastAsia="Times New Roman" w:hAnsi="Times New Roman"/>
                <w:sz w:val="24"/>
                <w:szCs w:val="24"/>
                <w:color w:val="auto"/>
                <w:vertAlign w:val="superscript"/>
              </w:rPr>
              <w:t>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1,071,001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325,474</w:t>
            </w:r>
          </w:p>
        </w:tc>
        <w:tc>
          <w:tcPr>
            <w:tcW w:w="100" w:type="dxa"/>
            <w:vAlign w:val="bottom"/>
          </w:tcPr>
          <w:p>
            <w:pPr>
              <w:spacing w:after="0"/>
              <w:rPr>
                <w:sz w:val="21"/>
                <w:szCs w:val="21"/>
                <w:color w:val="auto"/>
              </w:rPr>
            </w:pPr>
          </w:p>
        </w:tc>
      </w:tr>
      <w:tr>
        <w:trPr>
          <w:trHeight w:val="243"/>
        </w:trPr>
        <w:tc>
          <w:tcPr>
            <w:tcW w:w="7680" w:type="dxa"/>
            <w:vAlign w:val="bottom"/>
            <w:tcBorders>
              <w:bottom w:val="single" w:sz="8" w:color="CFF0FC"/>
            </w:tcBorders>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Other receivable</w:t>
            </w:r>
            <w:r>
              <w:rPr>
                <w:rFonts w:ascii="Times New Roman" w:cs="Times New Roman" w:eastAsia="Times New Roman" w:hAnsi="Times New Roman"/>
                <w:sz w:val="24"/>
                <w:szCs w:val="24"/>
                <w:color w:val="auto"/>
                <w:vertAlign w:val="superscript"/>
              </w:rPr>
              <w:t>1</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74,730</w:t>
            </w:r>
          </w:p>
        </w:tc>
        <w:tc>
          <w:tcPr>
            <w:tcW w:w="2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current receivables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1,426,400</w:t>
            </w: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636,564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374"/>
        <w:spacing w:after="0" w:line="245" w:lineRule="exact"/>
        <w:rPr>
          <w:sz w:val="20"/>
          <w:szCs w:val="20"/>
          <w:color w:val="auto"/>
        </w:rPr>
      </w:pPr>
      <w:r>
        <w:rPr>
          <w:rFonts w:ascii="Times New Roman" w:cs="Times New Roman" w:eastAsia="Times New Roman" w:hAnsi="Times New Roman"/>
          <w:sz w:val="18"/>
          <w:szCs w:val="18"/>
          <w:color w:val="auto"/>
        </w:rPr>
        <w:t>1 The GST and other receivables are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interest bearing. There were no receivables with a material expected credit loss recorded during the financial year (2023: nil, 2022: nil).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Current Assets - Prepayments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17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6"/>
                <w:szCs w:val="16"/>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347"/>
        </w:trPr>
        <w:tc>
          <w:tcPr>
            <w:tcW w:w="7600" w:type="dxa"/>
            <w:vAlign w:val="bottom"/>
          </w:tcPr>
          <w:p>
            <w:pPr>
              <w:spacing w:after="0"/>
              <w:rPr>
                <w:sz w:val="24"/>
                <w:szCs w:val="24"/>
                <w:color w:val="auto"/>
              </w:rPr>
            </w:pPr>
          </w:p>
        </w:tc>
        <w:tc>
          <w:tcPr>
            <w:tcW w:w="17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r>
      <w:tr>
        <w:trPr>
          <w:trHeight w:val="237"/>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Launch Service Agreement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2,700,000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shd w:val="clear" w:color="auto" w:fill="CFF0FC"/>
          </w:tcPr>
          <w:p>
            <w:pPr>
              <w:spacing w:after="0"/>
              <w:rPr>
                <w:sz w:val="20"/>
                <w:szCs w:val="20"/>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R&amp;D Contract Research Organization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223,239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793,964</w:t>
            </w: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608,467</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717,064</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prepayments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365,073</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223,643</w:t>
            </w:r>
          </w:p>
        </w:tc>
        <w:tc>
          <w:tcPr>
            <w:tcW w:w="100" w:type="dxa"/>
            <w:vAlign w:val="bottom"/>
          </w:tcPr>
          <w:p>
            <w:pPr>
              <w:spacing w:after="0"/>
              <w:rPr>
                <w:sz w:val="20"/>
                <w:szCs w:val="20"/>
                <w:color w:val="auto"/>
              </w:rPr>
            </w:pPr>
          </w:p>
        </w:tc>
      </w:tr>
      <w:tr>
        <w:trPr>
          <w:trHeight w:val="238"/>
        </w:trPr>
        <w:tc>
          <w:tcPr>
            <w:tcW w:w="7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current prepayments</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3,896,779</w:t>
            </w:r>
          </w:p>
        </w:tc>
        <w:tc>
          <w:tcPr>
            <w:tcW w:w="24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2,634,671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ind w:firstLine="374"/>
        <w:spacing w:after="0" w:line="227" w:lineRule="exact"/>
        <w:rPr>
          <w:sz w:val="20"/>
          <w:szCs w:val="20"/>
          <w:color w:val="auto"/>
        </w:rPr>
      </w:pPr>
      <w:r>
        <w:rPr>
          <w:rFonts w:ascii="Times New Roman" w:cs="Times New Roman" w:eastAsia="Times New Roman" w:hAnsi="Times New Roman"/>
          <w:sz w:val="18"/>
          <w:szCs w:val="18"/>
          <w:color w:val="414042"/>
        </w:rPr>
        <w:t>The Launch Service Agreement prepayment is for the management and oversight of trials The R&amp;D Contract Research Organization prepayment consists of prepayments on the Phase 3 clinical trial for sozinibercept in order to secure services across the world. These prepayments cover key milestones and are expected to be consumed within the next 12 months. The insurance amount relates to specific Phase 3 Clinical trial insurance in place for various sites around the world covering periods to end of 2024. The non</w:t>
      </w:r>
      <w:r>
        <w:rPr>
          <w:rFonts w:ascii="MS PGothic" w:cs="MS PGothic" w:eastAsia="MS PGothic" w:hAnsi="MS PGothic"/>
          <w:sz w:val="18"/>
          <w:szCs w:val="18"/>
          <w:color w:val="414042"/>
        </w:rPr>
        <w:t>‑</w:t>
      </w:r>
      <w:r>
        <w:rPr>
          <w:rFonts w:ascii="Times New Roman" w:cs="Times New Roman" w:eastAsia="Times New Roman" w:hAnsi="Times New Roman"/>
          <w:sz w:val="18"/>
          <w:szCs w:val="18"/>
          <w:color w:val="414042"/>
        </w:rPr>
        <w:t>current portion of the prepayments are recorded as non</w:t>
      </w:r>
      <w:r>
        <w:rPr>
          <w:rFonts w:ascii="MS PGothic" w:cs="MS PGothic" w:eastAsia="MS PGothic" w:hAnsi="MS PGothic"/>
          <w:sz w:val="18"/>
          <w:szCs w:val="18"/>
          <w:color w:val="414042"/>
        </w:rPr>
        <w:t>‑</w:t>
      </w:r>
      <w:r>
        <w:rPr>
          <w:rFonts w:ascii="Times New Roman" w:cs="Times New Roman" w:eastAsia="Times New Roman" w:hAnsi="Times New Roman"/>
          <w:sz w:val="18"/>
          <w:szCs w:val="18"/>
          <w:color w:val="414042"/>
        </w:rPr>
        <w:t>current assets. Refer to Note 22</w:t>
      </w:r>
      <w:r>
        <w:rPr>
          <w:rFonts w:ascii="Times New Roman" w:cs="Times New Roman" w:eastAsia="Times New Roman" w:hAnsi="Times New Roman"/>
          <w:sz w:val="18"/>
          <w:szCs w:val="18"/>
          <w:color w:val="000000"/>
        </w:rPr>
        <w: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Non-Current Assets - Right of Use Assets</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Group has a three- year lease contract for its head office premises in Melbourne, Australia, which commenced on 15 July 2022. The agreement does not contain any extension options. The carrying amount of the lease at June 30, 2024 is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348"/>
        </w:trPr>
        <w:tc>
          <w:tcPr>
            <w:tcW w:w="7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US$</w:t>
            </w:r>
          </w:p>
        </w:tc>
        <w:tc>
          <w:tcPr>
            <w:tcW w:w="16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3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Right-of-Use Asset Cost</w:t>
            </w:r>
          </w:p>
        </w:tc>
        <w:tc>
          <w:tcPr>
            <w:tcW w:w="156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Opening balance as at July 1</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534,231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281,554</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Additions</w:t>
            </w:r>
          </w:p>
        </w:tc>
        <w:tc>
          <w:tcPr>
            <w:tcW w:w="1840" w:type="dxa"/>
            <w:vAlign w:val="bottom"/>
            <w:gridSpan w:val="4"/>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252,677</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Exchange on translations</w:t>
            </w:r>
          </w:p>
        </w:tc>
        <w:tc>
          <w:tcPr>
            <w:tcW w:w="18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68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534,231</w:t>
            </w:r>
          </w:p>
        </w:tc>
        <w:tc>
          <w:tcPr>
            <w:tcW w:w="20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534,231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Right-of-Use-Asset Depreciation</w:t>
            </w: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Opening balance as at July 1</w:t>
            </w:r>
          </w:p>
        </w:tc>
        <w:tc>
          <w:tcPr>
            <w:tcW w:w="17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(365,780 )</w:t>
            </w:r>
          </w:p>
        </w:tc>
        <w:tc>
          <w:tcPr>
            <w:tcW w:w="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(281,554 )</w:t>
            </w:r>
          </w:p>
        </w:tc>
      </w:tr>
      <w:tr>
        <w:trPr>
          <w:trHeight w:val="239"/>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Charge to the period</w:t>
            </w:r>
          </w:p>
        </w:tc>
        <w:tc>
          <w:tcPr>
            <w:tcW w:w="1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(84,225 )</w:t>
            </w:r>
          </w:p>
        </w:tc>
        <w:tc>
          <w:tcPr>
            <w:tcW w:w="6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(84,226 )</w:t>
            </w:r>
          </w:p>
        </w:tc>
      </w:tr>
      <w:tr>
        <w:trPr>
          <w:trHeight w:val="243"/>
        </w:trPr>
        <w:tc>
          <w:tcPr>
            <w:tcW w:w="77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Exchange on translation</w:t>
            </w:r>
          </w:p>
        </w:tc>
        <w:tc>
          <w:tcPr>
            <w:tcW w:w="15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gridSpan w:val="2"/>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(450,005 )</w:t>
            </w:r>
          </w:p>
        </w:tc>
        <w:tc>
          <w:tcPr>
            <w:tcW w:w="6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(365,780 )</w:t>
            </w:r>
          </w:p>
        </w:tc>
      </w:tr>
      <w:tr>
        <w:trPr>
          <w:trHeight w:val="238"/>
        </w:trPr>
        <w:tc>
          <w:tcPr>
            <w:tcW w:w="77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Net carrying amount at June 30</w:t>
            </w:r>
          </w:p>
        </w:tc>
        <w:tc>
          <w:tcPr>
            <w:tcW w:w="15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84,226</w:t>
            </w:r>
          </w:p>
        </w:tc>
        <w:tc>
          <w:tcPr>
            <w:tcW w:w="20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168,451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68"/>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22. Non-Current Assets - Prepayments</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5"/>
        </w:trPr>
        <w:tc>
          <w:tcPr>
            <w:tcW w:w="7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347"/>
        </w:trPr>
        <w:tc>
          <w:tcPr>
            <w:tcW w:w="76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r>
      <w:tr>
        <w:trPr>
          <w:trHeight w:val="232"/>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Prepayments</w:t>
            </w:r>
          </w:p>
        </w:tc>
        <w:tc>
          <w:tcPr>
            <w:tcW w:w="6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466,701</w:t>
            </w: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53,535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non-current prepayments</w:t>
            </w:r>
          </w:p>
        </w:tc>
        <w:tc>
          <w:tcPr>
            <w:tcW w:w="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466,701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53,535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-2065020</wp:posOffset>
            </wp:positionV>
            <wp:extent cx="7747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-1439545</wp:posOffset>
            </wp:positionV>
            <wp:extent cx="7747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-1113790</wp:posOffset>
            </wp:positionV>
            <wp:extent cx="7747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firstLine="374"/>
        <w:spacing w:after="0" w:line="245" w:lineRule="exact"/>
        <w:rPr>
          <w:sz w:val="20"/>
          <w:szCs w:val="20"/>
          <w:color w:val="auto"/>
        </w:rPr>
      </w:pPr>
      <w:r>
        <w:rPr>
          <w:rFonts w:ascii="Times New Roman" w:cs="Times New Roman" w:eastAsia="Times New Roman" w:hAnsi="Times New Roman"/>
          <w:sz w:val="18"/>
          <w:szCs w:val="18"/>
          <w:color w:val="414042"/>
        </w:rPr>
        <w:t>The non</w:t>
      </w:r>
      <w:r>
        <w:rPr>
          <w:rFonts w:ascii="MS PGothic" w:cs="MS PGothic" w:eastAsia="MS PGothic" w:hAnsi="MS PGothic"/>
          <w:sz w:val="18"/>
          <w:szCs w:val="18"/>
          <w:color w:val="414042"/>
        </w:rPr>
        <w:t>‑</w:t>
      </w:r>
      <w:r>
        <w:rPr>
          <w:rFonts w:ascii="Times New Roman" w:cs="Times New Roman" w:eastAsia="Times New Roman" w:hAnsi="Times New Roman"/>
          <w:sz w:val="18"/>
          <w:szCs w:val="18"/>
          <w:color w:val="414042"/>
        </w:rPr>
        <w:t>current prepayment amount relates to the Launch Service Agreement and specific Phase 3 Clinical trial insurance in place for various sites around the world covering periods to 2026</w:t>
      </w:r>
      <w:r>
        <w:rPr>
          <w:rFonts w:ascii="Times New Roman" w:cs="Times New Roman" w:eastAsia="Times New Roman" w:hAnsi="Times New Roman"/>
          <w:sz w:val="18"/>
          <w:szCs w:val="18"/>
          <w:color w:val="000000"/>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Current Liabilities – Payables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374"/>
        </w:trPr>
        <w:tc>
          <w:tcPr>
            <w:tcW w:w="7680" w:type="dxa"/>
            <w:vAlign w:val="bottom"/>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r>
      <w:tr>
        <w:trPr>
          <w:trHeight w:val="236"/>
        </w:trPr>
        <w:tc>
          <w:tcPr>
            <w:tcW w:w="7680" w:type="dxa"/>
            <w:vAlign w:val="bottom"/>
            <w:shd w:val="clear" w:color="auto" w:fill="CFF0FC"/>
          </w:tcPr>
          <w:p>
            <w:pPr>
              <w:ind w:left="200"/>
              <w:spacing w:after="0" w:line="236" w:lineRule="exact"/>
              <w:rPr>
                <w:sz w:val="20"/>
                <w:szCs w:val="20"/>
                <w:color w:val="auto"/>
              </w:rPr>
            </w:pPr>
            <w:r>
              <w:rPr>
                <w:rFonts w:ascii="Times New Roman" w:cs="Times New Roman" w:eastAsia="Times New Roman" w:hAnsi="Times New Roman"/>
                <w:sz w:val="18"/>
                <w:szCs w:val="18"/>
                <w:color w:val="auto"/>
              </w:rPr>
              <w:t>Accounts Payable (unsecured)</w:t>
            </w:r>
            <w:r>
              <w:rPr>
                <w:rFonts w:ascii="Times New Roman" w:cs="Times New Roman" w:eastAsia="Times New Roman" w:hAnsi="Times New Roman"/>
                <w:sz w:val="24"/>
                <w:szCs w:val="24"/>
                <w:color w:val="auto"/>
                <w:vertAlign w:val="superscript"/>
              </w:rPr>
              <w:t>1</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38,059,829</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17,842,981</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Payroll related tax liability</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44,592</w:t>
            </w: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48,873</w:t>
            </w:r>
          </w:p>
        </w:tc>
        <w:tc>
          <w:tcPr>
            <w:tcW w:w="100" w:type="dxa"/>
            <w:vAlign w:val="bottom"/>
          </w:tcPr>
          <w:p>
            <w:pPr>
              <w:spacing w:after="0"/>
              <w:rPr>
                <w:sz w:val="20"/>
                <w:szCs w:val="20"/>
                <w:color w:val="auto"/>
              </w:rPr>
            </w:pPr>
          </w:p>
        </w:tc>
      </w:tr>
      <w:tr>
        <w:trPr>
          <w:trHeight w:val="238"/>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current payables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38,104,421</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17,891,854</w:t>
            </w:r>
          </w:p>
        </w:tc>
        <w:tc>
          <w:tcPr>
            <w:tcW w:w="100" w:type="dxa"/>
            <w:vAlign w:val="bottom"/>
            <w:shd w:val="clear" w:color="auto" w:fill="CFF0FC"/>
          </w:tcPr>
          <w:p>
            <w:pPr>
              <w:spacing w:after="0"/>
              <w:rPr>
                <w:sz w:val="20"/>
                <w:szCs w:val="20"/>
                <w:color w:val="auto"/>
              </w:rPr>
            </w:pPr>
          </w:p>
        </w:tc>
      </w:tr>
      <w:tr>
        <w:trPr>
          <w:trHeight w:val="496"/>
        </w:trPr>
        <w:tc>
          <w:tcPr>
            <w:tcW w:w="7680" w:type="dxa"/>
            <w:vAlign w:val="bottom"/>
            <w:tcBorders>
              <w:top w:val="single" w:sz="8" w:color="CFF0FC"/>
            </w:tcBorders>
          </w:tcPr>
          <w:p>
            <w:pPr>
              <w:ind w:left="380"/>
              <w:spacing w:after="0" w:line="207" w:lineRule="exact"/>
              <w:rPr>
                <w:sz w:val="20"/>
                <w:szCs w:val="20"/>
                <w:color w:val="auto"/>
              </w:rPr>
            </w:pPr>
            <w:r>
              <w:rPr>
                <w:rFonts w:ascii="Times New Roman" w:cs="Times New Roman" w:eastAsia="Times New Roman" w:hAnsi="Times New Roman"/>
                <w:sz w:val="18"/>
                <w:szCs w:val="18"/>
                <w:color w:val="auto"/>
              </w:rPr>
              <w:t>1 Accounts Payable are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interest bearing and are normally settled on 30 day terms.</w:t>
            </w:r>
          </w:p>
        </w:tc>
        <w:tc>
          <w:tcPr>
            <w:tcW w:w="16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04"/>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24. Current Liabilities - Provisions</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5"/>
        </w:trPr>
        <w:tc>
          <w:tcPr>
            <w:tcW w:w="76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24"/>
                <w:szCs w:val="24"/>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348"/>
        </w:trPr>
        <w:tc>
          <w:tcPr>
            <w:tcW w:w="7680" w:type="dxa"/>
            <w:vAlign w:val="bottom"/>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r>
      <w:tr>
        <w:trPr>
          <w:trHeight w:val="23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Annual leave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761,559</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500,361</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 service leave</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256,189</w:t>
            </w: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252,939</w:t>
            </w:r>
          </w:p>
        </w:tc>
        <w:tc>
          <w:tcPr>
            <w:tcW w:w="100" w:type="dxa"/>
            <w:vAlign w:val="bottom"/>
          </w:tcPr>
          <w:p>
            <w:pPr>
              <w:spacing w:after="0"/>
              <w:rPr>
                <w:sz w:val="20"/>
                <w:szCs w:val="20"/>
                <w:color w:val="auto"/>
              </w:rPr>
            </w:pPr>
          </w:p>
        </w:tc>
      </w:tr>
      <w:tr>
        <w:trPr>
          <w:trHeight w:val="239"/>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current provisions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1,017,748</w:t>
            </w:r>
          </w:p>
        </w:tc>
        <w:tc>
          <w:tcPr>
            <w:tcW w:w="22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753,300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-1542415</wp:posOffset>
            </wp:positionV>
            <wp:extent cx="685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Current Liabilities - Derivative Financial Liabilities Investor Options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60" w:type="dxa"/>
            <w:vAlign w:val="bottom"/>
          </w:tcPr>
          <w:p>
            <w:pPr>
              <w:spacing w:after="0"/>
              <w:rPr>
                <w:sz w:val="16"/>
                <w:szCs w:val="16"/>
                <w:color w:val="auto"/>
              </w:rPr>
            </w:pP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309"/>
        </w:trPr>
        <w:tc>
          <w:tcPr>
            <w:tcW w:w="518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outstanding</w:t>
            </w:r>
          </w:p>
        </w:tc>
        <w:tc>
          <w:tcPr>
            <w:tcW w:w="240" w:type="dxa"/>
            <w:vAlign w:val="bottom"/>
            <w:vMerge w:val="restart"/>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24"/>
                <w:szCs w:val="24"/>
                <w:color w:val="auto"/>
              </w:rPr>
            </w:pPr>
          </w:p>
        </w:tc>
        <w:tc>
          <w:tcPr>
            <w:tcW w:w="132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vMerge w:val="restart"/>
          </w:tcPr>
          <w:p>
            <w:pPr>
              <w:spacing w:after="0"/>
              <w:rPr>
                <w:sz w:val="24"/>
                <w:szCs w:val="24"/>
                <w:color w:val="auto"/>
              </w:rPr>
            </w:pPr>
          </w:p>
        </w:tc>
        <w:tc>
          <w:tcPr>
            <w:tcW w:w="13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Carrying amount at July 1</w:t>
            </w: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valuation upon listing in September -2023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97,823,852</w:t>
            </w:r>
          </w:p>
        </w:tc>
        <w:tc>
          <w:tcPr>
            <w:tcW w:w="240" w:type="dxa"/>
            <w:vAlign w:val="bottom"/>
          </w:tcPr>
          <w:p>
            <w:pPr>
              <w:spacing w:after="0"/>
              <w:rPr>
                <w:sz w:val="20"/>
                <w:szCs w:val="20"/>
                <w:color w:val="auto"/>
              </w:rPr>
            </w:pPr>
          </w:p>
        </w:tc>
        <w:tc>
          <w:tcPr>
            <w:tcW w:w="124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3,162,954</w:t>
            </w:r>
          </w:p>
        </w:tc>
        <w:tc>
          <w:tcPr>
            <w:tcW w:w="240" w:type="dxa"/>
            <w:vAlign w:val="bottom"/>
          </w:tcPr>
          <w:p>
            <w:pPr>
              <w:spacing w:after="0"/>
              <w:rPr>
                <w:sz w:val="20"/>
                <w:szCs w:val="20"/>
                <w:color w:val="auto"/>
              </w:rPr>
            </w:pP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valuation upon issuance in June -2024</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142,886,040</w:t>
            </w: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10,454,056</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on conversions of options to shares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(1,743 )</w:t>
            </w:r>
          </w:p>
        </w:tc>
        <w:tc>
          <w:tcPr>
            <w:tcW w:w="124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(89 )</w:t>
            </w: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loss on investor options at reporting date-2023 Investor</w:t>
            </w: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w:t>
            </w: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11,192,991</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loss on investor options at reporting date-2024 Investor</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vMerge w:val="restart"/>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vMerge w:val="restart"/>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30,544</w:t>
            </w:r>
          </w:p>
        </w:tc>
        <w:tc>
          <w:tcPr>
            <w:tcW w:w="240" w:type="dxa"/>
            <w:vAlign w:val="bottom"/>
          </w:tcPr>
          <w:p>
            <w:pPr>
              <w:spacing w:after="0"/>
              <w:rPr>
                <w:sz w:val="18"/>
                <w:szCs w:val="18"/>
                <w:color w:val="auto"/>
              </w:rPr>
            </w:pPr>
          </w:p>
        </w:tc>
        <w:tc>
          <w:tcPr>
            <w:tcW w:w="1300" w:type="dxa"/>
            <w:vAlign w:val="bottom"/>
            <w:vMerge w:val="restart"/>
          </w:tcPr>
          <w:p>
            <w:pPr>
              <w:ind w:left="1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w:t>
            </w:r>
          </w:p>
        </w:tc>
        <w:tc>
          <w:tcPr>
            <w:tcW w:w="1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financial liabilities investor options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240,708,149</w:t>
            </w:r>
          </w:p>
        </w:tc>
        <w:tc>
          <w:tcPr>
            <w:tcW w:w="24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ind w:left="10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24,840,456</w:t>
            </w:r>
          </w:p>
        </w:tc>
        <w:tc>
          <w:tcPr>
            <w:tcW w:w="24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-25400</wp:posOffset>
            </wp:positionV>
            <wp:extent cx="768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-8255</wp:posOffset>
            </wp:positionV>
            <wp:extent cx="7683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685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6858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Equity and Investor options -2023</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August 28, 2023, the Company offered 160,213,060 new shares in an fully underwritten ANREO at the offer price of A$0.46 per new share and approximately 80.0 million Institutional and placement options with an exercise price of A$0.80 to participants in the Placement and Institutional Entitlement Offer on the basis of 1 Institutional option for every 2 new shares issued under the Placement. As part of this 2023 Equity Offering, the Company offered 35,434,397 new shares at the offer price of A$0.46 per new share in the fully underwritten Retail Entitlement Offer and approximately 18.0 million new options to eligible shareholders with an exercise price of A$0.80 on the basis of 1 new option for every 2 new shares issued under the Retail Entitlement Offer. Pursuant to the Retail Entitlement Offer and Institutional Entitlement Offer, the Company raised gross proceeds of A$90.0 million (US$58.2 million). Each Option entitles the holder to one ordinary share of the Company. These Investor options were first listed September 21, 2023 at $0.05 per option and trading price closed year end at $0.22 (ASX: OPT-OA).</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Equity and Investor options - 2024</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June 14, 2024, the Company offered approximately 543,285,766 new shares in an partially underwritten ANREO at the offer price of A$0.40 per new share and approximately 142.9 million Institutional and placement options with an exercise price of A$1.00 to participants in the Placement and Institutional Entitlement Offer on the basis of 1 Institutional option for every 3 new shares issued under the Placement. As part of this 2024 Equity Offering, the Company offered 139,627,846 new shares at the offer price of A$0.40 per new share in the fully underwritten Retail Entitlement Offer and approximately 46.5 million new options to eligible shareholders with an exercise price of A$1.00 on the basis of 1 new option for every 3 new shares issued under the Retail Entitlement Offer. Pursuant to the Retail Entitlement Offer and Institutional Entitlement Offer, the company raised gross proceeds of A$227.3 million (US$151.9 million), of which A$55.9 million (US$37.6 million) was received after year end. Each Option entitles the holder to one ordinary share of the company. These Investor options were unlisted on issue and year end, a fair value was determined by management at year end of $0.11 (ASX: OPT-OB).</w:t>
      </w:r>
    </w:p>
    <w:p>
      <w:pPr>
        <w:spacing w:after="0" w:line="18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414042"/>
        </w:rPr>
        <w:t xml:space="preserve">Under IFRS 9 Financial Instruments and IAS 32 Financial Instruments: Presentation, options with an exercise price denominated in a currency that differs from an entity’s functional currency are treated as a derivative where not all existing equity investors are offered to participate in the equity raise on a pro rata basis. Such derivatives are measured at fair value with subsequent changes in fair value accounted for through profit and loss. Options with an exercise price of A$0.80 and A$1.00 meet this requirement as not all investors were offered to participate in the equity raise on a pro rata basis and the Company has presented the fair value of these options as a current liability on the consolidated statement of financial position. As these options are exercised, the fair value at the date of exercise and the associated non-cash liability will be included in our share capital along with the proceeds from the exercise. If these options expire, </w:t>
      </w:r>
      <w:r>
        <w:rPr>
          <w:rFonts w:ascii="Times New Roman" w:cs="Times New Roman" w:eastAsia="Times New Roman" w:hAnsi="Times New Roman"/>
          <w:sz w:val="18"/>
          <w:szCs w:val="18"/>
          <w:color w:val="000000"/>
        </w:rPr>
        <w:t>the non-cash option liability is reversed through the consolidated statement of profit and loss. There is no cash flow impact</w:t>
      </w:r>
      <w:r>
        <w:rPr>
          <w:rFonts w:ascii="Times New Roman" w:cs="Times New Roman" w:eastAsia="Times New Roman" w:hAnsi="Times New Roman"/>
          <w:sz w:val="18"/>
          <w:szCs w:val="18"/>
          <w:color w:val="414042"/>
        </w:rPr>
        <w:t xml:space="preserve"> </w:t>
      </w:r>
      <w:r>
        <w:rPr>
          <w:rFonts w:ascii="Times New Roman" w:cs="Times New Roman" w:eastAsia="Times New Roman" w:hAnsi="Times New Roman"/>
          <w:sz w:val="18"/>
          <w:szCs w:val="18"/>
          <w:color w:val="000000"/>
        </w:rPr>
        <w:t>as a result of the accounting treatment for changes in the fair value of the option derivative or when options expire unexercised.</w:t>
      </w:r>
    </w:p>
    <w:p>
      <w:pPr>
        <w:spacing w:after="0" w:line="192" w:lineRule="exact"/>
        <w:rPr>
          <w:sz w:val="20"/>
          <w:szCs w:val="20"/>
          <w:color w:val="auto"/>
        </w:rPr>
      </w:pPr>
    </w:p>
    <w:p>
      <w:pPr>
        <w:jc w:val="both"/>
        <w:ind w:firstLine="374"/>
        <w:spacing w:after="0" w:line="220" w:lineRule="exact"/>
        <w:rPr>
          <w:sz w:val="20"/>
          <w:szCs w:val="20"/>
          <w:color w:val="auto"/>
        </w:rPr>
      </w:pPr>
      <w:r>
        <w:rPr>
          <w:rFonts w:ascii="Times New Roman" w:cs="Times New Roman" w:eastAsia="Times New Roman" w:hAnsi="Times New Roman"/>
          <w:sz w:val="18"/>
          <w:szCs w:val="18"/>
          <w:color w:val="auto"/>
        </w:rPr>
        <w:t>Considering that the options are traded on the Australian Securities Exchange, the Company used the quoted price at the balance s</w:t>
      </w:r>
      <w:r>
        <w:rPr>
          <w:rFonts w:ascii="Times New Roman" w:cs="Times New Roman" w:eastAsia="Times New Roman" w:hAnsi="Times New Roman"/>
          <w:sz w:val="18"/>
          <w:szCs w:val="18"/>
          <w:color w:val="414042"/>
        </w:rPr>
        <w:t>heet date as the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414042"/>
        </w:rPr>
        <w:t>value of the options. The 2024 options have been fair valued using a Black Scholes model and are level 2 inputs. Key inputs to the valuation include the share price at grant date, expected term, volatility, dividend yield, risk free rate and exercise price. Where relevant, the expected life used in the model has been adjusted based on management’s best estimate for the effects of non</w:t>
      </w:r>
      <w:r>
        <w:rPr>
          <w:rFonts w:ascii="MS PGothic" w:cs="MS PGothic" w:eastAsia="MS PGothic" w:hAnsi="MS PGothic"/>
          <w:sz w:val="18"/>
          <w:szCs w:val="18"/>
          <w:color w:val="414042"/>
        </w:rPr>
        <w:t>‑</w:t>
      </w:r>
      <w:r>
        <w:rPr>
          <w:rFonts w:ascii="Times New Roman" w:cs="Times New Roman" w:eastAsia="Times New Roman" w:hAnsi="Times New Roman"/>
          <w:sz w:val="18"/>
          <w:szCs w:val="18"/>
          <w:color w:val="414042"/>
        </w:rPr>
        <w:t>transferability, exercise restrictions (including the probability of meeting market conditions attached to the option), and behavioral considerations. Expected volatility is based on the historical share</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14042"/>
        </w:rPr>
        <w:t>price volatility over the past 2 years and the implied volatility of the traded options.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26. Current Liabilities - Lease Liabilities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Lease liabilities are as indicated below.</w:t>
      </w:r>
    </w:p>
    <w:p>
      <w:pPr>
        <w:spacing w:after="0" w:line="225"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At the commencement date of the lease of its office premises, the Group recognizes lease liabilities measured at the present value of lease payments to be made over the lease term ending on July 14, 2025 using an incremental borrowing rate of 3%.</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348"/>
        </w:trPr>
        <w:tc>
          <w:tcPr>
            <w:tcW w:w="6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5"/>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24"/>
                <w:szCs w:val="24"/>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3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Carrying amount at July 1</w:t>
            </w:r>
          </w:p>
        </w:tc>
        <w:tc>
          <w:tcPr>
            <w:tcW w:w="6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181,711</w:t>
            </w: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lease</w:t>
            </w: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252,677</w:t>
            </w:r>
          </w:p>
        </w:tc>
        <w:tc>
          <w:tcPr>
            <w:tcW w:w="100" w:type="dxa"/>
            <w:vAlign w:val="bottom"/>
          </w:tcPr>
          <w:p>
            <w:pPr>
              <w:spacing w:after="0"/>
              <w:rPr>
                <w:sz w:val="20"/>
                <w:szCs w:val="20"/>
                <w:color w:val="auto"/>
              </w:rPr>
            </w:pPr>
          </w:p>
        </w:tc>
      </w:tr>
      <w:tr>
        <w:trPr>
          <w:trHeight w:val="24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w:t>
            </w:r>
          </w:p>
        </w:tc>
        <w:tc>
          <w:tcPr>
            <w:tcW w:w="6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gridSpan w:val="5"/>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(88,678 )</w:t>
            </w:r>
          </w:p>
        </w:tc>
        <w:tc>
          <w:tcPr>
            <w:tcW w:w="40" w:type="dxa"/>
            <w:vAlign w:val="bottom"/>
            <w:shd w:val="clear" w:color="auto" w:fill="CFF0FC"/>
          </w:tcPr>
          <w:p>
            <w:pPr>
              <w:spacing w:after="0"/>
              <w:rPr>
                <w:sz w:val="21"/>
                <w:szCs w:val="21"/>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(70,966 )</w:t>
            </w:r>
          </w:p>
        </w:tc>
      </w:tr>
      <w:tr>
        <w:trPr>
          <w:trHeight w:val="239"/>
        </w:trPr>
        <w:tc>
          <w:tcPr>
            <w:tcW w:w="66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Carrying amount at June 30</w:t>
            </w:r>
          </w:p>
        </w:tc>
        <w:tc>
          <w:tcPr>
            <w:tcW w:w="600" w:type="dxa"/>
            <w:vAlign w:val="bottom"/>
            <w:tcBorders>
              <w:top w:val="single" w:sz="8" w:color="CFF0FC"/>
            </w:tcBorders>
          </w:tcPr>
          <w:p>
            <w:pPr>
              <w:spacing w:after="0"/>
              <w:rPr>
                <w:sz w:val="20"/>
                <w:szCs w:val="20"/>
                <w:color w:val="auto"/>
              </w:rPr>
            </w:pPr>
          </w:p>
        </w:tc>
        <w:tc>
          <w:tcPr>
            <w:tcW w:w="5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93,033</w:t>
            </w:r>
          </w:p>
        </w:tc>
        <w:tc>
          <w:tcPr>
            <w:tcW w:w="4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181,711</w:t>
            </w:r>
          </w:p>
        </w:tc>
        <w:tc>
          <w:tcPr>
            <w:tcW w:w="100" w:type="dxa"/>
            <w:vAlign w:val="bottom"/>
            <w:tcBorders>
              <w:top w:val="single" w:sz="8" w:color="CFF0FC"/>
            </w:tcBorders>
          </w:tcPr>
          <w:p>
            <w:pPr>
              <w:spacing w:after="0"/>
              <w:rPr>
                <w:sz w:val="20"/>
                <w:szCs w:val="20"/>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Maturity analysis:</w:t>
            </w:r>
          </w:p>
        </w:tc>
        <w:tc>
          <w:tcPr>
            <w:tcW w:w="6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Year 1</w:t>
            </w: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98,693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102,806</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Year 2</w:t>
            </w:r>
          </w:p>
        </w:tc>
        <w:tc>
          <w:tcPr>
            <w:tcW w:w="6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gridSpan w:val="5"/>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84,226</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98,693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187,032</w:t>
            </w:r>
          </w:p>
        </w:tc>
        <w:tc>
          <w:tcPr>
            <w:tcW w:w="100" w:type="dxa"/>
            <w:vAlign w:val="bottom"/>
          </w:tcPr>
          <w:p>
            <w:pPr>
              <w:spacing w:after="0"/>
              <w:rPr>
                <w:sz w:val="20"/>
                <w:szCs w:val="20"/>
                <w:color w:val="auto"/>
              </w:rPr>
            </w:pPr>
          </w:p>
        </w:tc>
      </w:tr>
      <w:tr>
        <w:trPr>
          <w:trHeight w:val="24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unearned interest</w:t>
            </w:r>
          </w:p>
        </w:tc>
        <w:tc>
          <w:tcPr>
            <w:tcW w:w="6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gridSpan w:val="5"/>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(5,660 )</w:t>
            </w:r>
          </w:p>
        </w:tc>
        <w:tc>
          <w:tcPr>
            <w:tcW w:w="40" w:type="dxa"/>
            <w:vAlign w:val="bottom"/>
            <w:shd w:val="clear" w:color="auto" w:fill="CFF0FC"/>
          </w:tcPr>
          <w:p>
            <w:pPr>
              <w:spacing w:after="0"/>
              <w:rPr>
                <w:sz w:val="21"/>
                <w:szCs w:val="21"/>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(5,321 )</w:t>
            </w:r>
          </w:p>
        </w:tc>
      </w:tr>
      <w:tr>
        <w:trPr>
          <w:trHeight w:val="238"/>
        </w:trPr>
        <w:tc>
          <w:tcPr>
            <w:tcW w:w="6640" w:type="dxa"/>
            <w:vAlign w:val="bottom"/>
            <w:tcBorders>
              <w:top w:val="single" w:sz="8" w:color="CFF0FC"/>
            </w:tcBorders>
          </w:tcPr>
          <w:p>
            <w:pPr>
              <w:spacing w:after="0"/>
              <w:rPr>
                <w:sz w:val="20"/>
                <w:szCs w:val="20"/>
                <w:color w:val="auto"/>
              </w:rPr>
            </w:pPr>
          </w:p>
        </w:tc>
        <w:tc>
          <w:tcPr>
            <w:tcW w:w="600" w:type="dxa"/>
            <w:vAlign w:val="bottom"/>
            <w:tcBorders>
              <w:top w:val="single" w:sz="8" w:color="CFF0FC"/>
            </w:tcBorders>
          </w:tcPr>
          <w:p>
            <w:pPr>
              <w:spacing w:after="0"/>
              <w:rPr>
                <w:sz w:val="20"/>
                <w:szCs w:val="20"/>
                <w:color w:val="auto"/>
              </w:rPr>
            </w:pPr>
          </w:p>
        </w:tc>
        <w:tc>
          <w:tcPr>
            <w:tcW w:w="5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93,033</w:t>
            </w:r>
          </w:p>
        </w:tc>
        <w:tc>
          <w:tcPr>
            <w:tcW w:w="4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181,711</w:t>
            </w:r>
          </w:p>
        </w:tc>
        <w:tc>
          <w:tcPr>
            <w:tcW w:w="100" w:type="dxa"/>
            <w:vAlign w:val="bottom"/>
            <w:tcBorders>
              <w:top w:val="single" w:sz="8" w:color="CFF0FC"/>
            </w:tcBorders>
          </w:tcPr>
          <w:p>
            <w:pPr>
              <w:spacing w:after="0"/>
              <w:rPr>
                <w:sz w:val="20"/>
                <w:szCs w:val="20"/>
                <w:color w:val="auto"/>
              </w:rPr>
            </w:pPr>
          </w:p>
        </w:tc>
      </w:tr>
      <w:tr>
        <w:trPr>
          <w:trHeight w:val="23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Analyzed into:</w:t>
            </w:r>
          </w:p>
        </w:tc>
        <w:tc>
          <w:tcPr>
            <w:tcW w:w="6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w:t>
            </w: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93,033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97,485</w:t>
            </w:r>
          </w:p>
        </w:tc>
        <w:tc>
          <w:tcPr>
            <w:tcW w:w="100" w:type="dxa"/>
            <w:vAlign w:val="bottom"/>
          </w:tcPr>
          <w:p>
            <w:pPr>
              <w:spacing w:after="0"/>
              <w:rPr>
                <w:sz w:val="20"/>
                <w:szCs w:val="20"/>
                <w:color w:val="auto"/>
              </w:rPr>
            </w:pPr>
          </w:p>
        </w:tc>
      </w:tr>
      <w:tr>
        <w:trPr>
          <w:trHeight w:val="243"/>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Non-current portion</w:t>
            </w:r>
          </w:p>
        </w:tc>
        <w:tc>
          <w:tcPr>
            <w:tcW w:w="6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gridSpan w:val="5"/>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84,226</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Borders>
              <w:top w:val="single" w:sz="8" w:color="CFF0FC"/>
            </w:tcBorders>
          </w:tcPr>
          <w:p>
            <w:pPr>
              <w:spacing w:after="0"/>
              <w:rPr>
                <w:sz w:val="20"/>
                <w:szCs w:val="20"/>
                <w:color w:val="auto"/>
              </w:rPr>
            </w:pPr>
          </w:p>
        </w:tc>
        <w:tc>
          <w:tcPr>
            <w:tcW w:w="600" w:type="dxa"/>
            <w:vAlign w:val="bottom"/>
            <w:tcBorders>
              <w:top w:val="single" w:sz="8" w:color="CFF0FC"/>
            </w:tcBorders>
          </w:tcPr>
          <w:p>
            <w:pPr>
              <w:spacing w:after="0"/>
              <w:rPr>
                <w:sz w:val="20"/>
                <w:szCs w:val="20"/>
                <w:color w:val="auto"/>
              </w:rPr>
            </w:pPr>
          </w:p>
        </w:tc>
        <w:tc>
          <w:tcPr>
            <w:tcW w:w="5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93,033</w:t>
            </w:r>
          </w:p>
        </w:tc>
        <w:tc>
          <w:tcPr>
            <w:tcW w:w="4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181,711</w:t>
            </w:r>
          </w:p>
        </w:tc>
        <w:tc>
          <w:tcPr>
            <w:tcW w:w="100" w:type="dxa"/>
            <w:vAlign w:val="bottom"/>
            <w:tcBorders>
              <w:top w:val="single" w:sz="8" w:color="CFF0FC"/>
            </w:tcBorders>
          </w:tcPr>
          <w:p>
            <w:pPr>
              <w:spacing w:after="0"/>
              <w:rPr>
                <w:sz w:val="20"/>
                <w:szCs w:val="20"/>
                <w:color w:val="auto"/>
              </w:rPr>
            </w:pPr>
          </w:p>
        </w:tc>
      </w:tr>
      <w:tr>
        <w:trPr>
          <w:trHeight w:val="701"/>
        </w:trPr>
        <w:tc>
          <w:tcPr>
            <w:tcW w:w="6640" w:type="dxa"/>
            <w:vAlign w:val="bottom"/>
          </w:tcPr>
          <w:p>
            <w:pPr>
              <w:spacing w:after="0"/>
              <w:rPr>
                <w:sz w:val="24"/>
                <w:szCs w:val="24"/>
                <w:color w:val="auto"/>
              </w:rPr>
            </w:pPr>
          </w:p>
        </w:tc>
        <w:tc>
          <w:tcPr>
            <w:tcW w:w="110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24"/>
                <w:szCs w:val="24"/>
                <w:color w:val="auto"/>
              </w:rPr>
            </w:pPr>
          </w:p>
        </w:tc>
        <w:tc>
          <w:tcPr>
            <w:tcW w:w="116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2"/>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r>
      <w:tr>
        <w:trPr>
          <w:trHeight w:val="348"/>
        </w:trPr>
        <w:tc>
          <w:tcPr>
            <w:tcW w:w="6640" w:type="dxa"/>
            <w:vAlign w:val="bottom"/>
          </w:tcPr>
          <w:p>
            <w:pPr>
              <w:spacing w:after="0"/>
              <w:rPr>
                <w:sz w:val="24"/>
                <w:szCs w:val="24"/>
                <w:color w:val="auto"/>
              </w:rPr>
            </w:pPr>
          </w:p>
        </w:tc>
        <w:tc>
          <w:tcPr>
            <w:tcW w:w="134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24"/>
                <w:szCs w:val="24"/>
                <w:color w:val="auto"/>
              </w:rPr>
            </w:pPr>
          </w:p>
        </w:tc>
        <w:tc>
          <w:tcPr>
            <w:tcW w:w="13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24"/>
                <w:szCs w:val="24"/>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3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Amounts recognized in profit or loss:</w:t>
            </w:r>
          </w:p>
        </w:tc>
        <w:tc>
          <w:tcPr>
            <w:tcW w:w="60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 on right-of-use asset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84,225</w:t>
            </w:r>
          </w:p>
        </w:tc>
        <w:tc>
          <w:tcPr>
            <w:tcW w:w="1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84,226</w:t>
            </w:r>
          </w:p>
        </w:tc>
        <w:tc>
          <w:tcPr>
            <w:tcW w:w="4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66,465</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finance costs</w:t>
            </w:r>
          </w:p>
        </w:tc>
        <w:tc>
          <w:tcPr>
            <w:tcW w:w="1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156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5,321</w:t>
            </w:r>
          </w:p>
        </w:tc>
        <w:tc>
          <w:tcPr>
            <w:tcW w:w="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 relating to leases of low value assets</w:t>
            </w:r>
          </w:p>
        </w:tc>
        <w:tc>
          <w:tcPr>
            <w:tcW w:w="6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2,101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100" w:type="dxa"/>
            <w:vAlign w:val="bottom"/>
          </w:tcPr>
          <w:p>
            <w:pPr>
              <w:spacing w:after="0"/>
              <w:rPr>
                <w:sz w:val="20"/>
                <w:szCs w:val="20"/>
                <w:color w:val="auto"/>
              </w:rPr>
            </w:pPr>
          </w:p>
        </w:tc>
      </w:tr>
      <w:tr>
        <w:trPr>
          <w:trHeight w:val="239"/>
        </w:trPr>
        <w:tc>
          <w:tcPr>
            <w:tcW w:w="6640" w:type="dxa"/>
            <w:vAlign w:val="bottom"/>
            <w:shd w:val="clear" w:color="auto" w:fill="CFF0FC"/>
          </w:tcPr>
          <w:p>
            <w:pPr>
              <w:spacing w:after="0"/>
              <w:rPr>
                <w:sz w:val="20"/>
                <w:szCs w:val="20"/>
                <w:color w:val="auto"/>
              </w:rPr>
            </w:pPr>
          </w:p>
        </w:tc>
        <w:tc>
          <w:tcPr>
            <w:tcW w:w="1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89,885</w:t>
            </w:r>
          </w:p>
        </w:tc>
        <w:tc>
          <w:tcPr>
            <w:tcW w:w="156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91,648</w:t>
            </w:r>
          </w:p>
        </w:tc>
        <w:tc>
          <w:tcPr>
            <w:tcW w:w="4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79,761</w:t>
            </w:r>
          </w:p>
        </w:tc>
        <w:tc>
          <w:tcPr>
            <w:tcW w:w="100" w:type="dxa"/>
            <w:vAlign w:val="bottom"/>
            <w:shd w:val="clear" w:color="auto" w:fill="CFF0FC"/>
          </w:tcPr>
          <w:p>
            <w:pPr>
              <w:spacing w:after="0"/>
              <w:rPr>
                <w:sz w:val="20"/>
                <w:szCs w:val="20"/>
                <w:color w:val="auto"/>
              </w:rPr>
            </w:pPr>
          </w:p>
        </w:tc>
      </w:tr>
      <w:tr>
        <w:trPr>
          <w:trHeight w:val="455"/>
        </w:trPr>
        <w:tc>
          <w:tcPr>
            <w:tcW w:w="6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27. Non-Current Liabilities - Financial Liabilities - DFA</w:t>
            </w:r>
          </w:p>
        </w:tc>
        <w:tc>
          <w:tcPr>
            <w:tcW w:w="6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95"/>
        </w:trPr>
        <w:tc>
          <w:tcPr>
            <w:tcW w:w="6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24"/>
                <w:szCs w:val="24"/>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347"/>
        </w:trPr>
        <w:tc>
          <w:tcPr>
            <w:tcW w:w="6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gridSpan w:val="2"/>
          </w:tcPr>
          <w:p>
            <w:pPr>
              <w:spacing w:after="0"/>
              <w:rPr>
                <w:sz w:val="24"/>
                <w:szCs w:val="24"/>
                <w:color w:val="auto"/>
              </w:rPr>
            </w:pPr>
          </w:p>
        </w:tc>
        <w:tc>
          <w:tcPr>
            <w:tcW w:w="22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r>
      <w:tr>
        <w:trPr>
          <w:trHeight w:val="23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Carrying amount at July 1</w:t>
            </w:r>
          </w:p>
        </w:tc>
        <w:tc>
          <w:tcPr>
            <w:tcW w:w="6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85,660,000</w:t>
            </w: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Funding at fair value</w:t>
            </w: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85,000,000</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84,500,000</w:t>
            </w:r>
          </w:p>
        </w:tc>
        <w:tc>
          <w:tcPr>
            <w:tcW w:w="100" w:type="dxa"/>
            <w:vAlign w:val="bottom"/>
          </w:tcPr>
          <w:p>
            <w:pPr>
              <w:spacing w:after="0"/>
              <w:rPr>
                <w:sz w:val="20"/>
                <w:szCs w:val="20"/>
                <w:color w:val="auto"/>
              </w:rPr>
            </w:pPr>
          </w:p>
        </w:tc>
      </w:tr>
      <w:tr>
        <w:trPr>
          <w:trHeight w:val="215"/>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on DFA* (includes amounts owed to related party $24,698,653 (2023:</w:t>
            </w:r>
          </w:p>
        </w:tc>
        <w:tc>
          <w:tcPr>
            <w:tcW w:w="6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$13,462,160))</w:t>
            </w:r>
          </w:p>
        </w:tc>
        <w:tc>
          <w:tcPr>
            <w:tcW w:w="6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30,263,042</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13,462,160</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remeasurement of financial liability - DFA2</w:t>
            </w: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(387,284 )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(12,302,160 )</w:t>
            </w:r>
          </w:p>
        </w:tc>
      </w:tr>
      <w:tr>
        <w:trPr>
          <w:trHeight w:val="279"/>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60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200,535,758</w:t>
            </w:r>
          </w:p>
        </w:tc>
        <w:tc>
          <w:tcPr>
            <w:tcW w:w="18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40" w:type="dxa"/>
            <w:vAlign w:val="bottom"/>
            <w:tcBorders>
              <w:top w:val="single" w:sz="8" w:color="auto"/>
              <w:bottom w:val="single" w:sz="8" w:color="auto"/>
            </w:tcBorders>
            <w:shd w:val="clear" w:color="auto" w:fill="CFF0FC"/>
          </w:tcPr>
          <w:p>
            <w:pPr>
              <w:spacing w:after="0"/>
              <w:rPr>
                <w:sz w:val="24"/>
                <w:szCs w:val="24"/>
                <w:color w:val="auto"/>
              </w:rPr>
            </w:pPr>
          </w:p>
        </w:tc>
        <w:tc>
          <w:tcPr>
            <w:tcW w:w="15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85,660,000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-4928235</wp:posOffset>
            </wp:positionV>
            <wp:extent cx="7747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-4928235</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-3985260</wp:posOffset>
            </wp:positionV>
            <wp:extent cx="7747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-3985260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-3350895</wp:posOffset>
            </wp:positionV>
            <wp:extent cx="7747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-1722120</wp:posOffset>
            </wp:positionV>
            <wp:extent cx="7747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-1722120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7683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7683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414042"/>
        </w:rPr>
        <w:t>In August 2022, Ocelot an affiliate of Carlyle and Abingworth, in collaboration with Carlyle’s and Abingworth’s development company Launch Therapeutics, have committed to provide Opthea no less than US$120.0 million and up to a maximum of US$170.0 million (the additional US$50 million being at the option of the Investor). In December 2023, Opthea entered into an Amended and Restated DFA which resulted in a co-investor contributing funding of US$50.0 million directly to the Company on the same terms and conditions as the existing agreement. The Company exercised significant judgment in accounting for the amended DFA, including consideration of whether the amended DFA resulted in a modification of the original loan. The Company concluded that the amended DFA agreement forms part of the existing agreement as the US$50.0 million is contemplated in the existing agreement on the same return and repayment profile, there have been no substantive changes in the original terms and conditions of the loan and the co-investor was introduced by Ocelot.</w:t>
      </w:r>
    </w:p>
    <w:p>
      <w:pPr>
        <w:sectPr>
          <w:pgSz w:w="11900" w:h="16838" w:orient="portrait"/>
          <w:cols w:equalWidth="0" w:num="1">
            <w:col w:w="11240"/>
          </w:cols>
          <w:pgMar w:left="320" w:top="765" w:right="339" w:bottom="891"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891" w:gutter="0" w:footer="0" w:header="0"/>
          <w:type w:val="continuous"/>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414042"/>
        </w:rPr>
        <w:t>In return, Opthea will pay to the DFA Investors (1) upon the first to occur of regulatory approval of sozinibercept for the treatment of wet AMD in the United States, United Kingdom or European Union (“Regulatory Approval”), fixed payments equal to a total of approximately two times the funding provided, consisting of seven payments, with the first payment due shortly after Regulatory Approval and the remaining six annual payments payable over a six-year period thereafter, and (2) variable payments equal to 7% of net sales of sozinibercept for the treatment of wet AMD for each calendar quarter. The fixed and variable payment obligation discharge once the DFA Investors have received a total of four times their investment.</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414042"/>
        </w:rPr>
        <w:t>The Group evaluated the Financing Agreement and determined it to be a research and development funding arrangement with the characteristics of a debt instrument, as the transfer of financial risk to the DFA Investors was not considered substantive and genuine. Accordingly, the Company has recorded payments received under the Financing Agreement as part of a development financing liability in its consolidated balance sheet. The Group accounts for the overall development financing liability at amortized cost based on the estimated timing of regulatory approval and attainment of certain sales milestones and the contractual success fee payments expected to be due therefrom, as discounted using an imputed interest rate. The development financing liability will be accreted as interest expense to its expected future repayment amount over the expected life of the agreement using the effective interest rate method. Certain legal and financial advisory fees incurred specifically to complete the Financing Agreement were capitalized and recorded as a reduction to the carrying amount of the development financing liability and will also be amortized to interest expense using the effective interest method.</w:t>
      </w:r>
    </w:p>
    <w:p>
      <w:pPr>
        <w:spacing w:after="0" w:line="19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414042"/>
        </w:rPr>
        <w:t>There are several factors that could affect the estimated timing of regulatory approval and attainment of sales milestones, some of which are not entirely within the Group’s control. Therefore, at each reporting date, the Group reassesses the estimated timing of regulatory approval and attainment of sales milestones and the expected contractual success fee payments due therefrom. If the timing and/or amount of such expected payments is materially different than original estimates, the Group will prospectively adjust the accretion of the development financing liability . Refer to Note 12 and 13.</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414042"/>
        </w:rPr>
        <w:t>As of June 30, 2024, the development financing liability was classified as a long-term liability, as the Group expects the related repayments of US$680.0 million (four multiples of the funding received), plus $51.0 million relating to withholding tax obligations to take place between 2027 and 2032 for purposes of the model used to calculate its carrying value. The Group is liable for the withholding tax obligations and as a result, this obligation forms part of the financial liability. The imputed interest rate on the unamortized portion of the development financing liability was approximately 23%.</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414042"/>
        </w:rPr>
        <w:t>Pursuant to the DFA, Opthea is required to use commercially reasonable efforts to develop sozinibercept for the treatment of wet AMD in accordance with the DFA, including pursuant to certain development timelines set forth therein.</w:t>
      </w:r>
    </w:p>
    <w:p>
      <w:pPr>
        <w:spacing w:after="0" w:line="16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414042"/>
        </w:rPr>
        <w:t>In certain instances which may result upon the termination of the DFA, the Group will be obligated to pay the Investors up to four multiples of the amounts paid to us under the DFA. Termination can be triggered by a range of events including if Opthea fails to use commercially reasonable efforts to develop and commercialize sozinibercept, if positive trial results are not achieved or if regulatory approval is not obtained. The agreement also includes termination clauses relating to change of control, disagreement with DFA Investors, inability to fund development costs, safety, bankruptcy and other material breaches, as defined in the Financing Agreement. Each termination trigger has a corresponding percentage to be paid, with possible outcomes requiring the Group to repay an amount equal to 0%, 135%, 150%, 275% or 400% of the initial amounts paid to the Group under the DFA. This is equivalent to potential repayments of $nil, $229.5 million, $255.0 million, $467.5 million or $680.0 million if a termination event is to occur. At June 30, 2024, the Group remains in compliance with the DFA and no such instances have occurred or are expected to occur.</w:t>
      </w:r>
    </w:p>
    <w:p>
      <w:pPr>
        <w:spacing w:after="0" w:line="19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414042"/>
        </w:rPr>
        <w:t>The DFA contains terms that require compliance by the Company to maintain a minimum cash balance and to provide a notice to Ocelot in the event it anticipates that it does not have sufficient cash to fund its operations for the next six months. At June 30, 2024 the Group remains in compliance with the minimum cash balance requirements of the DFA.</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414042"/>
        </w:rPr>
        <w:t>Pursuant to the Financing Agreement, Opthea granted the DFA Investors a security interest in all its assets (other than intellectual property not related to sozinibercept), provided that the Group is permitted to incur certain indebtedness. The security interest will terminate when the Group has paid the DFA Investors of the funding provided or upon certain terminations of the Financing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28. Non-Current Liabilities - Provisions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348"/>
        </w:trPr>
        <w:tc>
          <w:tcPr>
            <w:tcW w:w="6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4"/>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32"/>
        </w:trPr>
        <w:tc>
          <w:tcPr>
            <w:tcW w:w="6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 service leave</w:t>
            </w:r>
          </w:p>
        </w:tc>
        <w:tc>
          <w:tcPr>
            <w:tcW w:w="1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9,877</w:t>
            </w:r>
          </w:p>
        </w:tc>
        <w:tc>
          <w:tcPr>
            <w:tcW w:w="2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non-current provisions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9,877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7,631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29. Non-Current Liabilities - lease liabilities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1"/>
        </w:trPr>
        <w:tc>
          <w:tcPr>
            <w:tcW w:w="6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24"/>
                <w:szCs w:val="24"/>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347"/>
        </w:trPr>
        <w:tc>
          <w:tcPr>
            <w:tcW w:w="6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402"/>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260" w:type="dxa"/>
            <w:vAlign w:val="bottom"/>
            <w:gridSpan w:val="3"/>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1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gridSpan w:val="3"/>
            <w:shd w:val="clear" w:color="auto" w:fill="CFF0FC"/>
          </w:tcPr>
          <w:p>
            <w:pPr>
              <w:spacing w:after="0"/>
              <w:rPr>
                <w:sz w:val="20"/>
                <w:szCs w:val="20"/>
                <w:color w:val="auto"/>
              </w:rPr>
            </w:pPr>
          </w:p>
        </w:tc>
        <w:tc>
          <w:tcPr>
            <w:tcW w:w="16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84,226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non-current provisions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4"/>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84,226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30. Contributed Equity</w:t>
            </w: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24"/>
                <w:szCs w:val="24"/>
                <w:color w:val="auto"/>
              </w:rPr>
            </w:pPr>
          </w:p>
        </w:tc>
        <w:tc>
          <w:tcPr>
            <w:tcW w:w="13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00" w:type="dxa"/>
            <w:vAlign w:val="bottom"/>
          </w:tcPr>
          <w:p>
            <w:pPr>
              <w:spacing w:after="0"/>
              <w:rPr>
                <w:sz w:val="24"/>
                <w:szCs w:val="24"/>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187"/>
        </w:trPr>
        <w:tc>
          <w:tcPr>
            <w:tcW w:w="6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6"/>
                <w:szCs w:val="16"/>
                <w:color w:val="auto"/>
              </w:rPr>
            </w:pP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36"/>
        </w:trPr>
        <w:tc>
          <w:tcPr>
            <w:tcW w:w="6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(a) Ordinary shares</w:t>
            </w:r>
          </w:p>
        </w:tc>
        <w:tc>
          <w:tcPr>
            <w:tcW w:w="12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Issued and fully paid at June 30</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466,084,145</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320,883,552</w:t>
            </w:r>
          </w:p>
        </w:tc>
        <w:tc>
          <w:tcPr>
            <w:tcW w:w="2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235,277,217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Movement in ordinary shares:</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Opening balance</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320,883,552</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235,277,217</w:t>
            </w:r>
          </w:p>
        </w:tc>
        <w:tc>
          <w:tcPr>
            <w:tcW w:w="2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234,147,526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Issue of shares on exercise of options granted under the LTIP</w:t>
            </w: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3,790,978</w:t>
            </w:r>
          </w:p>
        </w:tc>
        <w:tc>
          <w:tcPr>
            <w:tcW w:w="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1,129,691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Issue of shares on exercise of options granted from Placement and Institutional</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Offer</w:t>
            </w:r>
          </w:p>
        </w:tc>
        <w:tc>
          <w:tcPr>
            <w:tcW w:w="15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-3119755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-1910715</wp:posOffset>
            </wp:positionV>
            <wp:extent cx="768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ind w:left="300" w:right="260"/>
        <w:spacing w:after="0" w:line="263" w:lineRule="auto"/>
        <w:rPr>
          <w:sz w:val="20"/>
          <w:szCs w:val="20"/>
          <w:color w:val="auto"/>
        </w:rPr>
      </w:pPr>
      <w:r>
        <w:rPr>
          <w:rFonts w:ascii="Times New Roman" w:cs="Times New Roman" w:eastAsia="Times New Roman" w:hAnsi="Times New Roman"/>
          <w:sz w:val="18"/>
          <w:szCs w:val="18"/>
          <w:color w:val="auto"/>
        </w:rPr>
        <w:t>Issue of shares net of issuance costs from 2023 Placement and Institutional Offer $4,764,890</w:t>
      </w:r>
    </w:p>
    <w:p>
      <w:pPr>
        <w:spacing w:after="0" w:line="1" w:lineRule="exact"/>
        <w:rPr>
          <w:sz w:val="20"/>
          <w:szCs w:val="20"/>
          <w:color w:val="auto"/>
        </w:rPr>
      </w:pPr>
    </w:p>
    <w:p>
      <w:pPr>
        <w:ind w:left="300" w:right="300"/>
        <w:spacing w:after="0" w:line="272" w:lineRule="auto"/>
        <w:rPr>
          <w:sz w:val="20"/>
          <w:szCs w:val="20"/>
          <w:color w:val="auto"/>
        </w:rPr>
      </w:pPr>
      <w:r>
        <w:rPr>
          <w:rFonts w:ascii="Times New Roman" w:cs="Times New Roman" w:eastAsia="Times New Roman" w:hAnsi="Times New Roman"/>
          <w:sz w:val="18"/>
          <w:szCs w:val="18"/>
          <w:color w:val="auto"/>
        </w:rPr>
        <w:t>Issue of shares net of issuance costs from 2024 Placement and Entitlement Offer $8,903,734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29146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tabs>
          <w:tab w:leader="none" w:pos="2180" w:val="left"/>
          <w:tab w:leader="none" w:pos="3820" w:val="left"/>
        </w:tabs>
        <w:rPr>
          <w:sz w:val="20"/>
          <w:szCs w:val="20"/>
          <w:color w:val="auto"/>
        </w:rPr>
      </w:pPr>
      <w:r>
        <w:rPr>
          <w:rFonts w:ascii="Times New Roman" w:cs="Times New Roman" w:eastAsia="Times New Roman" w:hAnsi="Times New Roman"/>
          <w:sz w:val="18"/>
          <w:szCs w:val="18"/>
          <w:color w:val="auto"/>
        </w:rPr>
        <w:t>50,273,023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347" w:lineRule="exact"/>
        <w:rPr>
          <w:sz w:val="20"/>
          <w:szCs w:val="20"/>
          <w:color w:val="auto"/>
        </w:rPr>
      </w:pPr>
    </w:p>
    <w:p>
      <w:pPr>
        <w:spacing w:after="0"/>
        <w:tabs>
          <w:tab w:leader="none" w:pos="1560" w:val="left"/>
          <w:tab w:leader="none" w:pos="3820" w:val="left"/>
        </w:tabs>
        <w:rPr>
          <w:sz w:val="20"/>
          <w:szCs w:val="20"/>
          <w:color w:val="auto"/>
        </w:rPr>
      </w:pPr>
      <w:r>
        <w:rPr>
          <w:rFonts w:ascii="Times New Roman" w:cs="Times New Roman" w:eastAsia="Times New Roman" w:hAnsi="Times New Roman"/>
          <w:sz w:val="18"/>
          <w:szCs w:val="18"/>
          <w:color w:val="auto"/>
        </w:rPr>
        <w:t>94,926,676</w:t>
      </w:r>
      <w:r>
        <w:rPr>
          <w:sz w:val="20"/>
          <w:szCs w:val="20"/>
          <w:color w:val="auto"/>
        </w:rPr>
        <w:tab/>
      </w:r>
      <w:r>
        <w:rPr>
          <w:rFonts w:ascii="Times New Roman" w:cs="Times New Roman" w:eastAsia="Times New Roman" w:hAnsi="Times New Roman"/>
          <w:sz w:val="18"/>
          <w:szCs w:val="18"/>
          <w:color w:val="auto"/>
        </w:rPr>
        <w:t>81,815,357</w:t>
      </w:r>
      <w:r>
        <w:rPr>
          <w:sz w:val="20"/>
          <w:szCs w:val="20"/>
          <w:color w:val="auto"/>
        </w:rPr>
        <w:tab/>
      </w:r>
      <w:r>
        <w:rPr>
          <w:rFonts w:ascii="Times New Roman" w:cs="Times New Roman" w:eastAsia="Times New Roman" w:hAnsi="Times New Roman"/>
          <w:sz w:val="18"/>
          <w:szCs w:val="18"/>
          <w:color w:val="auto"/>
        </w:rPr>
        <w:t>—</w:t>
      </w:r>
    </w:p>
    <w:p>
      <w:pPr>
        <w:spacing w:after="0" w:line="60" w:lineRule="exact"/>
        <w:rPr>
          <w:sz w:val="20"/>
          <w:szCs w:val="20"/>
          <w:color w:val="auto"/>
        </w:rPr>
      </w:pPr>
    </w:p>
    <w:p>
      <w:pPr>
        <w:sectPr>
          <w:pgSz w:w="11900" w:h="16838" w:orient="portrait"/>
          <w:cols w:equalWidth="0" w:num="2">
            <w:col w:w="6380" w:space="720"/>
            <w:col w:w="4140"/>
          </w:cols>
          <w:pgMar w:left="320" w:top="765"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648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466,084,145</w:t>
            </w:r>
          </w:p>
        </w:tc>
        <w:tc>
          <w:tcPr>
            <w:tcW w:w="2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320,883,552</w:t>
            </w:r>
          </w:p>
        </w:tc>
        <w:tc>
          <w:tcPr>
            <w:tcW w:w="22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235,277,217</w:t>
            </w:r>
          </w:p>
        </w:tc>
        <w:tc>
          <w:tcPr>
            <w:tcW w:w="10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Ordinary shares on issue:</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No:</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No:</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b w:val="1"/>
                <w:bCs w:val="1"/>
                <w:color w:val="auto"/>
              </w:rPr>
              <w:t>No:</w:t>
            </w:r>
          </w:p>
        </w:tc>
      </w:tr>
      <w:tr>
        <w:trPr>
          <w:trHeight w:val="239"/>
        </w:trPr>
        <w:tc>
          <w:tcPr>
            <w:tcW w:w="6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Opening balance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467,159,434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352,152,542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351,003,541</w:t>
            </w:r>
          </w:p>
        </w:tc>
        <w:tc>
          <w:tcPr>
            <w:tcW w:w="100" w:type="dxa"/>
            <w:vAlign w:val="bottom"/>
          </w:tcPr>
          <w:p>
            <w:pPr>
              <w:spacing w:after="0"/>
              <w:rPr>
                <w:sz w:val="20"/>
                <w:szCs w:val="20"/>
                <w:color w:val="auto"/>
              </w:rPr>
            </w:pPr>
          </w:p>
        </w:tc>
      </w:tr>
      <w:tr>
        <w:trPr>
          <w:trHeight w:val="247"/>
        </w:trPr>
        <w:tc>
          <w:tcPr>
            <w:tcW w:w="6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Issue of shares on exercise of options granted under the LTIP</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2,387,826</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1,149,001</w:t>
            </w:r>
          </w:p>
        </w:tc>
        <w:tc>
          <w:tcPr>
            <w:tcW w:w="100" w:type="dxa"/>
            <w:vAlign w:val="bottom"/>
            <w:shd w:val="clear" w:color="auto" w:fill="CFF0FC"/>
          </w:tcPr>
          <w:p>
            <w:pPr>
              <w:spacing w:after="0"/>
              <w:rPr>
                <w:sz w:val="21"/>
                <w:szCs w:val="21"/>
                <w:color w:val="auto"/>
              </w:rPr>
            </w:pPr>
          </w:p>
        </w:tc>
      </w:tr>
      <w:tr>
        <w:trPr>
          <w:trHeight w:val="239"/>
        </w:trPr>
        <w:tc>
          <w:tcPr>
            <w:tcW w:w="6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Issue of share on exercise of options from Placement and Institutional Offer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Issue of shares on ASX from 2023 Placement and Entitlement Offer</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195,647,457</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Issue of shares on ASX from 2024 Placement and Entitlement Offer</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428,658,137</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112,619,066</w:t>
            </w: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9"/>
        </w:trPr>
        <w:tc>
          <w:tcPr>
            <w:tcW w:w="648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1,091,466,771</w:t>
            </w:r>
          </w:p>
        </w:tc>
        <w:tc>
          <w:tcPr>
            <w:tcW w:w="2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467,159,434</w:t>
            </w:r>
          </w:p>
        </w:tc>
        <w:tc>
          <w:tcPr>
            <w:tcW w:w="22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352,152,542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-24765</wp:posOffset>
            </wp:positionV>
            <wp:extent cx="7747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7747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Fully paid ordinary shares have no par value, carry one vote per share and carry the right to dividends. No cash dividends have been paid, declared or recommended during or since the end of the financial year by the Company. We have not declared or paid any dividends on our ordinary shares. We intend to retain any earnings for use in our business and do not currently intend to pay cash dividends on our ordinary shares. Dividends, if any, on our outstanding ordinary shares will be declared by and subject to the discretion of our board of directors, and subject to Australian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and Investor options - 2023</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August 28, 2023, the Company offered approximately 160,213,060 new shares at the offer price of A$0.46 per new share and approximately 80.0 million Institutional and placement options with an exercise price of A$0.80 to participants in the Placement and Institutional Entitlement Offer on the basis of 1 Institutional option for every 2 new shares issued under the Placement and 35,434,397 new shares at the offer price of A$0.46 per new share and approximately 18.0 million new options to eligible shareholders with an exercise price of A$0.80 on the basis of 1 new option for every 2 new shares issued under the Retail Entitlement Offer. Pursuant to the Retail Entitlement Offer and Institutional Entitlement Offer, the company raised gross proceeds of A$90.0 million (US$58.2 million). Each Option entitles the holder to one</w:t>
      </w:r>
    </w:p>
    <w:p>
      <w:pPr>
        <w:sectPr>
          <w:pgSz w:w="11900" w:h="16838" w:orient="portrait"/>
          <w:cols w:equalWidth="0" w:num="1">
            <w:col w:w="11240"/>
          </w:cols>
          <w:pgMar w:left="320" w:top="765"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 of the company. These Investor options were listed September 21, 2023 at A$0.05 and year end A$0.22 (ASX: OPT-OA).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and Investor options – 2024</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 xml:space="preserve">On June 14, 2024, the Company offered approximately 543,285,766 new shares at the offer price of A$0.40 per new share and approximately 142.9 million Institutional and placement options with an exercise price of A$1.00 to participants in the Placement and Institutional Entitlement Offer on the basis of 1 Institutional option for every 3 new shares issued under the Placement and approximately 139,627,846 new shares at the offer price of A$0.40 per new share and approximately 46.5 million new options to eligible shareholders with an exercise price of A$1.00 on the basis of 1 new option for every 3 new shares issued under the Retail Entitlement Offer. Pursuant to the Retail Entitlement Offer and Institutional Entitlement Offer, the company raised gross proceeds of A$227.3 million (US$151.9 million) of which A$55.9 million (US$37.6 million ) was received after year end. Each Option entitles the holder to one ordinary share of the company. </w:t>
      </w:r>
      <w:r>
        <w:rPr>
          <w:rFonts w:ascii="Times New Roman" w:cs="Times New Roman" w:eastAsia="Times New Roman" w:hAnsi="Times New Roman"/>
          <w:sz w:val="18"/>
          <w:szCs w:val="18"/>
          <w:color w:val="414042"/>
        </w:rPr>
        <w:t>These Investor options were unlisted on issue and year end, a fair value was determined was determined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414042"/>
        </w:rPr>
        <w:t>management at issuance and at year end of $0.11 (ASX: OPT-OB).</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Issued capital at June 30, 2024 amounted to US$466,084,145 (1,091,446,771 fully paid ordinary shares) net of share issue costs and tax</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year ended June 30, 2024 the Company issued 624,305,594 ordinary shares on ASX listing for net proceeds of US$145,199,699.</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Issued capital at June 30, 2023 amounted to US$320,883,552 (467,159,434 fully paid ordinary shares) net of share issue costs and tax.</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year ended June 30, 2023 the Company issued 112,619,066 ordinary shares on ASX listing for net proceeds of US$81,815,3571.</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Options granted to directors and employees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The company has two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 schemes, the Long-Term Incentive Plan (LTIP)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Executive Director Share and Option Plan.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to subscribe for the Company’s shares have been granted under these plans to certain employees and directors.</w:t>
      </w:r>
    </w:p>
    <w:p>
      <w:pPr>
        <w:spacing w:after="0" w:line="20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414042"/>
        </w:rPr>
        <w:t>The Company granted 9,850,000 options/rights over ordinary shares and 5,045,000 ADS options under these plans during the year ended June 30, 2024 (Note 38). These options/rights had a weighted average fair value at grant date of $1.18 per option and $1.97 per ADS option. During the year ended June 30, 2024, no options granted under the LTIP and NED Plan were exercised.</w:t>
      </w:r>
    </w:p>
    <w:p>
      <w:pPr>
        <w:spacing w:after="0" w:line="17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granted 10,050,000 options/rights and 755,000 American Depository Shares (ADS) options over ordinary shares under these plans during the year ended June 30, 2023 (Note 38). These options/rights had a weighted average fair value at grant date of $1.62 per options and the ADS options had a weighted average fair value at grant date of $6.75. During the year ended June 30, 2023, 6,613,000 options granted under the LTIP and NED Plan were exercised for $3,790,977 ($1,040,718 for cash and $2,750,258 via cashless conversion)</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granted 8,400,000 options/rights and 925,000 American Depository Shares (ADS) options over ordinary shares under these plans during the year ended June 30, 2022 (Note 38). These options/rights had a weighted average fair value at grant date of $0.781 per options and the ADS options had a weighted average fair value at grant date of $6.75. During the year ended June 30, 2022, 2,056,000 options granted under the LTIP and NED Plan were exercised for $1,129,691 ($257,175 for cash and $872,516 via cashless conversion).</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granted 7,000,000 options over ordinary shares under these plans during the year ended June 30, 2021 (note 38). These options had a weighted average fair value at their grant date of US$1.03 per option. During June 30, 2021 8,400,000 options granted under the LTIP and NED Plan were exercised for US$3,271,542. No options were granted under the Plans during the year ended June 30, 2020.</w:t>
      </w:r>
    </w:p>
    <w:p>
      <w:pPr>
        <w:spacing w:after="0" w:line="135" w:lineRule="exact"/>
        <w:rPr>
          <w:sz w:val="20"/>
          <w:szCs w:val="20"/>
          <w:color w:val="auto"/>
        </w:rPr>
      </w:pPr>
    </w:p>
    <w:p>
      <w:pPr>
        <w:jc w:val="both"/>
        <w:ind w:firstLine="374"/>
        <w:spacing w:after="0" w:line="236" w:lineRule="exact"/>
        <w:rPr>
          <w:sz w:val="20"/>
          <w:szCs w:val="20"/>
          <w:color w:val="auto"/>
        </w:rPr>
      </w:pPr>
      <w:r>
        <w:rPr>
          <w:rFonts w:ascii="Times New Roman" w:cs="Times New Roman" w:eastAsia="Times New Roman" w:hAnsi="Times New Roman"/>
          <w:sz w:val="18"/>
          <w:szCs w:val="18"/>
          <w:color w:val="414042"/>
        </w:rPr>
        <w:t>At June 30, 2024, the Company had 13,848,860 Non</w:t>
      </w:r>
      <w:r>
        <w:rPr>
          <w:rFonts w:ascii="MS PGothic" w:cs="MS PGothic" w:eastAsia="MS PGothic" w:hAnsi="MS PGothic"/>
          <w:sz w:val="18"/>
          <w:szCs w:val="18"/>
          <w:color w:val="414042"/>
        </w:rPr>
        <w:t>‑</w:t>
      </w:r>
      <w:r>
        <w:rPr>
          <w:rFonts w:ascii="Times New Roman" w:cs="Times New Roman" w:eastAsia="Times New Roman" w:hAnsi="Times New Roman"/>
          <w:sz w:val="18"/>
          <w:szCs w:val="18"/>
          <w:color w:val="414042"/>
        </w:rPr>
        <w:t>Executive Director options that remain unexercised with expiry of November 2026 for 875,342 options and November 2025 for 2,973,518, options, October 2024 for 4,000,000 options, January 2025 for 3,000,000 options, October 2025 for 1,500,000 options and April 2026 for 1,500,000 options.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At June 30, 2023, the company had 7,250,000 Non-Executive Director options that remain unexercised with expiry of October 2024 for 3,000,000 options, January 2025 for 2,250,000 options, October 2025 for 1,000,000 options and April 2026 for 1,000,000 options.</w:t>
      </w:r>
    </w:p>
    <w:p>
      <w:pPr>
        <w:spacing w:after="0" w:line="16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At June 30, 2022, the company had 7,500,000 Non-Executive Director options that remain unexercised with expiry of November 2022 for 3,000,000 options, October 2024 for 2,000,000 options, January 2025 for 1,500,000 options, October 2025 for 500,000 options and April 2026 for 500,000 options.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Capital management</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Group is not subject to any externally imposed capital requirements. When managing share capital, management’s objective is to ensure the entity continues as a going concern as well as to provide benefits to shareholders and for other stakeholders. In order to maintain or achieve an appropriate capital structure, the Company may issue new shares or reduce its share capital, subject to the provisions of the Company’s constitution. The Group only commits to significant R&amp;D expenditure when this is fully funded either by existing funds, the DFA or further equity raises.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31. Accumulated Losses and Reserves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68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6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397"/>
        </w:trPr>
        <w:tc>
          <w:tcPr>
            <w:tcW w:w="7560" w:type="dxa"/>
            <w:vAlign w:val="bottom"/>
          </w:tcPr>
          <w:p>
            <w:pPr>
              <w:spacing w:after="0"/>
              <w:rPr>
                <w:sz w:val="24"/>
                <w:szCs w:val="24"/>
                <w:color w:val="auto"/>
              </w:rPr>
            </w:pPr>
          </w:p>
        </w:tc>
        <w:tc>
          <w:tcPr>
            <w:tcW w:w="192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US$</w:t>
            </w:r>
          </w:p>
        </w:tc>
        <w:tc>
          <w:tcPr>
            <w:tcW w:w="17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41"/>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(a) Movements in accumulated losses were as follows:</w:t>
            </w:r>
          </w:p>
        </w:tc>
        <w:tc>
          <w:tcPr>
            <w:tcW w:w="168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Balance at July 1</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(359,462,438 )</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(216,941,353 )</w:t>
            </w:r>
          </w:p>
        </w:tc>
      </w:tr>
      <w:tr>
        <w:trPr>
          <w:trHeight w:val="243"/>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loss for the period</w:t>
            </w:r>
          </w:p>
        </w:tc>
        <w:tc>
          <w:tcPr>
            <w:tcW w:w="1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(220,242,105 )</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(142,521,085 )</w:t>
            </w:r>
          </w:p>
        </w:tc>
      </w:tr>
      <w:tr>
        <w:trPr>
          <w:trHeight w:val="20"/>
        </w:trPr>
        <w:tc>
          <w:tcPr>
            <w:tcW w:w="756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Balance at June 30</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(579,704,543 )</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(359,462,438 )</w:t>
            </w:r>
          </w:p>
        </w:tc>
      </w:tr>
      <w:tr>
        <w:trPr>
          <w:trHeight w:val="239"/>
        </w:trPr>
        <w:tc>
          <w:tcPr>
            <w:tcW w:w="7560" w:type="dxa"/>
            <w:vAlign w:val="bottom"/>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(b) Reserves</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Fair value of Investments reserve (i)</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1,085,411</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1,085,411</w:t>
            </w: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Share-based payments reserve (ii)</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16,635,747</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11,551,134</w:t>
            </w:r>
          </w:p>
        </w:tc>
        <w:tc>
          <w:tcPr>
            <w:tcW w:w="100" w:type="dxa"/>
            <w:vAlign w:val="bottom"/>
          </w:tcPr>
          <w:p>
            <w:pPr>
              <w:spacing w:after="0"/>
              <w:rPr>
                <w:sz w:val="20"/>
                <w:szCs w:val="20"/>
                <w:color w:val="auto"/>
              </w:rPr>
            </w:pPr>
          </w:p>
        </w:tc>
      </w:tr>
      <w:tr>
        <w:trPr>
          <w:trHeight w:val="243"/>
        </w:trPr>
        <w:tc>
          <w:tcPr>
            <w:tcW w:w="75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Foreign translation reserve (iii)</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20,089,163</w:t>
            </w:r>
          </w:p>
        </w:tc>
        <w:tc>
          <w:tcPr>
            <w:tcW w:w="24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20,089,163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 reserves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37,810,321</w:t>
            </w:r>
          </w:p>
        </w:tc>
        <w:tc>
          <w:tcPr>
            <w:tcW w:w="240" w:type="dxa"/>
            <w:vAlign w:val="bottom"/>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32,725,708</w:t>
            </w:r>
          </w:p>
        </w:tc>
        <w:tc>
          <w:tcPr>
            <w:tcW w:w="100" w:type="dxa"/>
            <w:vAlign w:val="bottom"/>
          </w:tcPr>
          <w:p>
            <w:pPr>
              <w:spacing w:after="0"/>
              <w:rPr>
                <w:sz w:val="20"/>
                <w:szCs w:val="20"/>
                <w:color w:val="auto"/>
              </w:rPr>
            </w:pPr>
          </w:p>
        </w:tc>
      </w:tr>
      <w:tr>
        <w:trPr>
          <w:trHeight w:val="239"/>
        </w:trPr>
        <w:tc>
          <w:tcPr>
            <w:tcW w:w="756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 Movement in fair value of investments reserve:</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Opening balance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1,085,411</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1,085,411</w:t>
            </w: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Fair value on gains on investments in financial assets</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Exchange on translation</w:t>
            </w:r>
          </w:p>
        </w:tc>
        <w:tc>
          <w:tcPr>
            <w:tcW w:w="1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56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Closing balance</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1,085,411</w:t>
            </w:r>
          </w:p>
        </w:tc>
        <w:tc>
          <w:tcPr>
            <w:tcW w:w="240" w:type="dxa"/>
            <w:vAlign w:val="bottom"/>
            <w:tcBorders>
              <w:top w:val="single" w:sz="8" w:color="CFF0FC"/>
            </w:tcBorders>
          </w:tcPr>
          <w:p>
            <w:pPr>
              <w:spacing w:after="0"/>
              <w:rPr>
                <w:sz w:val="20"/>
                <w:szCs w:val="20"/>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1,085,411</w:t>
            </w:r>
          </w:p>
        </w:tc>
        <w:tc>
          <w:tcPr>
            <w:tcW w:w="100" w:type="dxa"/>
            <w:vAlign w:val="bottom"/>
            <w:tcBorders>
              <w:top w:val="single" w:sz="8" w:color="CFF0FC"/>
            </w:tcBorders>
          </w:tcPr>
          <w:p>
            <w:pPr>
              <w:spacing w:after="0"/>
              <w:rPr>
                <w:sz w:val="20"/>
                <w:szCs w:val="20"/>
                <w:color w:val="auto"/>
              </w:rPr>
            </w:pPr>
          </w:p>
        </w:tc>
      </w:tr>
      <w:tr>
        <w:trPr>
          <w:trHeight w:val="239"/>
        </w:trPr>
        <w:tc>
          <w:tcPr>
            <w:tcW w:w="756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(ii) Movement in share-based payments reserve:</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Opening balance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11,551,134</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8,466,706</w:t>
            </w: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Share-based payments expense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5,084,613</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5,834,686</w:t>
            </w:r>
          </w:p>
        </w:tc>
        <w:tc>
          <w:tcPr>
            <w:tcW w:w="100" w:type="dxa"/>
            <w:vAlign w:val="bottom"/>
          </w:tcPr>
          <w:p>
            <w:pPr>
              <w:spacing w:after="0"/>
              <w:rPr>
                <w:sz w:val="20"/>
                <w:szCs w:val="20"/>
                <w:color w:val="auto"/>
              </w:rPr>
            </w:pPr>
          </w:p>
        </w:tc>
      </w:tr>
      <w:tr>
        <w:trPr>
          <w:trHeight w:val="247"/>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Exercise of options</w:t>
            </w:r>
          </w:p>
        </w:tc>
        <w:tc>
          <w:tcPr>
            <w:tcW w:w="1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(2,750,258 )</w:t>
            </w:r>
          </w:p>
        </w:tc>
      </w:tr>
      <w:tr>
        <w:trPr>
          <w:trHeight w:val="239"/>
        </w:trPr>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Exchange on translation</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5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Closing balance</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16,635,747</w:t>
            </w:r>
          </w:p>
        </w:tc>
        <w:tc>
          <w:tcPr>
            <w:tcW w:w="24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11,551,134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7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(iii) Movement in foreign translation reserve:</w:t>
            </w:r>
          </w:p>
        </w:tc>
        <w:tc>
          <w:tcPr>
            <w:tcW w:w="1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Opening balance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20,089,163</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20,089,163</w:t>
            </w:r>
          </w:p>
        </w:tc>
        <w:tc>
          <w:tcPr>
            <w:tcW w:w="100" w:type="dxa"/>
            <w:vAlign w:val="bottom"/>
          </w:tcPr>
          <w:p>
            <w:pPr>
              <w:spacing w:after="0"/>
              <w:rPr>
                <w:sz w:val="20"/>
                <w:szCs w:val="20"/>
                <w:color w:val="auto"/>
              </w:rPr>
            </w:pPr>
          </w:p>
        </w:tc>
      </w:tr>
      <w:tr>
        <w:trPr>
          <w:trHeight w:val="243"/>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(Gains)/loss on translation</w:t>
            </w:r>
          </w:p>
        </w:tc>
        <w:tc>
          <w:tcPr>
            <w:tcW w:w="1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56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Closing balance</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20,089,163</w:t>
            </w:r>
          </w:p>
        </w:tc>
        <w:tc>
          <w:tcPr>
            <w:tcW w:w="240" w:type="dxa"/>
            <w:vAlign w:val="bottom"/>
            <w:tcBorders>
              <w:top w:val="single" w:sz="8" w:color="CFF0FC"/>
            </w:tcBorders>
          </w:tcPr>
          <w:p>
            <w:pPr>
              <w:spacing w:after="0"/>
              <w:rPr>
                <w:sz w:val="20"/>
                <w:szCs w:val="20"/>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20,089,163</w:t>
            </w:r>
          </w:p>
        </w:tc>
        <w:tc>
          <w:tcPr>
            <w:tcW w:w="10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-3942715</wp:posOffset>
            </wp:positionV>
            <wp:extent cx="7747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-3942715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-2999740</wp:posOffset>
            </wp:positionV>
            <wp:extent cx="7747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-2056765</wp:posOffset>
            </wp:positionV>
            <wp:extent cx="7747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-796290</wp:posOffset>
            </wp:positionV>
            <wp:extent cx="7747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7747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Nature and purpose of reserves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Fair value of investments reserve</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This reserve records fair value changes on listed investments. As at June 30, 2024 and 2023, no remaining investments are held by the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accounting policy is to not reclassify the realized fair value to accumulated loss upon disposal.</w:t>
      </w:r>
    </w:p>
    <w:p>
      <w:pPr>
        <w:spacing w:after="0" w:line="166"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8"/>
          <w:szCs w:val="18"/>
          <w:i w:val="1"/>
          <w:iCs w:val="1"/>
          <w:color w:val="auto"/>
        </w:rPr>
        <w:t>Share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based payment reserve</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This reserve is used to record the value of equity benefits provided to executives and employees as part of their remuneration.</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Foreign currency translation reserve</w:t>
      </w:r>
    </w:p>
    <w:p>
      <w:pPr>
        <w:spacing w:after="0" w:line="22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reserve records the value of foreign currency movements on the initial translation of financial statements from A$ to US$ that was completed in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32. Financial Risk Management Objectives and Policies</w:t>
      </w:r>
    </w:p>
    <w:p>
      <w:pPr>
        <w:spacing w:after="0" w:line="188"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The Group’s principal financial assets comprise cash, receivables and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deposits.</w:t>
      </w:r>
    </w:p>
    <w:p>
      <w:pPr>
        <w:spacing w:after="0" w:line="26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Group manages its exposure to key financial risks, including interest rate and currency risk in accordance with the Group’s financial risk management practices. The objective is to support the delivery of the Group’s financial targets whilst protecting future financial security.</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Group’s other various financial assets and liabilities, such as receivables and payables, arise directly from its operations. The main risks arising from the Group’s financial assets and liabilities are interest rate risk, foreign currency risk, equity securities price risk and liquidity risk.</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 uses different methods to measure and manage different types of risks to which it is exposed. These include monitoring levels of exposure to interest rate and foreign exchange risk and assessments of market forecasts for interest rates and foreign exchange rates. Liquidity risk is monitored through future rolling cash flow forecasts.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board reviews and agrees policies for managing each of these risks as summarized below.</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Risk exposures and responses</w:t>
      </w:r>
    </w:p>
    <w:p>
      <w:pPr>
        <w:spacing w:after="0" w:line="22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Group has investigated the main financial risk areas which could impact on its financial assets and determined the impact on post tax (losses) or profits for a range of sensitivities. These can be seen in the post-tax (loss)/profit impact for each risk area.</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each risk area, the equity impact relates solely to reserve movements and excludes movements in accumulated losses as the impact of these can be seen within the post-tax (loss)/profit impact.</w:t>
      </w:r>
    </w:p>
    <w:p>
      <w:pPr>
        <w:spacing w:after="0" w:line="162" w:lineRule="exact"/>
        <w:rPr>
          <w:sz w:val="20"/>
          <w:szCs w:val="20"/>
          <w:color w:val="auto"/>
        </w:rPr>
      </w:pPr>
    </w:p>
    <w:p>
      <w:pPr>
        <w:ind w:left="760" w:hanging="378"/>
        <w:spacing w:after="0"/>
        <w:tabs>
          <w:tab w:leader="none" w:pos="7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w:t>
      </w:r>
    </w:p>
    <w:p>
      <w:pPr>
        <w:spacing w:after="0" w:line="184"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The Group’s exposure to market interest rates relates primarily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deposits. The deposits are held with two of Australia’s largest banks.</w:t>
      </w:r>
    </w:p>
    <w:p>
      <w:pPr>
        <w:spacing w:after="0" w:line="266" w:lineRule="exact"/>
        <w:rPr>
          <w:sz w:val="20"/>
          <w:szCs w:val="20"/>
          <w:color w:val="auto"/>
        </w:rPr>
      </w:pPr>
    </w:p>
    <w:p>
      <w:pPr>
        <w:jc w:val="both"/>
        <w:ind w:firstLine="374"/>
        <w:spacing w:after="0" w:line="226" w:lineRule="exact"/>
        <w:rPr>
          <w:sz w:val="20"/>
          <w:szCs w:val="20"/>
          <w:color w:val="auto"/>
        </w:rPr>
      </w:pPr>
      <w:r>
        <w:rPr>
          <w:rFonts w:ascii="Times New Roman" w:cs="Times New Roman" w:eastAsia="Times New Roman" w:hAnsi="Times New Roman"/>
          <w:sz w:val="18"/>
          <w:szCs w:val="18"/>
          <w:color w:val="auto"/>
        </w:rPr>
        <w:t>The objective of managing interest rate risk is to minimize the Group’s exposure to fluctuations in interest rates that might impact its interest income and cash flow. To manage interest rate risk, the Group invests the majority of its cash in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deposits for varying periods of between 30 days and 92 days, depending on the short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cash requirements of the Group which is determined based on the Group’s cash flow forecast. This consideration also takes into account the costs associated with recalling a term deposit should early access to cash and cash equivalents be required. Cash is not locked into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deposits at fixed rates so as to mitigate the risk of earning interest below the current floating rate.</w:t>
      </w:r>
    </w:p>
    <w:p>
      <w:pPr>
        <w:spacing w:after="0" w:line="17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Group currently has borrowings under the DFA with the DFA Investors. Due to the structure of the DFA Agreement, the Group has determined that there is no interest rate risk. Refer to Note 27.</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sensitivity analysis (an annual effect) is based on the interest rate risk exposures at June 30, 2024 and 2023.</w:t>
      </w:r>
    </w:p>
    <w:p>
      <w:pPr>
        <w:spacing w:after="0" w:line="22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At June 30, 2024, 2023 and 2022, if interest rates moved, with all variables held constant, post tax (loss)/profit and equity would have been affected as illustrated in the following table: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Post tax (loss)/profit impact</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6440" w:type="dxa"/>
            <w:vAlign w:val="bottom"/>
          </w:tcPr>
          <w:p>
            <w:pPr>
              <w:spacing w:after="0"/>
              <w:rPr>
                <w:sz w:val="17"/>
                <w:szCs w:val="17"/>
                <w:color w:val="auto"/>
              </w:rPr>
            </w:pPr>
          </w:p>
        </w:tc>
        <w:tc>
          <w:tcPr>
            <w:tcW w:w="14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142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7"/>
                <w:szCs w:val="17"/>
                <w:color w:val="auto"/>
              </w:rPr>
            </w:pPr>
          </w:p>
        </w:tc>
        <w:tc>
          <w:tcPr>
            <w:tcW w:w="13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r>
      <w:tr>
        <w:trPr>
          <w:trHeight w:val="388"/>
        </w:trPr>
        <w:tc>
          <w:tcPr>
            <w:tcW w:w="6440" w:type="dxa"/>
            <w:vAlign w:val="bottom"/>
          </w:tcPr>
          <w:p>
            <w:pPr>
              <w:spacing w:after="0"/>
              <w:rPr>
                <w:sz w:val="24"/>
                <w:szCs w:val="24"/>
                <w:color w:val="auto"/>
              </w:rPr>
            </w:pPr>
          </w:p>
        </w:tc>
        <w:tc>
          <w:tcPr>
            <w:tcW w:w="1680" w:type="dxa"/>
            <w:vAlign w:val="bottom"/>
            <w:gridSpan w:val="2"/>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US$</w:t>
            </w:r>
          </w:p>
        </w:tc>
        <w:tc>
          <w:tcPr>
            <w:tcW w:w="16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37"/>
        </w:trPr>
        <w:tc>
          <w:tcPr>
            <w:tcW w:w="6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Judgments of reasonably possible movements</w:t>
            </w:r>
          </w:p>
        </w:tc>
        <w:tc>
          <w:tcPr>
            <w:tcW w:w="14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+0.50% (50 basis points) (2023:+0.50%)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282,599</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270,059</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114,859</w:t>
            </w:r>
          </w:p>
        </w:tc>
        <w:tc>
          <w:tcPr>
            <w:tcW w:w="100" w:type="dxa"/>
            <w:vAlign w:val="bottom"/>
          </w:tcPr>
          <w:p>
            <w:pPr>
              <w:spacing w:after="0"/>
              <w:rPr>
                <w:sz w:val="20"/>
                <w:szCs w:val="20"/>
                <w:color w:val="auto"/>
              </w:rPr>
            </w:pPr>
          </w:p>
        </w:tc>
      </w:tr>
      <w:tr>
        <w:trPr>
          <w:trHeight w:val="247"/>
        </w:trPr>
        <w:tc>
          <w:tcPr>
            <w:tcW w:w="6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-0.50% (50 basis points) (2023:-0.50%)</w:t>
            </w:r>
          </w:p>
        </w:tc>
        <w:tc>
          <w:tcPr>
            <w:tcW w:w="16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(282,599 )</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(270,059 )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(114,859 )</w:t>
            </w:r>
          </w:p>
        </w:tc>
      </w:tr>
    </w:tbl>
    <w:p>
      <w:pPr>
        <w:spacing w:after="0" w:line="2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post-tax figures include an offset for tax losses (bringing the tax effect to nil) for the year ended June 30, 2024 (2023: nil ,2022: nil).</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assumptions used in the interest rate sensitivity analysis include:</w:t>
      </w:r>
    </w:p>
    <w:p>
      <w:pPr>
        <w:spacing w:after="0" w:line="225" w:lineRule="exact"/>
        <w:rPr>
          <w:sz w:val="20"/>
          <w:szCs w:val="20"/>
          <w:color w:val="auto"/>
        </w:rPr>
      </w:pPr>
    </w:p>
    <w:p>
      <w:pPr>
        <w:ind w:left="1140" w:hanging="383"/>
        <w:spacing w:after="0" w:line="239" w:lineRule="exact"/>
        <w:tabs>
          <w:tab w:leader="none" w:pos="11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reasonably possible movement of 0.5% was calculated by taking the interest rates as of balance date, moving these by plus and minus 0.5% and then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calculating the interest on term deposits with the ‘new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w:t>
      </w:r>
    </w:p>
    <w:p>
      <w:pPr>
        <w:spacing w:after="0" w:line="183" w:lineRule="exact"/>
        <w:rPr>
          <w:rFonts w:ascii="Times New Roman" w:cs="Times New Roman" w:eastAsia="Times New Roman" w:hAnsi="Times New Roman"/>
          <w:sz w:val="18"/>
          <w:szCs w:val="18"/>
          <w:color w:val="auto"/>
        </w:rPr>
      </w:pPr>
    </w:p>
    <w:p>
      <w:pPr>
        <w:ind w:left="1140" w:right="20" w:hanging="383"/>
        <w:spacing w:after="0" w:line="255" w:lineRule="auto"/>
        <w:tabs>
          <w:tab w:leader="none" w:pos="114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net exposure at balance date is representative of what the Group was and is expecting to be exposed to in the next twelve months from balance date.</w:t>
      </w:r>
    </w:p>
    <w:p>
      <w:pPr>
        <w:spacing w:after="0" w:line="183"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risk</w:t>
      </w:r>
    </w:p>
    <w:p>
      <w:pPr>
        <w:spacing w:after="0" w:line="184" w:lineRule="exact"/>
        <w:rPr>
          <w:sz w:val="20"/>
          <w:szCs w:val="20"/>
          <w:color w:val="auto"/>
        </w:rPr>
      </w:pPr>
    </w:p>
    <w:p>
      <w:pPr>
        <w:ind w:right="20" w:firstLine="374"/>
        <w:spacing w:after="0" w:line="245" w:lineRule="exact"/>
        <w:rPr>
          <w:sz w:val="20"/>
          <w:szCs w:val="20"/>
          <w:color w:val="auto"/>
        </w:rPr>
      </w:pPr>
      <w:r>
        <w:rPr>
          <w:rFonts w:ascii="Times New Roman" w:cs="Times New Roman" w:eastAsia="Times New Roman" w:hAnsi="Times New Roman"/>
          <w:sz w:val="18"/>
          <w:szCs w:val="18"/>
          <w:color w:val="auto"/>
        </w:rPr>
        <w:t>As a result of services provided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entities in Australia, Canada, United Kingdom and Europe, part of the Group’s monetary assets and liabilities are affected by movements in the exchange rate.</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Group does not enter into any hedging transactions.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 the reporting date, the Group has the following exposure to foreign currencies. :</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400" w:type="dxa"/>
            <w:vAlign w:val="bottom"/>
            <w:vMerge w:val="continue"/>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AUD</w:t>
            </w:r>
          </w:p>
        </w:tc>
        <w:tc>
          <w:tcPr>
            <w:tcW w:w="184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EURO</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GBP</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CAD</w:t>
            </w:r>
          </w:p>
        </w:tc>
        <w:tc>
          <w:tcPr>
            <w:tcW w:w="0" w:type="dxa"/>
            <w:vAlign w:val="bottom"/>
          </w:tcPr>
          <w:p>
            <w:pPr>
              <w:spacing w:after="0"/>
              <w:rPr>
                <w:sz w:val="1"/>
                <w:szCs w:val="1"/>
                <w:color w:val="auto"/>
              </w:rPr>
            </w:pPr>
          </w:p>
        </w:tc>
      </w:tr>
      <w:tr>
        <w:trPr>
          <w:trHeight w:val="230"/>
        </w:trPr>
        <w:tc>
          <w:tcPr>
            <w:tcW w:w="54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Cash</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131,913,902</w:t>
            </w:r>
          </w:p>
        </w:tc>
        <w:tc>
          <w:tcPr>
            <w:tcW w:w="240" w:type="dxa"/>
            <w:vAlign w:val="bottom"/>
            <w:shd w:val="clear" w:color="auto" w:fill="CFF0FC"/>
          </w:tcPr>
          <w:p>
            <w:pPr>
              <w:spacing w:after="0"/>
              <w:rPr>
                <w:sz w:val="21"/>
                <w:szCs w:val="21"/>
                <w:color w:val="auto"/>
              </w:rPr>
            </w:pPr>
          </w:p>
        </w:tc>
        <w:tc>
          <w:tcPr>
            <w:tcW w:w="1840" w:type="dxa"/>
            <w:vAlign w:val="bottom"/>
            <w:gridSpan w:val="3"/>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Receivables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485,840</w:t>
            </w:r>
          </w:p>
        </w:tc>
        <w:tc>
          <w:tcPr>
            <w:tcW w:w="240" w:type="dxa"/>
            <w:vAlign w:val="bottom"/>
          </w:tcPr>
          <w:p>
            <w:pPr>
              <w:spacing w:after="0"/>
              <w:rPr>
                <w:sz w:val="20"/>
                <w:szCs w:val="20"/>
                <w:color w:val="auto"/>
              </w:rPr>
            </w:pPr>
          </w:p>
        </w:tc>
        <w:tc>
          <w:tcPr>
            <w:tcW w:w="18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Payables</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(2,350,157 )</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(488,341 )</w:t>
            </w:r>
          </w:p>
        </w:tc>
        <w:tc>
          <w:tcPr>
            <w:tcW w:w="4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(3,161 )</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(13,182 )</w:t>
            </w:r>
          </w:p>
        </w:tc>
        <w:tc>
          <w:tcPr>
            <w:tcW w:w="0" w:type="dxa"/>
            <w:vAlign w:val="bottom"/>
          </w:tcPr>
          <w:p>
            <w:pPr>
              <w:spacing w:after="0"/>
              <w:rPr>
                <w:sz w:val="1"/>
                <w:szCs w:val="1"/>
                <w:color w:val="auto"/>
              </w:rPr>
            </w:pPr>
          </w:p>
        </w:tc>
      </w:tr>
      <w:tr>
        <w:trPr>
          <w:trHeight w:val="243"/>
        </w:trPr>
        <w:tc>
          <w:tcPr>
            <w:tcW w:w="54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4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Net exposure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130,049,585</w:t>
            </w:r>
          </w:p>
        </w:tc>
        <w:tc>
          <w:tcPr>
            <w:tcW w:w="24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(488,341 )</w:t>
            </w:r>
          </w:p>
        </w:tc>
        <w:tc>
          <w:tcPr>
            <w:tcW w:w="4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(3,161 )</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(13,182 )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54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0" w:type="dxa"/>
            <w:vAlign w:val="bottom"/>
            <w:vMerge w:val="continue"/>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AUD</w:t>
            </w:r>
          </w:p>
        </w:tc>
        <w:tc>
          <w:tcPr>
            <w:tcW w:w="184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EURO</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GBP</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CAD</w:t>
            </w:r>
          </w:p>
        </w:tc>
        <w:tc>
          <w:tcPr>
            <w:tcW w:w="0" w:type="dxa"/>
            <w:vAlign w:val="bottom"/>
          </w:tcPr>
          <w:p>
            <w:pPr>
              <w:spacing w:after="0"/>
              <w:rPr>
                <w:sz w:val="1"/>
                <w:szCs w:val="1"/>
                <w:color w:val="auto"/>
              </w:rPr>
            </w:pPr>
          </w:p>
        </w:tc>
      </w:tr>
      <w:tr>
        <w:trPr>
          <w:trHeight w:val="230"/>
        </w:trPr>
        <w:tc>
          <w:tcPr>
            <w:tcW w:w="54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Cash</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55,307,319</w:t>
            </w:r>
          </w:p>
        </w:tc>
        <w:tc>
          <w:tcPr>
            <w:tcW w:w="240" w:type="dxa"/>
            <w:vAlign w:val="bottom"/>
            <w:shd w:val="clear" w:color="auto" w:fill="CFF0FC"/>
          </w:tcPr>
          <w:p>
            <w:pPr>
              <w:spacing w:after="0"/>
              <w:rPr>
                <w:sz w:val="21"/>
                <w:szCs w:val="21"/>
                <w:color w:val="auto"/>
              </w:rPr>
            </w:pPr>
          </w:p>
        </w:tc>
        <w:tc>
          <w:tcPr>
            <w:tcW w:w="1840" w:type="dxa"/>
            <w:vAlign w:val="bottom"/>
            <w:gridSpan w:val="3"/>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Receivables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38,263</w:t>
            </w:r>
          </w:p>
        </w:tc>
        <w:tc>
          <w:tcPr>
            <w:tcW w:w="240" w:type="dxa"/>
            <w:vAlign w:val="bottom"/>
          </w:tcPr>
          <w:p>
            <w:pPr>
              <w:spacing w:after="0"/>
              <w:rPr>
                <w:sz w:val="20"/>
                <w:szCs w:val="20"/>
                <w:color w:val="auto"/>
              </w:rPr>
            </w:pPr>
          </w:p>
        </w:tc>
        <w:tc>
          <w:tcPr>
            <w:tcW w:w="18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Payables</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(1,138,778 )</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(53,332 )</w:t>
            </w:r>
          </w:p>
        </w:tc>
        <w:tc>
          <w:tcPr>
            <w:tcW w:w="4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(3,166 )</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(136,689 )</w:t>
            </w:r>
          </w:p>
        </w:tc>
        <w:tc>
          <w:tcPr>
            <w:tcW w:w="0" w:type="dxa"/>
            <w:vAlign w:val="bottom"/>
          </w:tcPr>
          <w:p>
            <w:pPr>
              <w:spacing w:after="0"/>
              <w:rPr>
                <w:sz w:val="1"/>
                <w:szCs w:val="1"/>
                <w:color w:val="auto"/>
              </w:rPr>
            </w:pPr>
          </w:p>
        </w:tc>
      </w:tr>
      <w:tr>
        <w:trPr>
          <w:trHeight w:val="243"/>
        </w:trPr>
        <w:tc>
          <w:tcPr>
            <w:tcW w:w="54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4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Net exposure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54,206,804</w:t>
            </w:r>
          </w:p>
        </w:tc>
        <w:tc>
          <w:tcPr>
            <w:tcW w:w="24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(53,332 )</w:t>
            </w:r>
          </w:p>
        </w:tc>
        <w:tc>
          <w:tcPr>
            <w:tcW w:w="4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(3,166 )</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(136,689 )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-1687830</wp:posOffset>
            </wp:positionV>
            <wp:extent cx="7683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-1687830</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-1687830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-170815</wp:posOffset>
            </wp:positionV>
            <wp:extent cx="7683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sensitivity is based on the foreign currency risk exposures in existence at June 30, 2024, 2023 and 2022.</w:t>
      </w:r>
    </w:p>
    <w:p>
      <w:pPr>
        <w:spacing w:after="0" w:line="225"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At June 30, 2024, 2023 and 2022, had the United States dollar moved with all other variables held constant, post-tax (loss) profit and equity would have been affected as illustrated in the table below:</w:t>
      </w:r>
    </w:p>
    <w:p>
      <w:pPr>
        <w:sectPr>
          <w:pgSz w:w="11900" w:h="16838" w:orient="portrait"/>
          <w:cols w:equalWidth="0" w:num="1">
            <w:col w:w="11240"/>
          </w:cols>
          <w:pgMar w:left="320" w:top="765"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Post tax (loss)/profit impact</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6440" w:type="dxa"/>
            <w:vAlign w:val="bottom"/>
          </w:tcPr>
          <w:p>
            <w:pPr>
              <w:spacing w:after="0"/>
              <w:rPr>
                <w:sz w:val="17"/>
                <w:szCs w:val="17"/>
                <w:color w:val="auto"/>
              </w:rPr>
            </w:pPr>
          </w:p>
        </w:tc>
        <w:tc>
          <w:tcPr>
            <w:tcW w:w="14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142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7"/>
                <w:szCs w:val="17"/>
                <w:color w:val="auto"/>
              </w:rPr>
            </w:pPr>
          </w:p>
        </w:tc>
        <w:tc>
          <w:tcPr>
            <w:tcW w:w="13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r>
      <w:tr>
        <w:trPr>
          <w:trHeight w:val="397"/>
        </w:trPr>
        <w:tc>
          <w:tcPr>
            <w:tcW w:w="6440" w:type="dxa"/>
            <w:vAlign w:val="bottom"/>
          </w:tcPr>
          <w:p>
            <w:pPr>
              <w:spacing w:after="0"/>
              <w:rPr>
                <w:sz w:val="24"/>
                <w:szCs w:val="24"/>
                <w:color w:val="auto"/>
              </w:rPr>
            </w:pPr>
          </w:p>
        </w:tc>
        <w:tc>
          <w:tcPr>
            <w:tcW w:w="1680" w:type="dxa"/>
            <w:vAlign w:val="bottom"/>
            <w:gridSpan w:val="2"/>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US$</w:t>
            </w:r>
          </w:p>
        </w:tc>
        <w:tc>
          <w:tcPr>
            <w:tcW w:w="16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42"/>
        </w:trPr>
        <w:tc>
          <w:tcPr>
            <w:tcW w:w="6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Judgments of reasonably possible movements</w:t>
            </w:r>
          </w:p>
        </w:tc>
        <w:tc>
          <w:tcPr>
            <w:tcW w:w="144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Consolidated</w:t>
            </w: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AUD/USD +10% (2023:+10%)</w:t>
            </w:r>
          </w:p>
        </w:tc>
        <w:tc>
          <w:tcPr>
            <w:tcW w:w="16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(9,005,731 )</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(3,847,285 )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(2,119,834 )</w:t>
            </w:r>
          </w:p>
        </w:tc>
      </w:tr>
      <w:tr>
        <w:trPr>
          <w:trHeight w:val="234"/>
        </w:trPr>
        <w:tc>
          <w:tcPr>
            <w:tcW w:w="6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AUD/USD -10% (2023:-10%)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11,007,004</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4,702,237</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2,590,908</w:t>
            </w:r>
          </w:p>
        </w:tc>
        <w:tc>
          <w:tcPr>
            <w:tcW w:w="100" w:type="dxa"/>
            <w:vAlign w:val="bottom"/>
          </w:tcPr>
          <w:p>
            <w:pPr>
              <w:spacing w:after="0"/>
              <w:rPr>
                <w:sz w:val="20"/>
                <w:szCs w:val="20"/>
                <w:color w:val="auto"/>
              </w:rPr>
            </w:pPr>
          </w:p>
        </w:tc>
      </w:tr>
    </w:tbl>
    <w:p>
      <w:pPr>
        <w:spacing w:after="0" w:line="24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reasonably possible movements at June 30, 2024 are higher than at June 30, 2023 and higher than June 30, 2022 due mainly to net exposure to the Australian dollar due to cash at bank deposits. There was minimum or insignificant exposure to the GBP, Euro and CAD during the current financial year.</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assumptions used in the foreign currency exposure sensitivity analysis include:</w:t>
      </w:r>
    </w:p>
    <w:p>
      <w:pPr>
        <w:spacing w:after="0" w:line="225" w:lineRule="exact"/>
        <w:rPr>
          <w:sz w:val="20"/>
          <w:szCs w:val="20"/>
          <w:color w:val="auto"/>
        </w:rPr>
      </w:pPr>
    </w:p>
    <w:p>
      <w:pPr>
        <w:ind w:left="760" w:right="20" w:hanging="378"/>
        <w:spacing w:after="0" w:line="239" w:lineRule="exact"/>
        <w:tabs>
          <w:tab w:leader="none" w:pos="7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reasonably possible movement of 10% was calculated by taking the currency spot rates as of balance date, moving these by 10% and then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converting the currencies into US with the ‘new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spot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This methodology reflects the translation methodology undertaken by the Group.</w:t>
      </w:r>
    </w:p>
    <w:p>
      <w:pPr>
        <w:spacing w:after="0" w:line="170"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exposure at balance date is representative of what the Group was and is expecting to be exposed to in the next twelve months from balance date.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believes the balance date risk exposures are representative of the risk exposure inherent in the financial instruments.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(iii) Credit risk</w:t>
      </w:r>
    </w:p>
    <w:p>
      <w:pPr>
        <w:spacing w:after="0" w:line="22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Credit risk is associated with those financial assets of the Group which comprise cash and cash equivalents and, receivables. The Group’s exposure to credit risk arises from default of the counter party, with a maximum exposure equal to the carrying amount of these investments. Credit risk is considered minimal as the Group transacts with reputable recognized Australian banks.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(iv) Liquidity risk</w:t>
      </w:r>
    </w:p>
    <w:p>
      <w:pPr>
        <w:spacing w:after="0" w:line="22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Liquidity risk arises from the financial liabilities of the Group and the Group’s subsequent ability to meet their obligations to repay their financial liabilities as and when they fall due. The Group manages liquidity risk by maintaining adequate reserves and by monitoring forecast and actual cash flows and by matching the maturity profiles of financial assets and liabilities. The financial liabilities of the Group relate to trade payables that are all expected to be paid within 12 months. With the funding agreement that was entered on August 12, 2022 the Group may incur a total payment equal to approximately four times the funding provided, consisting of seven payments, with the first payment due shortly after Regulatory Approval and the remaining six payments payable over a six-year period thereafter, and variable payments equal to 7% of net sales of sozinibercept for the treatment of wet AMD for each calendar quarter.</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Group’s objective is to maintain an appropriate cash asset balance to fund its operations.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reflects undiscounted cash flows of the financial liabilities.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60" w:type="dxa"/>
            <w:vAlign w:val="bottom"/>
            <w:gridSpan w:val="3"/>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4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3 months</w:t>
            </w:r>
          </w:p>
        </w:tc>
        <w:tc>
          <w:tcPr>
            <w:tcW w:w="2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Between 3 months and</w:t>
            </w:r>
          </w:p>
        </w:tc>
        <w:tc>
          <w:tcPr>
            <w:tcW w:w="22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 years and later</w:t>
            </w:r>
          </w:p>
        </w:tc>
        <w:tc>
          <w:tcPr>
            <w:tcW w:w="220" w:type="dxa"/>
            <w:vAlign w:val="bottom"/>
          </w:tcPr>
          <w:p>
            <w:pPr>
              <w:spacing w:after="0"/>
              <w:rPr>
                <w:sz w:val="12"/>
                <w:szCs w:val="12"/>
                <w:color w:val="auto"/>
              </w:rPr>
            </w:pPr>
          </w:p>
        </w:tc>
        <w:tc>
          <w:tcPr>
            <w:tcW w:w="138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5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 years</w:t>
            </w: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3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Non-derivative liabilities</w:t>
            </w: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3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Payables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9,471,882</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9,471,882</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9,471,882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28,482,603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27,383,742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1,098,861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28,482,603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5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liability - DFA</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200,535,758</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731,000,000</w:t>
            </w:r>
          </w:p>
        </w:tc>
        <w:tc>
          <w:tcPr>
            <w:tcW w:w="2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731,000,000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238,490,243</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36,855,624</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1,098,861</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731,000,000</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768,954,485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3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3"/>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4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3 months</w:t>
            </w:r>
          </w:p>
        </w:tc>
        <w:tc>
          <w:tcPr>
            <w:tcW w:w="2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Between 3 months and</w:t>
            </w:r>
          </w:p>
        </w:tc>
        <w:tc>
          <w:tcPr>
            <w:tcW w:w="22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 years and later</w:t>
            </w:r>
          </w:p>
        </w:tc>
        <w:tc>
          <w:tcPr>
            <w:tcW w:w="220" w:type="dxa"/>
            <w:vAlign w:val="bottom"/>
          </w:tcPr>
          <w:p>
            <w:pPr>
              <w:spacing w:after="0"/>
              <w:rPr>
                <w:sz w:val="12"/>
                <w:szCs w:val="12"/>
                <w:color w:val="auto"/>
              </w:rPr>
            </w:pPr>
          </w:p>
        </w:tc>
        <w:tc>
          <w:tcPr>
            <w:tcW w:w="138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5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 years</w:t>
            </w: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3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Non-derivative liabilities</w:t>
            </w: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3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Payables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5,677,858</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5,677,858</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5,677,858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expenses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12,103,789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12,103,789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12,103,789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5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Financial liability - DFA</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85,660,000</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365,500,000</w:t>
            </w:r>
          </w:p>
        </w:tc>
        <w:tc>
          <w:tcPr>
            <w:tcW w:w="2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365,500,000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103,441,647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17,781,647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365,500,000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383,281,647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-1739265</wp:posOffset>
            </wp:positionV>
            <wp:extent cx="7683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-1739265</wp:posOffset>
            </wp:positionV>
            <wp:extent cx="6858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-1739265</wp:posOffset>
            </wp:positionV>
            <wp:extent cx="6858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-1739265</wp:posOffset>
            </wp:positionV>
            <wp:extent cx="6858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-187960</wp:posOffset>
            </wp:positionV>
            <wp:extent cx="7683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-187960</wp:posOffset>
            </wp:positionV>
            <wp:extent cx="6858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-187960</wp:posOffset>
            </wp:positionV>
            <wp:extent cx="6858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-187960</wp:posOffset>
            </wp:positionV>
            <wp:extent cx="6858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33. Related Party Disclosures</w:t>
      </w:r>
    </w:p>
    <w:p>
      <w:pPr>
        <w:spacing w:after="0" w:line="225"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Subsidiarie</w:t>
      </w:r>
      <w:r>
        <w:rPr>
          <w:rFonts w:ascii="Times New Roman" w:cs="Times New Roman" w:eastAsia="Times New Roman" w:hAnsi="Times New Roman"/>
          <w:sz w:val="17"/>
          <w:szCs w:val="17"/>
          <w:color w:val="auto"/>
        </w:rPr>
        <w: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Opthea Limited and its subsidiaries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4660" w:type="dxa"/>
            <w:vAlign w:val="bottom"/>
            <w:gridSpan w:val="6"/>
          </w:tcPr>
          <w:p>
            <w:pPr>
              <w:ind w:left="1100"/>
              <w:spacing w:after="0"/>
              <w:rPr>
                <w:sz w:val="20"/>
                <w:szCs w:val="20"/>
                <w:color w:val="auto"/>
              </w:rPr>
            </w:pPr>
            <w:r>
              <w:rPr>
                <w:rFonts w:ascii="Times New Roman" w:cs="Times New Roman" w:eastAsia="Times New Roman" w:hAnsi="Times New Roman"/>
                <w:sz w:val="18"/>
                <w:szCs w:val="18"/>
                <w:b w:val="1"/>
                <w:bCs w:val="1"/>
                <w:color w:val="auto"/>
              </w:rPr>
              <w:t>Parent entity % equity interest</w:t>
            </w:r>
          </w:p>
        </w:tc>
      </w:tr>
      <w:tr>
        <w:trPr>
          <w:trHeight w:val="243"/>
        </w:trPr>
        <w:tc>
          <w:tcPr>
            <w:tcW w:w="658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00" w:type="dxa"/>
            <w:vAlign w:val="bottom"/>
          </w:tcPr>
          <w:p>
            <w:pPr>
              <w:spacing w:after="0"/>
              <w:rPr>
                <w:sz w:val="21"/>
                <w:szCs w:val="21"/>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2022</w:t>
            </w:r>
          </w:p>
        </w:tc>
      </w:tr>
      <w:tr>
        <w:trPr>
          <w:trHeight w:val="250"/>
        </w:trPr>
        <w:tc>
          <w:tcPr>
            <w:tcW w:w="6580" w:type="dxa"/>
            <w:vAlign w:val="bottom"/>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43"/>
        </w:trPr>
        <w:tc>
          <w:tcPr>
            <w:tcW w:w="6580" w:type="dxa"/>
            <w:vAlign w:val="bottom"/>
            <w:shd w:val="clear" w:color="auto" w:fill="CFF0FC"/>
          </w:tcPr>
          <w:p>
            <w:pPr>
              <w:ind w:left="300"/>
              <w:spacing w:after="0" w:line="243" w:lineRule="exact"/>
              <w:rPr>
                <w:sz w:val="20"/>
                <w:szCs w:val="20"/>
                <w:color w:val="auto"/>
              </w:rPr>
            </w:pPr>
            <w:r>
              <w:rPr>
                <w:rFonts w:ascii="Times New Roman" w:cs="Times New Roman" w:eastAsia="Times New Roman" w:hAnsi="Times New Roman"/>
                <w:sz w:val="18"/>
                <w:szCs w:val="18"/>
                <w:color w:val="auto"/>
              </w:rPr>
              <w:t>Vegenics Pty Ltd</w:t>
            </w:r>
            <w:r>
              <w:rPr>
                <w:rFonts w:ascii="Times New Roman" w:cs="Times New Roman" w:eastAsia="Times New Roman" w:hAnsi="Times New Roman"/>
                <w:sz w:val="24"/>
                <w:szCs w:val="24"/>
                <w:color w:val="auto"/>
                <w:vertAlign w:val="superscript"/>
              </w:rPr>
              <w:t>1</w:t>
            </w:r>
          </w:p>
        </w:tc>
        <w:tc>
          <w:tcPr>
            <w:tcW w:w="138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w w:val="96"/>
              </w:rPr>
              <w:t>100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21"/>
                <w:szCs w:val="21"/>
                <w:color w:val="auto"/>
              </w:rPr>
            </w:pPr>
          </w:p>
        </w:tc>
      </w:tr>
      <w:tr>
        <w:trPr>
          <w:trHeight w:val="317"/>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Opthea US Inc</w:t>
            </w:r>
            <w:r>
              <w:rPr>
                <w:rFonts w:ascii="Times New Roman" w:cs="Times New Roman" w:eastAsia="Times New Roman" w:hAnsi="Times New Roman"/>
                <w:sz w:val="24"/>
                <w:szCs w:val="24"/>
                <w:color w:val="auto"/>
                <w:vertAlign w:val="superscript"/>
              </w:rPr>
              <w:t>2</w:t>
            </w:r>
          </w:p>
        </w:tc>
        <w:tc>
          <w:tcPr>
            <w:tcW w:w="13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6"/>
              </w:rPr>
              <w:t>100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4"/>
                <w:szCs w:val="24"/>
                <w:color w:val="auto"/>
              </w:rPr>
            </w:pPr>
          </w:p>
        </w:tc>
      </w:tr>
    </w:tbl>
    <w:p>
      <w:pPr>
        <w:spacing w:after="0" w:line="151" w:lineRule="exact"/>
        <w:rPr>
          <w:sz w:val="20"/>
          <w:szCs w:val="20"/>
          <w:color w:val="auto"/>
        </w:rPr>
      </w:pPr>
    </w:p>
    <w:p>
      <w:pPr>
        <w:ind w:left="640" w:hanging="258"/>
        <w:spacing w:after="0"/>
        <w:tabs>
          <w:tab w:leader="none" w:pos="6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Opthea Limited is the ultimate parent entity. Vegenics Pty Ltd is incorporated in Australia and has the same financial year as Opthea Limited.</w:t>
      </w:r>
    </w:p>
    <w:p>
      <w:pPr>
        <w:spacing w:after="0" w:line="225" w:lineRule="exact"/>
        <w:rPr>
          <w:rFonts w:ascii="Times New Roman" w:cs="Times New Roman" w:eastAsia="Times New Roman" w:hAnsi="Times New Roman"/>
          <w:sz w:val="18"/>
          <w:szCs w:val="18"/>
          <w:color w:val="auto"/>
        </w:rPr>
      </w:pPr>
    </w:p>
    <w:p>
      <w:pPr>
        <w:ind w:firstLine="382"/>
        <w:spacing w:after="0" w:line="282" w:lineRule="auto"/>
        <w:tabs>
          <w:tab w:leader="none" w:pos="63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Opthea Limited is the ultimate parent entity. Opthea US Inc was incorporated in the United States in May 2021 and has the same financial year as Opthea Limited.</w:t>
      </w:r>
    </w:p>
    <w:p>
      <w:pPr>
        <w:spacing w:after="0" w:line="158"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Transactions with related parties</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Balances and transactions between the Company and its subsidiaries, a related party of the Company, have been eliminated on consolidation and are not disclosed in this note. Transactions between the Group and its associates are disclosed below:</w:t>
      </w:r>
    </w:p>
    <w:p>
      <w:pPr>
        <w:spacing w:after="0" w:line="162"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414042"/>
        </w:rPr>
        <w:t>Following the appointment of Anshul Thakral (who is the CEO of Launch Tx, Operation Executive of Carlyle and on the board of Saama Technologies) as a Director of Opthea on June 7, 2023, Launch, Ocelot (an affiliate of Carlyle and Abingworth), Carlyle and Saama Technologies became related parties of Opthea.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transactions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year, group entities entered into the following transactions with related parties who are not members of the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6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940" w:type="dxa"/>
            <w:vAlign w:val="bottom"/>
          </w:tcPr>
          <w:p>
            <w:pPr>
              <w:spacing w:after="0"/>
              <w:rPr>
                <w:sz w:val="20"/>
                <w:szCs w:val="20"/>
                <w:color w:val="auto"/>
              </w:rPr>
            </w:pPr>
          </w:p>
        </w:tc>
      </w:tr>
      <w:tr>
        <w:trPr>
          <w:trHeight w:val="243"/>
        </w:trPr>
        <w:tc>
          <w:tcPr>
            <w:tcW w:w="4520" w:type="dxa"/>
            <w:vAlign w:val="bottom"/>
          </w:tcPr>
          <w:p>
            <w:pPr>
              <w:spacing w:after="0"/>
              <w:rPr>
                <w:sz w:val="21"/>
                <w:szCs w:val="21"/>
                <w:color w:val="auto"/>
              </w:rPr>
            </w:pPr>
          </w:p>
        </w:tc>
        <w:tc>
          <w:tcPr>
            <w:tcW w:w="57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Purchase of Service (US$)</w:t>
            </w:r>
          </w:p>
        </w:tc>
        <w:tc>
          <w:tcPr>
            <w:tcW w:w="940" w:type="dxa"/>
            <w:vAlign w:val="bottom"/>
          </w:tcPr>
          <w:p>
            <w:pPr>
              <w:spacing w:after="0"/>
              <w:rPr>
                <w:sz w:val="21"/>
                <w:szCs w:val="21"/>
                <w:color w:val="auto"/>
              </w:rPr>
            </w:pPr>
          </w:p>
        </w:tc>
      </w:tr>
      <w:tr>
        <w:trPr>
          <w:trHeight w:val="257"/>
        </w:trPr>
        <w:tc>
          <w:tcPr>
            <w:tcW w:w="4520" w:type="dxa"/>
            <w:vAlign w:val="bottom"/>
          </w:tcPr>
          <w:p>
            <w:pPr>
              <w:spacing w:after="0"/>
              <w:rPr>
                <w:sz w:val="22"/>
                <w:szCs w:val="22"/>
                <w:color w:val="auto"/>
              </w:rPr>
            </w:pPr>
          </w:p>
        </w:tc>
        <w:tc>
          <w:tcPr>
            <w:tcW w:w="36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1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45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Ocelot</w:t>
            </w:r>
          </w:p>
        </w:tc>
        <w:tc>
          <w:tcPr>
            <w:tcW w:w="36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39"/>
        </w:trPr>
        <w:tc>
          <w:tcPr>
            <w:tcW w:w="4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Launch Tx</w:t>
            </w:r>
          </w:p>
        </w:tc>
        <w:tc>
          <w:tcPr>
            <w:tcW w:w="3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2,700,000</w:t>
            </w:r>
          </w:p>
        </w:tc>
        <w:tc>
          <w:tcPr>
            <w:tcW w:w="2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900,000</w:t>
            </w:r>
          </w:p>
        </w:tc>
        <w:tc>
          <w:tcPr>
            <w:tcW w:w="9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47"/>
        </w:trPr>
        <w:tc>
          <w:tcPr>
            <w:tcW w:w="4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Mr Lawrence Gozlan</w:t>
            </w:r>
          </w:p>
        </w:tc>
        <w:tc>
          <w:tcPr>
            <w:tcW w:w="36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Calibri" w:cs="Calibri" w:eastAsia="Calibri" w:hAnsi="Calibri"/>
                <w:sz w:val="18"/>
                <w:szCs w:val="18"/>
                <w:color w:val="auto"/>
              </w:rPr>
              <w:t>—</w:t>
            </w:r>
          </w:p>
        </w:tc>
      </w:tr>
      <w:tr>
        <w:trPr>
          <w:trHeight w:val="234"/>
        </w:trPr>
        <w:tc>
          <w:tcPr>
            <w:tcW w:w="4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Saama Technologies</w:t>
            </w:r>
          </w:p>
        </w:tc>
        <w:tc>
          <w:tcPr>
            <w:tcW w:w="3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342,762</w:t>
            </w:r>
          </w:p>
        </w:tc>
        <w:tc>
          <w:tcPr>
            <w:tcW w:w="2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bl>
    <w:p>
      <w:pPr>
        <w:spacing w:after="0" w:line="2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414042"/>
        </w:rPr>
        <w:t>Purchase of services assisting Opthea with the management and oversight of trials under the Service Agreement with Launch Tx.</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414042"/>
        </w:rPr>
        <w:t>Transactions with Saama Technologies relate to the purchase of services assisting Opthea with analytical work on clinical trials.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42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680" w:type="dxa"/>
            <w:vAlign w:val="bottom"/>
          </w:tcPr>
          <w:p>
            <w:pPr>
              <w:spacing w:after="0"/>
              <w:rPr>
                <w:sz w:val="20"/>
                <w:szCs w:val="20"/>
                <w:color w:val="auto"/>
              </w:rPr>
            </w:pPr>
          </w:p>
        </w:tc>
      </w:tr>
      <w:tr>
        <w:trPr>
          <w:trHeight w:val="243"/>
        </w:trPr>
        <w:tc>
          <w:tcPr>
            <w:tcW w:w="4400" w:type="dxa"/>
            <w:vAlign w:val="bottom"/>
          </w:tcPr>
          <w:p>
            <w:pPr>
              <w:spacing w:after="0"/>
              <w:rPr>
                <w:sz w:val="21"/>
                <w:szCs w:val="21"/>
                <w:color w:val="auto"/>
              </w:rPr>
            </w:pPr>
          </w:p>
        </w:tc>
        <w:tc>
          <w:tcPr>
            <w:tcW w:w="6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Amounts owed to related parties (US$)</w:t>
            </w:r>
          </w:p>
        </w:tc>
        <w:tc>
          <w:tcPr>
            <w:tcW w:w="680" w:type="dxa"/>
            <w:vAlign w:val="bottom"/>
          </w:tcPr>
          <w:p>
            <w:pPr>
              <w:spacing w:after="0"/>
              <w:rPr>
                <w:sz w:val="21"/>
                <w:szCs w:val="21"/>
                <w:color w:val="auto"/>
              </w:rPr>
            </w:pPr>
          </w:p>
        </w:tc>
      </w:tr>
      <w:tr>
        <w:trPr>
          <w:trHeight w:val="257"/>
        </w:trPr>
        <w:tc>
          <w:tcPr>
            <w:tcW w:w="4400" w:type="dxa"/>
            <w:vAlign w:val="bottom"/>
          </w:tcPr>
          <w:p>
            <w:pPr>
              <w:spacing w:after="0"/>
              <w:rPr>
                <w:sz w:val="22"/>
                <w:szCs w:val="22"/>
                <w:color w:val="auto"/>
              </w:rPr>
            </w:pPr>
          </w:p>
        </w:tc>
        <w:tc>
          <w:tcPr>
            <w:tcW w:w="37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2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44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4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Ocelot</w:t>
            </w:r>
          </w:p>
        </w:tc>
        <w:tc>
          <w:tcPr>
            <w:tcW w:w="37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141,554,653</w:t>
            </w:r>
          </w:p>
        </w:tc>
        <w:tc>
          <w:tcPr>
            <w:tcW w:w="242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85,660,000</w:t>
            </w:r>
          </w:p>
        </w:tc>
        <w:tc>
          <w:tcPr>
            <w:tcW w:w="680" w:type="dxa"/>
            <w:vAlign w:val="bottom"/>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39"/>
        </w:trPr>
        <w:tc>
          <w:tcPr>
            <w:tcW w:w="4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Launch Tx</w:t>
            </w:r>
          </w:p>
        </w:tc>
        <w:tc>
          <w:tcPr>
            <w:tcW w:w="3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900,000</w:t>
            </w:r>
          </w:p>
        </w:tc>
        <w:tc>
          <w:tcPr>
            <w:tcW w:w="6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47"/>
        </w:trPr>
        <w:tc>
          <w:tcPr>
            <w:tcW w:w="4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Lawrence Gozlan</w:t>
            </w:r>
          </w:p>
        </w:tc>
        <w:tc>
          <w:tcPr>
            <w:tcW w:w="37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Calibri" w:cs="Calibri" w:eastAsia="Calibri" w:hAnsi="Calibri"/>
                <w:sz w:val="18"/>
                <w:szCs w:val="18"/>
                <w:color w:val="auto"/>
              </w:rPr>
              <w:t>—</w:t>
            </w:r>
          </w:p>
        </w:tc>
      </w:tr>
      <w:tr>
        <w:trPr>
          <w:trHeight w:val="234"/>
        </w:trPr>
        <w:tc>
          <w:tcPr>
            <w:tcW w:w="4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Saama Technologies</w:t>
            </w:r>
          </w:p>
        </w:tc>
        <w:tc>
          <w:tcPr>
            <w:tcW w:w="3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bl>
    <w:p>
      <w:pPr>
        <w:spacing w:after="0" w:line="2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Amounts owed to Ocelot relate to the DFA and carry an effective rate of 23.2% (refer to note 27).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44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660" w:type="dxa"/>
            <w:vAlign w:val="bottom"/>
          </w:tcPr>
          <w:p>
            <w:pPr>
              <w:spacing w:after="0"/>
              <w:rPr>
                <w:sz w:val="20"/>
                <w:szCs w:val="20"/>
                <w:color w:val="auto"/>
              </w:rPr>
            </w:pPr>
          </w:p>
        </w:tc>
      </w:tr>
      <w:tr>
        <w:trPr>
          <w:trHeight w:val="243"/>
        </w:trPr>
        <w:tc>
          <w:tcPr>
            <w:tcW w:w="4540" w:type="dxa"/>
            <w:vAlign w:val="bottom"/>
          </w:tcPr>
          <w:p>
            <w:pPr>
              <w:spacing w:after="0"/>
              <w:rPr>
                <w:sz w:val="21"/>
                <w:szCs w:val="21"/>
                <w:color w:val="auto"/>
              </w:rPr>
            </w:pPr>
          </w:p>
        </w:tc>
        <w:tc>
          <w:tcPr>
            <w:tcW w:w="6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Amounts owed to related parties* ( US$)</w:t>
            </w:r>
          </w:p>
        </w:tc>
        <w:tc>
          <w:tcPr>
            <w:tcW w:w="660" w:type="dxa"/>
            <w:vAlign w:val="bottom"/>
          </w:tcPr>
          <w:p>
            <w:pPr>
              <w:spacing w:after="0"/>
              <w:rPr>
                <w:sz w:val="21"/>
                <w:szCs w:val="21"/>
                <w:color w:val="auto"/>
              </w:rPr>
            </w:pPr>
          </w:p>
        </w:tc>
      </w:tr>
      <w:tr>
        <w:trPr>
          <w:trHeight w:val="257"/>
        </w:trPr>
        <w:tc>
          <w:tcPr>
            <w:tcW w:w="4540" w:type="dxa"/>
            <w:vAlign w:val="bottom"/>
          </w:tcPr>
          <w:p>
            <w:pPr>
              <w:spacing w:after="0"/>
              <w:rPr>
                <w:sz w:val="22"/>
                <w:szCs w:val="22"/>
                <w:color w:val="auto"/>
              </w:rPr>
            </w:pPr>
          </w:p>
        </w:tc>
        <w:tc>
          <w:tcPr>
            <w:tcW w:w="3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4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45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4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Ocelot</w:t>
            </w:r>
          </w:p>
        </w:tc>
        <w:tc>
          <w:tcPr>
            <w:tcW w:w="36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39"/>
        </w:trPr>
        <w:tc>
          <w:tcPr>
            <w:tcW w:w="4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Launch Tx</w:t>
            </w:r>
          </w:p>
        </w:tc>
        <w:tc>
          <w:tcPr>
            <w:tcW w:w="3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3,150,000</w:t>
            </w:r>
          </w:p>
        </w:tc>
        <w:tc>
          <w:tcPr>
            <w:tcW w:w="24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47"/>
        </w:trPr>
        <w:tc>
          <w:tcPr>
            <w:tcW w:w="4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Mr. Lawrence Gozlan</w:t>
            </w:r>
          </w:p>
        </w:tc>
        <w:tc>
          <w:tcPr>
            <w:tcW w:w="36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Calibri" w:cs="Calibri" w:eastAsia="Calibri" w:hAnsi="Calibri"/>
                <w:sz w:val="18"/>
                <w:szCs w:val="18"/>
                <w:color w:val="auto"/>
              </w:rPr>
              <w:t>—</w:t>
            </w:r>
          </w:p>
        </w:tc>
      </w:tr>
      <w:tr>
        <w:trPr>
          <w:trHeight w:val="234"/>
        </w:trPr>
        <w:tc>
          <w:tcPr>
            <w:tcW w:w="4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Saama Technologies</w:t>
            </w:r>
          </w:p>
        </w:tc>
        <w:tc>
          <w:tcPr>
            <w:tcW w:w="3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24,238</w:t>
            </w:r>
          </w:p>
        </w:tc>
        <w:tc>
          <w:tcPr>
            <w:tcW w:w="24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bl>
    <w:p>
      <w:pPr>
        <w:spacing w:after="0" w:line="233" w:lineRule="exact"/>
        <w:rPr>
          <w:sz w:val="20"/>
          <w:szCs w:val="20"/>
          <w:color w:val="auto"/>
        </w:rPr>
      </w:pPr>
    </w:p>
    <w:p>
      <w:pPr>
        <w:ind w:right="680" w:firstLine="374"/>
        <w:spacing w:after="0" w:line="282" w:lineRule="auto"/>
        <w:rPr>
          <w:sz w:val="20"/>
          <w:szCs w:val="20"/>
          <w:color w:val="auto"/>
        </w:rPr>
      </w:pPr>
      <w:r>
        <w:rPr>
          <w:rFonts w:ascii="Times New Roman" w:cs="Times New Roman" w:eastAsia="Times New Roman" w:hAnsi="Times New Roman"/>
          <w:sz w:val="18"/>
          <w:szCs w:val="18"/>
          <w:color w:val="auto"/>
        </w:rPr>
        <w:t>Amounts paid to Launch Tx relate to the purchase of services assisting Opthea with the management and oversight of trials under the Service Agreement with Launch Tx which were in a prepayment position at June 30, 2024.</w:t>
      </w:r>
    </w:p>
    <w:p>
      <w:pPr>
        <w:spacing w:after="0" w:line="162"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Amounts paid to Saama Technologies in regard to subscription fees for the use of analytical platform, which were in a prepayment position at June 30, 2024.</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414042"/>
        </w:rPr>
        <w:t>On August 28, 2023, Mr Lawrence Gozlan, a director of the Company, and the Company have entered into a Consultancy Agreement of up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14042"/>
        </w:rPr>
        <w:t>US$300,000 in respect of the provision of services associated with managing, overseeing and coordinating the conduct and implementation of the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14042"/>
        </w:rPr>
        <w:t>Raising. The consultancy agreement is effective for the financial year June 30, 2024. In the opinion of the Directors, these duties are outside the scope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14042"/>
        </w:rPr>
        <w:t>the ordinary duties of a Non-Executive Director. Included in equity are transaction costs paid under this consulting agreement of US$125,000 for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14042"/>
        </w:rPr>
        <w:t>ended June 30, 2024.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34. Commitments</w:t>
      </w:r>
    </w:p>
    <w:p>
      <w:pPr>
        <w:spacing w:after="0" w:line="225" w:lineRule="exact"/>
        <w:rPr>
          <w:sz w:val="20"/>
          <w:szCs w:val="20"/>
          <w:color w:val="auto"/>
        </w:rPr>
      </w:pPr>
    </w:p>
    <w:p>
      <w:pPr>
        <w:ind w:left="760" w:hanging="378"/>
        <w:spacing w:after="0"/>
        <w:tabs>
          <w:tab w:leader="none" w:pos="7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Contracted and committed Research projects and license commitments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 has entered into research and development contracts and intellectual property license agreements with various third parties in respect of services for the Phase 3 wet AMD clinical trial and the clinical grade manufacture of sozinibercept. Expenditure commitments relating to these, and intellectual property license agreements are payable as follows: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60" w:type="dxa"/>
            <w:vAlign w:val="bottom"/>
          </w:tcPr>
          <w:p>
            <w:pPr>
              <w:spacing w:after="0"/>
              <w:rPr>
                <w:sz w:val="15"/>
                <w:szCs w:val="15"/>
                <w:color w:val="auto"/>
              </w:rPr>
            </w:pPr>
          </w:p>
        </w:tc>
        <w:tc>
          <w:tcPr>
            <w:tcW w:w="13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40" w:type="dxa"/>
            <w:vAlign w:val="bottom"/>
            <w:gridSpan w:val="2"/>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780" w:type="dxa"/>
            <w:vAlign w:val="bottom"/>
            <w:gridSpan w:val="2"/>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87"/>
        </w:trPr>
        <w:tc>
          <w:tcPr>
            <w:tcW w:w="6460" w:type="dxa"/>
            <w:vAlign w:val="bottom"/>
          </w:tcPr>
          <w:p>
            <w:pPr>
              <w:spacing w:after="0"/>
              <w:rPr>
                <w:sz w:val="16"/>
                <w:szCs w:val="16"/>
                <w:color w:val="auto"/>
              </w:rPr>
            </w:pPr>
          </w:p>
        </w:tc>
        <w:tc>
          <w:tcPr>
            <w:tcW w:w="13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6"/>
                <w:szCs w:val="16"/>
                <w:color w:val="auto"/>
              </w:rPr>
            </w:pPr>
          </w:p>
        </w:tc>
        <w:tc>
          <w:tcPr>
            <w:tcW w:w="13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6"/>
                <w:szCs w:val="16"/>
                <w:color w:val="auto"/>
              </w:rPr>
            </w:pPr>
          </w:p>
        </w:tc>
        <w:tc>
          <w:tcPr>
            <w:tcW w:w="15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r>
      <w:tr>
        <w:trPr>
          <w:trHeight w:val="237"/>
        </w:trPr>
        <w:tc>
          <w:tcPr>
            <w:tcW w:w="64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Within one year</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27,383,742</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12,632,801</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39,947,900</w:t>
            </w:r>
          </w:p>
        </w:tc>
        <w:tc>
          <w:tcPr>
            <w:tcW w:w="100" w:type="dxa"/>
            <w:vAlign w:val="bottom"/>
            <w:shd w:val="clear" w:color="auto" w:fill="CFF0FC"/>
          </w:tcPr>
          <w:p>
            <w:pPr>
              <w:spacing w:after="0"/>
              <w:rPr>
                <w:sz w:val="20"/>
                <w:szCs w:val="20"/>
                <w:color w:val="auto"/>
              </w:rPr>
            </w:pPr>
          </w:p>
        </w:tc>
      </w:tr>
      <w:tr>
        <w:trPr>
          <w:trHeight w:val="239"/>
        </w:trPr>
        <w:tc>
          <w:tcPr>
            <w:tcW w:w="6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After one year but not more than five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3,504,753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12,302,260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8,007,202</w:t>
            </w:r>
          </w:p>
        </w:tc>
        <w:tc>
          <w:tcPr>
            <w:tcW w:w="100" w:type="dxa"/>
            <w:vAlign w:val="bottom"/>
          </w:tcPr>
          <w:p>
            <w:pPr>
              <w:spacing w:after="0"/>
              <w:rPr>
                <w:sz w:val="20"/>
                <w:szCs w:val="20"/>
                <w:color w:val="auto"/>
              </w:rPr>
            </w:pPr>
          </w:p>
        </w:tc>
      </w:tr>
      <w:tr>
        <w:trPr>
          <w:trHeight w:val="243"/>
        </w:trPr>
        <w:tc>
          <w:tcPr>
            <w:tcW w:w="64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After more than five years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646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30,903,495</w:t>
            </w:r>
          </w:p>
        </w:tc>
        <w:tc>
          <w:tcPr>
            <w:tcW w:w="22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24,965,061</w:t>
            </w:r>
          </w:p>
        </w:tc>
        <w:tc>
          <w:tcPr>
            <w:tcW w:w="22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48,000,102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-170815</wp:posOffset>
            </wp:positionV>
            <wp:extent cx="7683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Currently, the biggest research contract has a 60 day termination clause and all commitments have been limited to a six month commitment.</w:t>
      </w:r>
    </w:p>
    <w:p>
      <w:pPr>
        <w:spacing w:after="0" w:line="221"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(ii)</w:t>
      </w:r>
      <w:r>
        <w:rPr>
          <w:sz w:val="20"/>
          <w:szCs w:val="20"/>
          <w:color w:val="auto"/>
        </w:rPr>
        <w:tab/>
      </w:r>
      <w:r>
        <w:rPr>
          <w:rFonts w:ascii="Times New Roman" w:cs="Times New Roman" w:eastAsia="Times New Roman" w:hAnsi="Times New Roman"/>
          <w:sz w:val="17"/>
          <w:szCs w:val="17"/>
          <w:b w:val="1"/>
          <w:bCs w:val="1"/>
          <w:color w:val="auto"/>
        </w:rPr>
        <w:t>Commercial commitments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60" w:type="dxa"/>
            <w:vAlign w:val="bottom"/>
          </w:tcPr>
          <w:p>
            <w:pPr>
              <w:spacing w:after="0"/>
              <w:rPr>
                <w:sz w:val="15"/>
                <w:szCs w:val="15"/>
                <w:color w:val="auto"/>
              </w:rPr>
            </w:pPr>
          </w:p>
        </w:tc>
        <w:tc>
          <w:tcPr>
            <w:tcW w:w="13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40" w:type="dxa"/>
            <w:vAlign w:val="bottom"/>
            <w:gridSpan w:val="2"/>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780" w:type="dxa"/>
            <w:vAlign w:val="bottom"/>
            <w:gridSpan w:val="2"/>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87"/>
        </w:trPr>
        <w:tc>
          <w:tcPr>
            <w:tcW w:w="6460" w:type="dxa"/>
            <w:vAlign w:val="bottom"/>
          </w:tcPr>
          <w:p>
            <w:pPr>
              <w:spacing w:after="0"/>
              <w:rPr>
                <w:sz w:val="16"/>
                <w:szCs w:val="16"/>
                <w:color w:val="auto"/>
              </w:rPr>
            </w:pPr>
          </w:p>
        </w:tc>
        <w:tc>
          <w:tcPr>
            <w:tcW w:w="13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6"/>
                <w:szCs w:val="16"/>
                <w:color w:val="auto"/>
              </w:rPr>
            </w:pPr>
          </w:p>
        </w:tc>
        <w:tc>
          <w:tcPr>
            <w:tcW w:w="13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6"/>
                <w:szCs w:val="16"/>
                <w:color w:val="auto"/>
              </w:rPr>
            </w:pPr>
          </w:p>
        </w:tc>
        <w:tc>
          <w:tcPr>
            <w:tcW w:w="15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r>
      <w:tr>
        <w:trPr>
          <w:trHeight w:val="237"/>
        </w:trPr>
        <w:tc>
          <w:tcPr>
            <w:tcW w:w="64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Within one year</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63,421</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47,415</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507,874</w:t>
            </w:r>
          </w:p>
        </w:tc>
        <w:tc>
          <w:tcPr>
            <w:tcW w:w="100" w:type="dxa"/>
            <w:vAlign w:val="bottom"/>
            <w:shd w:val="clear" w:color="auto" w:fill="CFF0FC"/>
          </w:tcPr>
          <w:p>
            <w:pPr>
              <w:spacing w:after="0"/>
              <w:rPr>
                <w:sz w:val="20"/>
                <w:szCs w:val="20"/>
                <w:color w:val="auto"/>
              </w:rPr>
            </w:pPr>
          </w:p>
        </w:tc>
      </w:tr>
      <w:tr>
        <w:trPr>
          <w:trHeight w:val="239"/>
        </w:trPr>
        <w:tc>
          <w:tcPr>
            <w:tcW w:w="6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After one year but not more than five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After more than five years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646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63,421</w:t>
            </w:r>
          </w:p>
        </w:tc>
        <w:tc>
          <w:tcPr>
            <w:tcW w:w="22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47,415</w:t>
            </w:r>
          </w:p>
        </w:tc>
        <w:tc>
          <w:tcPr>
            <w:tcW w:w="22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507,874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-170815</wp:posOffset>
            </wp:positionV>
            <wp:extent cx="7683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Currently, the biggest contract has a 60 day termination clause and all commitments have been limited to a twelve month commitment.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35. Contingencies</w:t>
      </w:r>
    </w:p>
    <w:p>
      <w:pPr>
        <w:spacing w:after="0" w:line="229" w:lineRule="exact"/>
        <w:rPr>
          <w:sz w:val="20"/>
          <w:szCs w:val="20"/>
          <w:color w:val="auto"/>
        </w:rPr>
      </w:pPr>
    </w:p>
    <w:p>
      <w:pPr>
        <w:jc w:val="both"/>
        <w:ind w:firstLine="374"/>
        <w:spacing w:after="0" w:line="222" w:lineRule="exact"/>
        <w:rPr>
          <w:sz w:val="20"/>
          <w:szCs w:val="20"/>
          <w:color w:val="auto"/>
        </w:rPr>
      </w:pPr>
      <w:r>
        <w:rPr>
          <w:rFonts w:ascii="Times New Roman" w:cs="Times New Roman" w:eastAsia="Times New Roman" w:hAnsi="Times New Roman"/>
          <w:sz w:val="18"/>
          <w:szCs w:val="18"/>
          <w:color w:val="auto"/>
        </w:rPr>
        <w:t>The Group is party to various research agreements with respect to which a commitment to pay is contingent on the achievement of research milestones. Assuming all milestones are achieved within the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frames stipulated in the contracts, those which could become payable in less than one year total US$nil (2023: US$nil) and those which could become payable in more than one year total US$1,084,821 (2023: US$1,086,244).</w:t>
      </w:r>
    </w:p>
    <w:p>
      <w:pPr>
        <w:spacing w:after="0" w:line="19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Under these license/collaboration agreements, payments are to be made only if certain research and clinical development milestones are achieved and royalties may become payable on any eventual sales of products developed under these agreements.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group had a bank guarantee outstanding at June 30, 2024 in respect of a rental deposit for its office premises of AU$ 64,574 (US$38,210)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AU$64,574 (US$38,036)).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36. Cash Flow Statements Reconciliation</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14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4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3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6520" w:type="dxa"/>
            <w:vAlign w:val="bottom"/>
          </w:tcPr>
          <w:p>
            <w:pPr>
              <w:spacing w:after="0"/>
              <w:rPr>
                <w:sz w:val="24"/>
                <w:szCs w:val="24"/>
                <w:color w:val="auto"/>
              </w:rPr>
            </w:pPr>
          </w:p>
        </w:tc>
        <w:tc>
          <w:tcPr>
            <w:tcW w:w="16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US$</w:t>
            </w:r>
          </w:p>
        </w:tc>
        <w:tc>
          <w:tcPr>
            <w:tcW w:w="16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US$</w:t>
            </w: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44"/>
        </w:trPr>
        <w:tc>
          <w:tcPr>
            <w:tcW w:w="65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 Reconciliation to cash at the end of the year</w:t>
            </w:r>
          </w:p>
        </w:tc>
        <w:tc>
          <w:tcPr>
            <w:tcW w:w="1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at bank and in hand (Note 18)</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172,471,346</w:t>
            </w:r>
          </w:p>
        </w:tc>
        <w:tc>
          <w:tcPr>
            <w:tcW w:w="200" w:type="dxa"/>
            <w:vAlign w:val="bottom"/>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89,188,713</w:t>
            </w:r>
          </w:p>
        </w:tc>
        <w:tc>
          <w:tcPr>
            <w:tcW w:w="22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44,631,293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652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172,471,346</w:t>
            </w:r>
          </w:p>
        </w:tc>
        <w:tc>
          <w:tcPr>
            <w:tcW w:w="20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89,188,713</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44,631,293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 Reconciliation of net loss after tax to net cash flows from operations</w:t>
            </w:r>
          </w:p>
        </w:tc>
        <w:tc>
          <w:tcPr>
            <w:tcW w:w="1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 for the year</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(220,242,105 )</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(142,521,085 )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(92,817,371 )</w:t>
            </w:r>
          </w:p>
        </w:tc>
        <w:tc>
          <w:tcPr>
            <w:tcW w:w="0" w:type="dxa"/>
            <w:vAlign w:val="bottom"/>
          </w:tcPr>
          <w:p>
            <w:pPr>
              <w:spacing w:after="0"/>
              <w:rPr>
                <w:sz w:val="1"/>
                <w:szCs w:val="1"/>
                <w:color w:val="auto"/>
              </w:rPr>
            </w:pPr>
          </w:p>
        </w:tc>
      </w:tr>
      <w:tr>
        <w:trPr>
          <w:trHeight w:val="247"/>
        </w:trPr>
        <w:tc>
          <w:tcPr>
            <w:tcW w:w="6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Adjustments for:</w:t>
            </w:r>
          </w:p>
        </w:tc>
        <w:tc>
          <w:tcPr>
            <w:tcW w:w="1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tax benefit recognized in profit or loss</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(9,412,196 )</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(5,926,350 )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(6,299,286 )</w:t>
            </w:r>
          </w:p>
        </w:tc>
        <w:tc>
          <w:tcPr>
            <w:tcW w:w="0" w:type="dxa"/>
            <w:vAlign w:val="bottom"/>
          </w:tcPr>
          <w:p>
            <w:pPr>
              <w:spacing w:after="0"/>
              <w:rPr>
                <w:sz w:val="1"/>
                <w:szCs w:val="1"/>
                <w:color w:val="auto"/>
              </w:rPr>
            </w:pPr>
          </w:p>
        </w:tc>
      </w:tr>
      <w:tr>
        <w:trPr>
          <w:trHeight w:val="247"/>
        </w:trPr>
        <w:tc>
          <w:tcPr>
            <w:tcW w:w="6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loss of disposal of non-current assets</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of non-current assets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18,799</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17,001</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84,226</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84,226</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expense on DFA* (includes amounts owed to related party</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30,263,042</w:t>
            </w:r>
          </w:p>
        </w:tc>
        <w:tc>
          <w:tcPr>
            <w:tcW w:w="200" w:type="dxa"/>
            <w:vAlign w:val="bottom"/>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13,462,160</w:t>
            </w:r>
          </w:p>
        </w:tc>
        <w:tc>
          <w:tcPr>
            <w:tcW w:w="220" w:type="dxa"/>
            <w:vAlign w:val="bottom"/>
          </w:tcPr>
          <w:p>
            <w:pPr>
              <w:spacing w:after="0"/>
              <w:rPr>
                <w:sz w:val="18"/>
                <w:szCs w:val="18"/>
                <w:color w:val="auto"/>
              </w:rPr>
            </w:pPr>
          </w:p>
        </w:tc>
        <w:tc>
          <w:tcPr>
            <w:tcW w:w="1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65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$24,698,653 (2023: $13,462,160))</w:t>
            </w:r>
          </w:p>
        </w:tc>
        <w:tc>
          <w:tcPr>
            <w:tcW w:w="14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52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Gain on remeasurement of financial liability - DFA2</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(387,284 )</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(12,302,160 )</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Fair value loss on Investor options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11,223,535</w:t>
            </w:r>
          </w:p>
        </w:tc>
        <w:tc>
          <w:tcPr>
            <w:tcW w:w="20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Share-based payments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5,084,613</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5,834,686</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5,251,572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exchange differences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107,001</w:t>
            </w:r>
          </w:p>
        </w:tc>
        <w:tc>
          <w:tcPr>
            <w:tcW w:w="20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489,137</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2,813,993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36,981,736</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1,658,700</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1,844,830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Changes in:</w:t>
            </w:r>
          </w:p>
        </w:tc>
        <w:tc>
          <w:tcPr>
            <w:tcW w:w="1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Payables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19,502,925</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7,296,785</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8,511,607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Receivables</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(789,837 )</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378,896</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307,618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Prepayments</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(1,675,274 )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6,142,284</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5,730,207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Provisions</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266,694</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136,755</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115,259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flows used in operating activities before tax</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(165,955,861 )</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(126,907,665 )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(76,307,850 )</w:t>
            </w:r>
          </w:p>
        </w:tc>
        <w:tc>
          <w:tcPr>
            <w:tcW w:w="0" w:type="dxa"/>
            <w:vAlign w:val="bottom"/>
          </w:tcPr>
          <w:p>
            <w:pPr>
              <w:spacing w:after="0"/>
              <w:rPr>
                <w:sz w:val="1"/>
                <w:szCs w:val="1"/>
                <w:color w:val="auto"/>
              </w:rPr>
            </w:pPr>
          </w:p>
        </w:tc>
      </w:tr>
      <w:tr>
        <w:trPr>
          <w:trHeight w:val="241"/>
        </w:trPr>
        <w:tc>
          <w:tcPr>
            <w:tcW w:w="6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R&amp;D tax incentive received</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5,926,350</w:t>
            </w:r>
          </w:p>
        </w:tc>
        <w:tc>
          <w:tcPr>
            <w:tcW w:w="200" w:type="dxa"/>
            <w:vAlign w:val="bottom"/>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6,299,286</w:t>
            </w:r>
          </w:p>
        </w:tc>
        <w:tc>
          <w:tcPr>
            <w:tcW w:w="22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4,972,898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Current US tax paid</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(985,843 )</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(161,015,354 )</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(120,608,379 )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(71,334,952 )</w:t>
            </w:r>
          </w:p>
        </w:tc>
        <w:tc>
          <w:tcPr>
            <w:tcW w:w="0" w:type="dxa"/>
            <w:vAlign w:val="bottom"/>
          </w:tcPr>
          <w:p>
            <w:pPr>
              <w:spacing w:after="0"/>
              <w:rPr>
                <w:sz w:val="1"/>
                <w:szCs w:val="1"/>
                <w:color w:val="auto"/>
              </w:rPr>
            </w:pPr>
          </w:p>
        </w:tc>
      </w:tr>
      <w:tr>
        <w:trPr>
          <w:trHeight w:val="20"/>
        </w:trPr>
        <w:tc>
          <w:tcPr>
            <w:tcW w:w="652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-668020</wp:posOffset>
            </wp:positionV>
            <wp:extent cx="6858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-668020</wp:posOffset>
            </wp:positionV>
            <wp:extent cx="6858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37. Key Management Personnel</w:t>
      </w:r>
    </w:p>
    <w:p>
      <w:pPr>
        <w:spacing w:after="0" w:line="225"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Compensation of Key Management Personnel</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3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47"/>
        </w:trPr>
        <w:tc>
          <w:tcPr>
            <w:tcW w:w="6280" w:type="dxa"/>
            <w:vAlign w:val="bottom"/>
          </w:tcPr>
          <w:p>
            <w:pPr>
              <w:spacing w:after="0"/>
              <w:rPr>
                <w:sz w:val="24"/>
                <w:szCs w:val="24"/>
                <w:color w:val="auto"/>
              </w:rPr>
            </w:pPr>
          </w:p>
        </w:tc>
        <w:tc>
          <w:tcPr>
            <w:tcW w:w="13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24"/>
                <w:szCs w:val="24"/>
                <w:color w:val="auto"/>
              </w:rPr>
            </w:pPr>
          </w:p>
        </w:tc>
        <w:tc>
          <w:tcPr>
            <w:tcW w:w="13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28"/>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3,415,969</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2,898,544</w:t>
            </w:r>
          </w:p>
        </w:tc>
      </w:tr>
      <w:tr>
        <w:trPr>
          <w:trHeight w:val="238"/>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Post-employment benefits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137,168</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benefits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expense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3,214,616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4,221,472</w:t>
            </w:r>
          </w:p>
        </w:tc>
      </w:tr>
      <w:tr>
        <w:trPr>
          <w:trHeight w:val="241"/>
        </w:trPr>
        <w:tc>
          <w:tcPr>
            <w:tcW w:w="6280" w:type="dxa"/>
            <w:vAlign w:val="bottom"/>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7,210,592</w:t>
            </w:r>
          </w:p>
        </w:tc>
        <w:tc>
          <w:tcPr>
            <w:tcW w:w="240" w:type="dxa"/>
            <w:vAlign w:val="bottom"/>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7,257,184</w:t>
            </w:r>
          </w:p>
        </w:tc>
      </w:tr>
      <w:tr>
        <w:trPr>
          <w:trHeight w:val="20"/>
        </w:trPr>
        <w:tc>
          <w:tcPr>
            <w:tcW w:w="6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803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1"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Other transactions and balances with director and key management personnel and their related parties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16510</wp:posOffset>
            </wp:positionV>
            <wp:extent cx="86550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2">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14"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1,555,658</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56,105</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4,664,767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26035</wp:posOffset>
            </wp:positionV>
            <wp:extent cx="86550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3">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6,276,530</w:t>
      </w:r>
    </w:p>
    <w:p>
      <w:pPr>
        <w:spacing w:after="0" w:line="712" w:lineRule="exact"/>
        <w:rPr>
          <w:sz w:val="20"/>
          <w:szCs w:val="20"/>
          <w:color w:val="auto"/>
        </w:rPr>
      </w:pPr>
    </w:p>
    <w:p>
      <w:pPr>
        <w:sectPr>
          <w:pgSz w:w="11900" w:h="16838" w:orient="portrait"/>
          <w:cols w:equalWidth="0" w:num="2">
            <w:col w:w="9580" w:space="720"/>
            <w:col w:w="940"/>
          </w:cols>
          <w:pgMar w:left="320" w:top="765" w:right="339" w:bottom="1440" w:gutter="0" w:footer="0" w:header="0"/>
          <w:type w:val="continuous"/>
        </w:sectPr>
      </w:pPr>
    </w:p>
    <w:p>
      <w:pPr>
        <w:spacing w:after="0" w:line="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There were no director and key management personnel related party transactions during the prior financial year for the current year refer to Note 33(b).</w:t>
      </w:r>
    </w:p>
    <w:p>
      <w:pPr>
        <w:sectPr>
          <w:pgSz w:w="11900" w:h="16838" w:orient="portrait"/>
          <w:cols w:equalWidth="0" w:num="1">
            <w:col w:w="11240"/>
          </w:cols>
          <w:pgMar w:left="320" w:top="765" w:right="339" w:bottom="1440" w:gutter="0" w:footer="0" w:header="0"/>
          <w:type w:val="continuous"/>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38. Share-Based Payments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(a)Recognized share-based payment expenses</w:t>
      </w:r>
    </w:p>
    <w:p>
      <w:pPr>
        <w:spacing w:after="0" w:line="18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The expense recognized for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payments during the year is shown in the table below:</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80" w:type="dxa"/>
            <w:vAlign w:val="bottom"/>
          </w:tcPr>
          <w:p>
            <w:pPr>
              <w:spacing w:after="0"/>
              <w:rPr>
                <w:sz w:val="15"/>
                <w:szCs w:val="15"/>
                <w:color w:val="auto"/>
              </w:rPr>
            </w:pPr>
          </w:p>
        </w:tc>
        <w:tc>
          <w:tcPr>
            <w:tcW w:w="13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2"/>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87"/>
        </w:trPr>
        <w:tc>
          <w:tcPr>
            <w:tcW w:w="6580" w:type="dxa"/>
            <w:vAlign w:val="bottom"/>
          </w:tcPr>
          <w:p>
            <w:pPr>
              <w:spacing w:after="0"/>
              <w:rPr>
                <w:sz w:val="16"/>
                <w:szCs w:val="16"/>
                <w:color w:val="auto"/>
              </w:rPr>
            </w:pPr>
          </w:p>
        </w:tc>
        <w:tc>
          <w:tcPr>
            <w:tcW w:w="13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6"/>
                <w:szCs w:val="16"/>
                <w:color w:val="auto"/>
              </w:rPr>
            </w:pPr>
          </w:p>
        </w:tc>
        <w:tc>
          <w:tcPr>
            <w:tcW w:w="13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6"/>
                <w:szCs w:val="16"/>
                <w:color w:val="auto"/>
              </w:rPr>
            </w:pP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30"/>
        </w:trPr>
        <w:tc>
          <w:tcPr>
            <w:tcW w:w="65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Expense arising from equity-settled share-based payment transactions:</w:t>
            </w:r>
          </w:p>
        </w:tc>
        <w:tc>
          <w:tcPr>
            <w:tcW w:w="1380" w:type="dxa"/>
            <w:vAlign w:val="bottom"/>
            <w:tcBorders>
              <w:top w:val="single" w:sz="8" w:color="auto"/>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top w:val="single" w:sz="8" w:color="auto"/>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Director and employee services received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5,084,613</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5,834,686</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5,251,572</w:t>
            </w:r>
          </w:p>
        </w:tc>
        <w:tc>
          <w:tcPr>
            <w:tcW w:w="100" w:type="dxa"/>
            <w:vAlign w:val="bottom"/>
          </w:tcPr>
          <w:p>
            <w:pPr>
              <w:spacing w:after="0"/>
              <w:rPr>
                <w:sz w:val="20"/>
                <w:szCs w:val="20"/>
                <w:color w:val="auto"/>
              </w:rPr>
            </w:pPr>
          </w:p>
        </w:tc>
      </w:tr>
      <w:tr>
        <w:trPr>
          <w:trHeight w:val="278"/>
        </w:trPr>
        <w:tc>
          <w:tcPr>
            <w:tcW w:w="658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5,084,613</w:t>
            </w:r>
          </w:p>
        </w:tc>
        <w:tc>
          <w:tcPr>
            <w:tcW w:w="24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5,834,686</w:t>
            </w:r>
          </w:p>
        </w:tc>
        <w:tc>
          <w:tcPr>
            <w:tcW w:w="20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5,251,572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-25400</wp:posOffset>
            </wp:positionV>
            <wp:extent cx="7747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8"/>
          <w:szCs w:val="18"/>
          <w:b w:val="1"/>
          <w:bCs w:val="1"/>
          <w:color w:val="auto"/>
        </w:rPr>
        <w:t>(b)Non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executive director and employee share option plans</w:t>
      </w:r>
    </w:p>
    <w:p>
      <w:pPr>
        <w:spacing w:after="0" w:line="225" w:lineRule="exact"/>
        <w:rPr>
          <w:sz w:val="20"/>
          <w:szCs w:val="20"/>
          <w:color w:val="auto"/>
        </w:rPr>
      </w:pPr>
    </w:p>
    <w:p>
      <w:pPr>
        <w:jc w:val="both"/>
        <w:ind w:firstLine="374"/>
        <w:spacing w:after="0" w:line="231" w:lineRule="exact"/>
        <w:rPr>
          <w:sz w:val="20"/>
          <w:szCs w:val="20"/>
          <w:color w:val="auto"/>
        </w:rPr>
      </w:pPr>
      <w:r>
        <w:rPr>
          <w:rFonts w:ascii="Times New Roman" w:cs="Times New Roman" w:eastAsia="Times New Roman" w:hAnsi="Times New Roman"/>
          <w:sz w:val="18"/>
          <w:szCs w:val="18"/>
          <w:color w:val="auto"/>
        </w:rPr>
        <w:t>During the 2015 financial year, the Group introduced an ownership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scheme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executive directors, executives and senior employees, the Long-Term Incentive Plan (LTIP)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Executive Directors Share and Option Plan (NED Plan). In accordance with the terms of the plans, as approved by shareholders at the 2014 annual general meeting, eligible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executive directors, executives and senior employees with the Group may be granted options to purchase ordinary shares.</w:t>
      </w:r>
    </w:p>
    <w:p>
      <w:pPr>
        <w:spacing w:after="0" w:line="20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Each employee share option converts into one ordinary share of Opthea Limited on exercise. No amounts are paid or payable by the recipient on receipt of the option. The options carry neither rights to dividends nor voting rights and are not transferable. Options may be exercised at any time from the date of vesting to the date of their expiry.</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number of options granted is subject to approval by the board and rewards executives and senior employees to the extent of the Group’s and the individual’s achievement judged against both qualitative and quantitative criteria as determined by the board on a case by case basis.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vesting condition of options granted under the LTIP and NED Plan is continuous service.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Options/Rights services</w:t>
            </w:r>
          </w:p>
        </w:tc>
        <w:tc>
          <w:tcPr>
            <w:tcW w:w="16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Expiry date</w:t>
            </w:r>
          </w:p>
        </w:tc>
        <w:tc>
          <w:tcPr>
            <w:tcW w:w="140" w:type="dxa"/>
            <w:vAlign w:val="bottom"/>
          </w:tcPr>
          <w:p>
            <w:pPr>
              <w:spacing w:after="0"/>
              <w:rPr>
                <w:sz w:val="12"/>
                <w:szCs w:val="12"/>
                <w:color w:val="auto"/>
              </w:rPr>
            </w:pPr>
          </w:p>
        </w:tc>
        <w:tc>
          <w:tcPr>
            <w:tcW w:w="3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Vesting date</w:t>
            </w:r>
          </w:p>
        </w:tc>
        <w:tc>
          <w:tcPr>
            <w:tcW w:w="0" w:type="dxa"/>
            <w:vAlign w:val="bottom"/>
          </w:tcPr>
          <w:p>
            <w:pPr>
              <w:spacing w:after="0"/>
              <w:rPr>
                <w:sz w:val="1"/>
                <w:szCs w:val="1"/>
                <w:color w:val="auto"/>
              </w:rPr>
            </w:pPr>
          </w:p>
        </w:tc>
      </w:tr>
      <w:tr>
        <w:trPr>
          <w:trHeight w:val="187"/>
        </w:trPr>
        <w:tc>
          <w:tcPr>
            <w:tcW w:w="21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price US$</w:t>
            </w:r>
          </w:p>
        </w:tc>
        <w:tc>
          <w:tcPr>
            <w:tcW w:w="24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0.955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0.000</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18, 2031</w:t>
            </w:r>
          </w:p>
        </w:tc>
        <w:tc>
          <w:tcPr>
            <w:tcW w:w="140" w:type="dxa"/>
            <w:vAlign w:val="bottom"/>
            <w:shd w:val="clear" w:color="auto" w:fill="CFF0FC"/>
          </w:tcPr>
          <w:p>
            <w:pPr>
              <w:spacing w:after="0"/>
              <w:rPr>
                <w:sz w:val="19"/>
                <w:szCs w:val="19"/>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0.955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0.000</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18, 2031</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19, 2022</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0.955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0.000</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18, 2031</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19, 2023</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0.955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0.000</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18, 2031</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31, 2023</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0.955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0.000</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18, 2031</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November 30, 2022</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0.955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0.000</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18, 2031</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30, 2023</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0.955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0.000</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18, 2031</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April 30, 2023</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0.955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0.000</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18, 2031</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30, 2024</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0.526</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0.948</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18, 2025</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0.526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0.948</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18, 2025</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19, 2022</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0.526</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0.948</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18, 2025</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19, 2023</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0.526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0.948</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18, 2025</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19, 2024</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June 6, 2022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0.553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June 5, 2032</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June 6, 2022</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6, 2022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0.553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5, 2032</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6, 2023</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June 6, 2022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0.553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June 5, 2032</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June 6, 2024</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6, 2022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0.553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5, 2032</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6, 2025</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June 6, 2022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0.553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June 5, 2032</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June 6, 2025</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FY2023</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16, 2022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0.471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0.658</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16, 2032</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16, 2025</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FY2023</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November 16, 2022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0.672</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0.000</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November 16, 2032</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November 16, 2025</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FY2023</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13, 2022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0.459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0.644</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13, 2032</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13, 2024</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FY2023</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December 13, 2022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0.459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0.644</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December 13, 2032</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December 13, 2025</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FY2023</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13, 2022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0.459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0.644</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13, 2032</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13, 2026</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September 18, 2023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0.153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0.264</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September 18, 2033</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September 18,2024</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18, 2023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0.153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0.264</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18, 2033</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18,2025</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September 18, 2023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0.153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0.264</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September 18, 2033</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September 18,2026</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18, 2023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0.153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0.264</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18, 2033</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18,2027</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10, 2023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0.157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0.205</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10, 2033</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10, 2024</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10, 2023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0.157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0.205</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10, 2033</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10, 2025</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10, 2023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0.157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0.205</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10, 2033</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10, 2026</w:t>
            </w:r>
          </w:p>
        </w:tc>
        <w:tc>
          <w:tcPr>
            <w:tcW w:w="0" w:type="dxa"/>
            <w:vAlign w:val="bottom"/>
          </w:tcPr>
          <w:p>
            <w:pPr>
              <w:spacing w:after="0"/>
              <w:rPr>
                <w:sz w:val="1"/>
                <w:szCs w:val="1"/>
                <w:color w:val="auto"/>
              </w:rPr>
            </w:pPr>
          </w:p>
        </w:tc>
      </w:tr>
      <w:tr>
        <w:trPr>
          <w:trHeight w:val="21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10, 2023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0.157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0.205</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10, 2033</w:t>
            </w:r>
          </w:p>
        </w:tc>
        <w:tc>
          <w:tcPr>
            <w:tcW w:w="140" w:type="dxa"/>
            <w:vAlign w:val="bottom"/>
          </w:tcPr>
          <w:p>
            <w:pPr>
              <w:spacing w:after="0"/>
              <w:rPr>
                <w:sz w:val="18"/>
                <w:szCs w:val="18"/>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10, 2027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November 30, 2023</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0.236</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0.261</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November 30, 2033</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November 30, 2024</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November 30, 2023</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0.236</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0.261</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November 30, 2033</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30, 2025</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November 30, 2023</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0.236</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0.261</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November 30, 2033</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November 30, 2026</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October 12, 2020</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1.050</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3.240</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October 11, 2024</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12, 2020</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October 12, 2020</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1.050</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3.240</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October 11, 2024</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12, 2021</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October 12, 2020</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1.050</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3.240</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October 11, 2024</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12, 2022</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October 12, 2020</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1.050</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3.240</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October 11, 2024</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12, 2023</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October 12, 2020</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1.240</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2.160</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October 11, 2024</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12, 2020</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October 12, 2020</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1.240</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2.160</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October 11, 2024</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12, 2021</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October 12, 2020</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1.240</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2.160</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October 11, 2024</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12, 2022</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October 12, 2020</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1.240</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2.160</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October 11, 2024</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12, 2023</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January 19, 2021</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0.880</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1.560</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January 18, 2025</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19, 2021</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January 19, 2021</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0.880</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1.560</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January 18, 2025</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January 19, 2022</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January 19, 2021</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0.880</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1.560</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January 18, 2025</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19, 2023</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January 19, 2021</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0.880</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1.560</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January 18, 2025</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January 19, 2024</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FY2022</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October 19, 2021</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0.526</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0.948</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October 18, 2025</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FY2022</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October 19, 2021</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0.526</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0.948</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October 18, 2025</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19, 2022</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FY2022</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October 19, 2021</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0.526</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0.948</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October 18, 2025</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19, 2023</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FY2022</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October 19, 2021</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0.526</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0.948</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October 18, 2025</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19, 2024</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FY2022</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April 21, 2022</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0.397</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0.755</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April 20, 2026</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21, 2022</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FY2022</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April 21, 2022</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0.397</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0.755</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April 20, 2026</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April 21, 2023</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FY2022</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April 21, 2022</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0.397</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0.755</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April 20, 2026</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21, 2024</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FY2022</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April 21, 2022</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0.397</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0.755</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April 20, 2026</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April 21, 2025</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FY2023</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November 16, 2022</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0.469</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0.672</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November 16, 2032</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16, 2025</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FY2023</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November 16, 2022</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0.471</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0.658</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November 16, 2032</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November 16, 2025</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FY2023</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November 16, 2022</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0.672</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0.000</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November 16, 2032</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16, 2025</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FY2024</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November 30, 2023</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0.213</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0.382</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November 30, 2033</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November 30, 2024</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FY2024</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November 30, 2023</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0.213</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0.382</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November 30, 2033</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30, 2025</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FY2024</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November 30, 2023</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0.213</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0.382</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November 30, 2033</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November 30, 2026</w:t>
            </w:r>
          </w:p>
        </w:tc>
      </w:tr>
    </w:tbl>
    <w:p>
      <w:pPr>
        <w:spacing w:after="0" w:line="200" w:lineRule="exact"/>
        <w:rPr>
          <w:sz w:val="20"/>
          <w:szCs w:val="20"/>
          <w:color w:val="auto"/>
        </w:rPr>
      </w:pPr>
    </w:p>
    <w:p>
      <w:pPr>
        <w:spacing w:after="0" w:line="227"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There has been no alteration of the terms and conditions of the above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 arrangements since the grant date.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(c)Fair value of share options granted</w:t>
      </w:r>
    </w:p>
    <w:p>
      <w:pPr>
        <w:spacing w:after="0" w:line="188" w:lineRule="exact"/>
        <w:rPr>
          <w:sz w:val="20"/>
          <w:szCs w:val="20"/>
          <w:color w:val="auto"/>
        </w:rPr>
      </w:pPr>
    </w:p>
    <w:p>
      <w:pPr>
        <w:jc w:val="both"/>
        <w:ind w:firstLine="374"/>
        <w:spacing w:after="0" w:line="236" w:lineRule="exact"/>
        <w:rPr>
          <w:sz w:val="20"/>
          <w:szCs w:val="20"/>
          <w:color w:val="auto"/>
        </w:rPr>
      </w:pPr>
      <w:r>
        <w:rPr>
          <w:rFonts w:ascii="Times New Roman" w:cs="Times New Roman" w:eastAsia="Times New Roman" w:hAnsi="Times New Roman"/>
          <w:sz w:val="18"/>
          <w:szCs w:val="18"/>
          <w:color w:val="auto"/>
        </w:rPr>
        <w:t>Where relevant, the expected life used in the model has been adjusted based on management’s best estimate for the effects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transferability, exercise restrictions (including the probability of meeting conditions attached to the option), and behavioral considerations. Expected volatility is based on the historical share price volatility over the past 4 or 5 years.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3"/>
                <w:szCs w:val="13"/>
                <w:color w:val="auto"/>
              </w:rPr>
            </w:pPr>
          </w:p>
        </w:tc>
        <w:tc>
          <w:tcPr>
            <w:tcW w:w="11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Risk free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Model</w:t>
            </w:r>
          </w:p>
        </w:tc>
        <w:tc>
          <w:tcPr>
            <w:tcW w:w="0" w:type="dxa"/>
            <w:vAlign w:val="bottom"/>
          </w:tcPr>
          <w:p>
            <w:pPr>
              <w:spacing w:after="0"/>
              <w:rPr>
                <w:sz w:val="1"/>
                <w:szCs w:val="1"/>
                <w:color w:val="auto"/>
              </w:rPr>
            </w:pPr>
          </w:p>
        </w:tc>
      </w:tr>
      <w:tr>
        <w:trPr>
          <w:trHeight w:val="148"/>
        </w:trPr>
        <w:tc>
          <w:tcPr>
            <w:tcW w:w="23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Options/Rights services</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share price</w:t>
            </w: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per option</w:t>
            </w: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Option life</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3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price US$</w:t>
            </w:r>
          </w:p>
        </w:tc>
        <w:tc>
          <w:tcPr>
            <w:tcW w:w="2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volatility</w:t>
            </w:r>
          </w:p>
        </w:tc>
        <w:tc>
          <w:tcPr>
            <w:tcW w:w="24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yield</w:t>
            </w:r>
          </w:p>
        </w:tc>
        <w:tc>
          <w:tcPr>
            <w:tcW w:w="2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rate</w:t>
            </w:r>
          </w:p>
        </w:tc>
        <w:tc>
          <w:tcPr>
            <w:tcW w:w="26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used</w:t>
            </w:r>
          </w:p>
        </w:tc>
        <w:tc>
          <w:tcPr>
            <w:tcW w:w="0" w:type="dxa"/>
            <w:vAlign w:val="bottom"/>
          </w:tcPr>
          <w:p>
            <w:pPr>
              <w:spacing w:after="0"/>
              <w:rPr>
                <w:sz w:val="1"/>
                <w:szCs w:val="1"/>
                <w:color w:val="auto"/>
              </w:rPr>
            </w:pPr>
          </w:p>
        </w:tc>
      </w:tr>
      <w:tr>
        <w:trPr>
          <w:trHeight w:val="223"/>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director FY2019</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0.420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0.625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0.150</w:t>
            </w:r>
          </w:p>
        </w:tc>
        <w:tc>
          <w:tcPr>
            <w:tcW w:w="1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58.00 %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 years</w:t>
            </w: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2.04 %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FY2018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0.340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0.920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0.260</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66.00 %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years</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2.09 %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FY2019</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0.480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0.608</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0.180</w:t>
            </w:r>
          </w:p>
        </w:tc>
        <w:tc>
          <w:tcPr>
            <w:tcW w:w="1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57.00 %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 years</w:t>
            </w: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2.04 %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0.955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0.948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0.526</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74.78 %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years</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0.25 %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0.955</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nil</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0.955</w:t>
            </w: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na</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 years</w:t>
            </w: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0.901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0.553</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years</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0.672</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0.658</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0.471</w:t>
            </w:r>
          </w:p>
        </w:tc>
        <w:tc>
          <w:tcPr>
            <w:tcW w:w="1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 years</w:t>
            </w: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3.60 %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0.672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nil</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0.672</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years</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0.643</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0.644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0.459</w:t>
            </w:r>
          </w:p>
        </w:tc>
        <w:tc>
          <w:tcPr>
            <w:tcW w:w="1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3.30 %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0.238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0.263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0.153</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67.50 %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years</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0.225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0.205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0.157</w:t>
            </w:r>
          </w:p>
        </w:tc>
        <w:tc>
          <w:tcPr>
            <w:tcW w:w="1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67.50 %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4.30 %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0.334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0.261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0.236</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67.50 %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years</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FY2016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0.280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0.360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0.140</w:t>
            </w:r>
          </w:p>
        </w:tc>
        <w:tc>
          <w:tcPr>
            <w:tcW w:w="1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65.00 %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 years</w:t>
            </w: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2.09 %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FY2019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0.420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0.150</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58.00 %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years</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2.04 %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77.25 %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 years</w:t>
            </w: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0.25 %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Play FY2021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3.240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77.25 %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years</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0.25 %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0.880</w:t>
            </w:r>
          </w:p>
        </w:tc>
        <w:tc>
          <w:tcPr>
            <w:tcW w:w="1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77.01 %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 years</w:t>
            </w: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0.25 %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0.955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0.945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0.526</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74.78 %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years</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0.25 %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0.741</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0.755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0.397</w:t>
            </w:r>
          </w:p>
        </w:tc>
        <w:tc>
          <w:tcPr>
            <w:tcW w:w="1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 years</w:t>
            </w: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2.70 %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0.672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0.658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0.471</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years</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0.672</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nil</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0.672</w:t>
            </w:r>
          </w:p>
        </w:tc>
        <w:tc>
          <w:tcPr>
            <w:tcW w:w="1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 years</w:t>
            </w: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3.70 %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1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0.334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0.382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0.334</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67.50 %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years</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Fair value of ADS options granted</w:t>
      </w:r>
    </w:p>
    <w:p>
      <w:pPr>
        <w:spacing w:after="0" w:line="188" w:lineRule="exact"/>
        <w:rPr>
          <w:sz w:val="20"/>
          <w:szCs w:val="20"/>
          <w:color w:val="auto"/>
        </w:rPr>
      </w:pPr>
    </w:p>
    <w:p>
      <w:pPr>
        <w:jc w:val="both"/>
        <w:ind w:firstLine="374"/>
        <w:spacing w:after="0" w:line="236" w:lineRule="exact"/>
        <w:rPr>
          <w:sz w:val="20"/>
          <w:szCs w:val="20"/>
          <w:color w:val="auto"/>
        </w:rPr>
      </w:pPr>
      <w:r>
        <w:rPr>
          <w:rFonts w:ascii="Times New Roman" w:cs="Times New Roman" w:eastAsia="Times New Roman" w:hAnsi="Times New Roman"/>
          <w:sz w:val="18"/>
          <w:szCs w:val="18"/>
          <w:color w:val="auto"/>
        </w:rPr>
        <w:t>Where relevant, the expected life used in the model has been adjusted based on management’s best estimate for the effects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transferability, exercise restrictions (including the probability of meeting conditions attached to the option), and behavioral considerations. Expected volatility is based on the historical share price volatility over the past 4 or 5 years.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Risk free</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per ADS</w:t>
            </w:r>
          </w:p>
        </w:tc>
        <w:tc>
          <w:tcPr>
            <w:tcW w:w="220" w:type="dxa"/>
            <w:vAlign w:val="bottom"/>
          </w:tcPr>
          <w:p>
            <w:pPr>
              <w:spacing w:after="0"/>
              <w:rPr>
                <w:sz w:val="12"/>
                <w:szCs w:val="12"/>
                <w:color w:val="auto"/>
              </w:rPr>
            </w:pPr>
          </w:p>
        </w:tc>
        <w:tc>
          <w:tcPr>
            <w:tcW w:w="118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ADS Option</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200" w:type="dxa"/>
            <w:vAlign w:val="bottom"/>
            <w:gridSpan w:val="2"/>
            <w:vMerge w:val="continue"/>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Model</w:t>
            </w:r>
          </w:p>
        </w:tc>
        <w:tc>
          <w:tcPr>
            <w:tcW w:w="0" w:type="dxa"/>
            <w:vAlign w:val="bottom"/>
          </w:tcPr>
          <w:p>
            <w:pPr>
              <w:spacing w:after="0"/>
              <w:rPr>
                <w:sz w:val="1"/>
                <w:szCs w:val="1"/>
                <w:color w:val="auto"/>
              </w:rPr>
            </w:pPr>
          </w:p>
        </w:tc>
      </w:tr>
      <w:tr>
        <w:trPr>
          <w:trHeight w:val="148"/>
        </w:trPr>
        <w:tc>
          <w:tcPr>
            <w:tcW w:w="238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ADS Options</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share price</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6"/>
                <w:szCs w:val="16"/>
                <w:color w:val="auto"/>
              </w:rPr>
            </w:pP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volatility</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0" w:type="dxa"/>
            <w:vAlign w:val="bottom"/>
          </w:tcPr>
          <w:p>
            <w:pPr>
              <w:spacing w:after="0"/>
              <w:rPr>
                <w:sz w:val="16"/>
                <w:szCs w:val="16"/>
                <w:color w:val="auto"/>
              </w:rPr>
            </w:pPr>
          </w:p>
        </w:tc>
        <w:tc>
          <w:tcPr>
            <w:tcW w:w="11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20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rate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used</w:t>
            </w:r>
          </w:p>
        </w:tc>
        <w:tc>
          <w:tcPr>
            <w:tcW w:w="0" w:type="dxa"/>
            <w:vAlign w:val="bottom"/>
          </w:tcPr>
          <w:p>
            <w:pPr>
              <w:spacing w:after="0"/>
              <w:rPr>
                <w:sz w:val="1"/>
                <w:szCs w:val="1"/>
                <w:color w:val="auto"/>
              </w:rPr>
            </w:pPr>
          </w:p>
        </w:tc>
      </w:tr>
      <w:tr>
        <w:trPr>
          <w:trHeight w:val="213"/>
        </w:trPr>
        <w:tc>
          <w:tcPr>
            <w:tcW w:w="238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LTIP - employee 2022</w:t>
            </w: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7.240</w:t>
            </w:r>
          </w:p>
        </w:tc>
        <w:tc>
          <w:tcPr>
            <w:tcW w:w="2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7.625</w:t>
            </w:r>
          </w:p>
        </w:tc>
        <w:tc>
          <w:tcPr>
            <w:tcW w:w="2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4.970</w:t>
            </w:r>
          </w:p>
        </w:tc>
        <w:tc>
          <w:tcPr>
            <w:tcW w:w="22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 2022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5.228</w:t>
            </w:r>
          </w:p>
        </w:tc>
        <w:tc>
          <w:tcPr>
            <w:tcW w:w="14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 2022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4.116</w:t>
            </w:r>
          </w:p>
        </w:tc>
        <w:tc>
          <w:tcPr>
            <w:tcW w:w="14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1.70 %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 2022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14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 2022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7.116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4.953</w:t>
            </w:r>
          </w:p>
        </w:tc>
        <w:tc>
          <w:tcPr>
            <w:tcW w:w="14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2.90 %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 2022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7.309</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5.175</w:t>
            </w:r>
          </w:p>
        </w:tc>
        <w:tc>
          <w:tcPr>
            <w:tcW w:w="14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 2022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5.522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3.886</w:t>
            </w:r>
          </w:p>
        </w:tc>
        <w:tc>
          <w:tcPr>
            <w:tcW w:w="14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3.40 %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 2023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4.718</w:t>
            </w:r>
          </w:p>
        </w:tc>
        <w:tc>
          <w:tcPr>
            <w:tcW w:w="14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 2023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4.810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3.479</w:t>
            </w:r>
          </w:p>
        </w:tc>
        <w:tc>
          <w:tcPr>
            <w:tcW w:w="14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4.30 %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 2023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14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 2023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4.959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4.929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3.560</w:t>
            </w:r>
          </w:p>
        </w:tc>
        <w:tc>
          <w:tcPr>
            <w:tcW w:w="14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3.60 %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 2023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5.238</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3.935</w:t>
            </w:r>
          </w:p>
        </w:tc>
        <w:tc>
          <w:tcPr>
            <w:tcW w:w="14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 2023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5.030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5.150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3.602</w:t>
            </w:r>
          </w:p>
        </w:tc>
        <w:tc>
          <w:tcPr>
            <w:tcW w:w="14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3.80 %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 2023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14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3"/>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 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4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67.50 %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years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4.90 %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47"/>
        </w:trPr>
        <w:tc>
          <w:tcPr>
            <w:tcW w:w="2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 2024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0.691</w:t>
            </w:r>
          </w:p>
        </w:tc>
        <w:tc>
          <w:tcPr>
            <w:tcW w:w="14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67.50 %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 years</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3"/>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 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4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67.50 %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years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4.70 %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47"/>
        </w:trPr>
        <w:tc>
          <w:tcPr>
            <w:tcW w:w="2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 2024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4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67.50 %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3"/>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 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14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67.50 %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4.50 %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47"/>
        </w:trPr>
        <w:tc>
          <w:tcPr>
            <w:tcW w:w="2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 2024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14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71.71 %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 years</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3.81 %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 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2.740</w:t>
            </w:r>
          </w:p>
        </w:tc>
        <w:tc>
          <w:tcPr>
            <w:tcW w:w="14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71.64 %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years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4.34 %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 2024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3.160</w:t>
            </w:r>
          </w:p>
        </w:tc>
        <w:tc>
          <w:tcPr>
            <w:tcW w:w="14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70.68 %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 years</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4.34 %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 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3.950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3.950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14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70.68 %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years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4.34 %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 2024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14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70.72 %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 years</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4.43 %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 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14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70.76 %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years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4.65 %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 2024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4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69.85 %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 years</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4.41 %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(d)Movements in share options during the year</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reconciles the share/rights options outstanding at the beginning and end of the year:</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Pr>
          <w:p>
            <w:pPr>
              <w:spacing w:after="0"/>
              <w:rPr>
                <w:sz w:val="18"/>
                <w:szCs w:val="18"/>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3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1"/>
                <w:szCs w:val="11"/>
                <w:color w:val="auto"/>
              </w:rPr>
            </w:pPr>
          </w:p>
        </w:tc>
        <w:tc>
          <w:tcPr>
            <w:tcW w:w="1320" w:type="dxa"/>
            <w:vAlign w:val="bottom"/>
            <w:tcBorders>
              <w:top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1"/>
                <w:szCs w:val="11"/>
                <w:color w:val="auto"/>
              </w:rPr>
            </w:pPr>
          </w:p>
        </w:tc>
        <w:tc>
          <w:tcPr>
            <w:tcW w:w="1480" w:type="dxa"/>
            <w:vAlign w:val="bottom"/>
            <w:tcBorders>
              <w:top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6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87"/>
        </w:trPr>
        <w:tc>
          <w:tcPr>
            <w:tcW w:w="3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4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price US$</w:t>
            </w:r>
          </w:p>
        </w:tc>
        <w:tc>
          <w:tcPr>
            <w:tcW w:w="26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2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price US$</w:t>
            </w:r>
          </w:p>
        </w:tc>
        <w:tc>
          <w:tcPr>
            <w:tcW w:w="20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price 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25,450,000</w:t>
            </w: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22,988,000</w:t>
            </w: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16,644,000</w:t>
            </w: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Granted during the year:</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 employees and directors under the</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LTIP and NED Plan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9,850,000</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10,050,000</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8,400,000</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(6,613,000 )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6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(2,056,000 )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Expired during the year</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(975,000 )</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500" w:type="dxa"/>
            <w:vAlign w:val="bottom"/>
            <w:tcBorders>
              <w:top w:val="single" w:sz="8" w:color="CFF0FC"/>
            </w:tcBorders>
            <w:gridSpan w:val="2"/>
          </w:tcPr>
          <w:p>
            <w:pPr>
              <w:ind w:left="30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35,300,000</w:t>
            </w:r>
          </w:p>
        </w:tc>
        <w:tc>
          <w:tcPr>
            <w:tcW w:w="240" w:type="dxa"/>
            <w:vAlign w:val="bottom"/>
            <w:tcBorders>
              <w:top w:val="single" w:sz="8" w:color="CFF0FC"/>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260" w:type="dxa"/>
            <w:vAlign w:val="bottom"/>
            <w:tcBorders>
              <w:top w:val="single" w:sz="8" w:color="CFF0FC"/>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25,450,000</w:t>
            </w:r>
          </w:p>
        </w:tc>
        <w:tc>
          <w:tcPr>
            <w:tcW w:w="220" w:type="dxa"/>
            <w:vAlign w:val="bottom"/>
            <w:tcBorders>
              <w:top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Borders>
              <w:top w:val="single" w:sz="8" w:color="CFF0FC"/>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22,988,000</w:t>
            </w:r>
          </w:p>
        </w:tc>
        <w:tc>
          <w:tcPr>
            <w:tcW w:w="220" w:type="dxa"/>
            <w:vAlign w:val="bottom"/>
            <w:tcBorders>
              <w:top w:val="single" w:sz="8" w:color="CFF0FC"/>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20,024,203</w:t>
            </w:r>
          </w:p>
        </w:tc>
        <w:tc>
          <w:tcPr>
            <w:tcW w:w="2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10,842,234</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12,857,589</w:t>
            </w:r>
          </w:p>
        </w:tc>
        <w:tc>
          <w:tcPr>
            <w:tcW w:w="2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-351155</wp:posOffset>
            </wp:positionV>
            <wp:extent cx="7683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-351155</wp:posOffset>
            </wp:positionV>
            <wp:extent cx="7683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-351155</wp:posOffset>
            </wp:positionV>
            <wp:extent cx="6858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-351155</wp:posOffset>
            </wp:positionV>
            <wp:extent cx="6858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-351155</wp:posOffset>
            </wp:positionV>
            <wp:extent cx="6858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-8255</wp:posOffset>
            </wp:positionV>
            <wp:extent cx="7683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-8255</wp:posOffset>
            </wp:positionV>
            <wp:extent cx="7683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-8255</wp:posOffset>
            </wp:positionV>
            <wp:extent cx="6858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6858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-8255</wp:posOffset>
            </wp:positionV>
            <wp:extent cx="6858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share options outstanding at the end of the year had a weighted average exercise price of US $1.18 (2023: US$1.48, 2022: US$0.97) and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remaining contractual life of 507 days (2023: 555 days, 2022: 567 days).</w:t>
      </w:r>
    </w:p>
    <w:p>
      <w:pPr>
        <w:sectPr>
          <w:pgSz w:w="11900" w:h="16838" w:orient="portrait"/>
          <w:cols w:equalWidth="0" w:num="1">
            <w:col w:w="11240"/>
          </w:cols>
          <w:pgMar w:left="320" w:top="765" w:right="339" w:bottom="8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891" w:gutter="0" w:footer="0" w:header="0"/>
          <w:type w:val="continuous"/>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Movements in ADS options during the year</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reconciles the ADS options outstanding at the beginning and end of the year:</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3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1"/>
                <w:szCs w:val="11"/>
                <w:color w:val="auto"/>
              </w:rPr>
            </w:pPr>
          </w:p>
        </w:tc>
        <w:tc>
          <w:tcPr>
            <w:tcW w:w="100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gridSpan w:val="6"/>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4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1"/>
                <w:szCs w:val="11"/>
                <w:color w:val="auto"/>
              </w:rPr>
            </w:pPr>
          </w:p>
        </w:tc>
        <w:tc>
          <w:tcPr>
            <w:tcW w:w="96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2"/>
                <w:szCs w:val="12"/>
                <w:color w:val="auto"/>
              </w:rPr>
            </w:pPr>
          </w:p>
        </w:tc>
        <w:tc>
          <w:tcPr>
            <w:tcW w:w="1640" w:type="dxa"/>
            <w:vAlign w:val="bottom"/>
            <w:gridSpan w:val="6"/>
            <w:vMerge w:val="continue"/>
          </w:tcPr>
          <w:p>
            <w:pPr>
              <w:spacing w:after="0"/>
              <w:rPr>
                <w:sz w:val="12"/>
                <w:szCs w:val="12"/>
                <w:color w:val="auto"/>
              </w:rPr>
            </w:pPr>
          </w:p>
        </w:tc>
        <w:tc>
          <w:tcPr>
            <w:tcW w:w="860" w:type="dxa"/>
            <w:vAlign w:val="bottom"/>
            <w:gridSpan w:val="4"/>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20" w:type="dxa"/>
            <w:vAlign w:val="bottom"/>
          </w:tcPr>
          <w:p>
            <w:pPr>
              <w:spacing w:after="0"/>
              <w:rPr>
                <w:sz w:val="12"/>
                <w:szCs w:val="12"/>
                <w:color w:val="auto"/>
              </w:rPr>
            </w:pPr>
          </w:p>
        </w:tc>
        <w:tc>
          <w:tcPr>
            <w:tcW w:w="124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 w:type="dxa"/>
            <w:vAlign w:val="bottom"/>
          </w:tcPr>
          <w:p>
            <w:pPr>
              <w:spacing w:after="0"/>
              <w:rPr>
                <w:sz w:val="12"/>
                <w:szCs w:val="12"/>
                <w:color w:val="auto"/>
              </w:rPr>
            </w:pPr>
          </w:p>
        </w:tc>
        <w:tc>
          <w:tcPr>
            <w:tcW w:w="1640" w:type="dxa"/>
            <w:vAlign w:val="bottom"/>
            <w:gridSpan w:val="6"/>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860" w:type="dxa"/>
            <w:vAlign w:val="bottom"/>
            <w:gridSpan w:val="4"/>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 w:type="dxa"/>
            <w:vAlign w:val="bottom"/>
          </w:tcPr>
          <w:p>
            <w:pPr>
              <w:spacing w:after="0"/>
              <w:rPr>
                <w:sz w:val="12"/>
                <w:szCs w:val="12"/>
                <w:color w:val="auto"/>
              </w:rPr>
            </w:pPr>
          </w:p>
        </w:tc>
        <w:tc>
          <w:tcPr>
            <w:tcW w:w="140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0"/>
        </w:trPr>
        <w:tc>
          <w:tcPr>
            <w:tcW w:w="3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0" w:type="dxa"/>
            <w:vAlign w:val="bottom"/>
          </w:tcPr>
          <w:p>
            <w:pPr>
              <w:spacing w:after="0"/>
              <w:rPr>
                <w:sz w:val="16"/>
                <w:szCs w:val="16"/>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price US$</w:t>
            </w:r>
          </w:p>
        </w:tc>
        <w:tc>
          <w:tcPr>
            <w:tcW w:w="40" w:type="dxa"/>
            <w:vAlign w:val="bottom"/>
          </w:tcPr>
          <w:p>
            <w:pPr>
              <w:spacing w:after="0"/>
              <w:rPr>
                <w:sz w:val="16"/>
                <w:szCs w:val="16"/>
                <w:color w:val="auto"/>
              </w:rPr>
            </w:pPr>
          </w:p>
        </w:tc>
        <w:tc>
          <w:tcPr>
            <w:tcW w:w="164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8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price US$</w:t>
            </w:r>
          </w:p>
        </w:tc>
        <w:tc>
          <w:tcPr>
            <w:tcW w:w="40" w:type="dxa"/>
            <w:vAlign w:val="bottom"/>
          </w:tcPr>
          <w:p>
            <w:pPr>
              <w:spacing w:after="0"/>
              <w:rPr>
                <w:sz w:val="16"/>
                <w:szCs w:val="16"/>
                <w:color w:val="auto"/>
              </w:rPr>
            </w:pP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price US$</w:t>
            </w:r>
          </w:p>
        </w:tc>
        <w:tc>
          <w:tcPr>
            <w:tcW w:w="0" w:type="dxa"/>
            <w:vAlign w:val="bottom"/>
          </w:tcPr>
          <w:p>
            <w:pPr>
              <w:spacing w:after="0"/>
              <w:rPr>
                <w:sz w:val="1"/>
                <w:szCs w:val="1"/>
                <w:color w:val="auto"/>
              </w:rPr>
            </w:pPr>
          </w:p>
        </w:tc>
      </w:tr>
      <w:tr>
        <w:trPr>
          <w:trHeight w:val="374"/>
        </w:trPr>
        <w:tc>
          <w:tcPr>
            <w:tcW w:w="3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8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1,505,000</w:t>
            </w: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4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Granted during the year:</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48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 employees and directors under the</w:t>
            </w: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480" w:type="dxa"/>
            <w:vAlign w:val="bottom"/>
            <w:gridSpan w:val="3"/>
            <w:vMerge w:val="restart"/>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LTIP and NED Plan</w:t>
            </w:r>
          </w:p>
        </w:tc>
        <w:tc>
          <w:tcPr>
            <w:tcW w:w="1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4,768,000</w:t>
            </w:r>
          </w:p>
        </w:tc>
        <w:tc>
          <w:tcPr>
            <w:tcW w:w="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755,000</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2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80" w:type="dxa"/>
            <w:vAlign w:val="bottom"/>
            <w:gridSpan w:val="3"/>
            <w:vMerge w:val="continue"/>
            <w:shd w:val="clear" w:color="auto" w:fill="CFF0FC"/>
          </w:tcPr>
          <w:p>
            <w:pPr>
              <w:spacing w:after="0"/>
              <w:rPr>
                <w:sz w:val="10"/>
                <w:szCs w:val="10"/>
                <w:color w:val="auto"/>
              </w:rPr>
            </w:pPr>
          </w:p>
        </w:tc>
        <w:tc>
          <w:tcPr>
            <w:tcW w:w="1140" w:type="dxa"/>
            <w:vAlign w:val="bottom"/>
            <w:gridSpan w:val="2"/>
            <w:vMerge w:val="continue"/>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20" w:type="dxa"/>
            <w:vAlign w:val="bottom"/>
            <w:gridSpan w:val="2"/>
            <w:vMerge w:val="continue"/>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640" w:type="dxa"/>
            <w:vAlign w:val="bottom"/>
            <w:vMerge w:val="continue"/>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3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20" w:type="dxa"/>
            <w:vAlign w:val="bottom"/>
          </w:tcPr>
          <w:p>
            <w:pPr>
              <w:spacing w:after="0"/>
              <w:rPr>
                <w:sz w:val="20"/>
                <w:szCs w:val="20"/>
                <w:color w:val="auto"/>
              </w:rPr>
            </w:pP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64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348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Expired during the year</w:t>
            </w:r>
          </w:p>
        </w:tc>
        <w:tc>
          <w:tcPr>
            <w:tcW w:w="138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(525,000 )</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(175,000 )</w:t>
            </w:r>
          </w:p>
        </w:tc>
        <w:tc>
          <w:tcPr>
            <w:tcW w:w="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4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80" w:type="dxa"/>
            <w:vAlign w:val="bottom"/>
            <w:tcBorders>
              <w:top w:val="single" w:sz="8" w:color="CFF0FC"/>
            </w:tcBorders>
            <w:gridSpan w:val="3"/>
          </w:tcPr>
          <w:p>
            <w:pPr>
              <w:ind w:left="30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5,748,000</w:t>
            </w:r>
          </w:p>
        </w:tc>
        <w:tc>
          <w:tcPr>
            <w:tcW w:w="20" w:type="dxa"/>
            <w:vAlign w:val="bottom"/>
            <w:tcBorders>
              <w:top w:val="single" w:sz="8" w:color="CFF0FC"/>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tcBorders>
              <w:top w:val="single" w:sz="8" w:color="CFF0FC"/>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1,505,000</w:t>
            </w:r>
          </w:p>
        </w:tc>
        <w:tc>
          <w:tcPr>
            <w:tcW w:w="4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60" w:type="dxa"/>
            <w:vAlign w:val="bottom"/>
            <w:tcBorders>
              <w:top w:val="single" w:sz="8" w:color="CFF0FC"/>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4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60" w:type="dxa"/>
            <w:vAlign w:val="bottom"/>
            <w:tcBorders>
              <w:top w:val="single" w:sz="8" w:color="CFF0FC"/>
            </w:tcBorders>
          </w:tcPr>
          <w:p>
            <w:pPr>
              <w:spacing w:after="0"/>
              <w:rPr>
                <w:sz w:val="21"/>
                <w:szCs w:val="21"/>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80" w:type="dxa"/>
            <w:vAlign w:val="bottom"/>
            <w:tcBorders>
              <w:top w:val="single" w:sz="8" w:color="CFF0FC"/>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Borders>
              <w:bottom w:val="single" w:sz="8" w:color="CFF0FC"/>
            </w:tcBorders>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537,914</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860" w:type="dxa"/>
            <w:vAlign w:val="bottom"/>
            <w:gridSpan w:val="7"/>
          </w:tcPr>
          <w:p>
            <w:pPr>
              <w:ind w:left="380"/>
              <w:spacing w:after="0"/>
              <w:rPr>
                <w:sz w:val="20"/>
                <w:szCs w:val="20"/>
                <w:color w:val="auto"/>
              </w:rPr>
            </w:pPr>
            <w:r>
              <w:rPr>
                <w:rFonts w:ascii="Times New Roman" w:cs="Times New Roman" w:eastAsia="Times New Roman" w:hAnsi="Times New Roman"/>
                <w:sz w:val="18"/>
                <w:szCs w:val="18"/>
                <w:b w:val="1"/>
                <w:bCs w:val="1"/>
                <w:color w:val="auto"/>
              </w:rPr>
              <w:t>Movements in contractor ADS options during the year</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0" w:type="dxa"/>
            <w:vAlign w:val="bottom"/>
            <w:gridSpan w:val="18"/>
          </w:tcPr>
          <w:p>
            <w:pPr>
              <w:ind w:left="380"/>
              <w:spacing w:after="0"/>
              <w:rPr>
                <w:sz w:val="20"/>
                <w:szCs w:val="20"/>
                <w:color w:val="auto"/>
              </w:rPr>
            </w:pPr>
            <w:r>
              <w:rPr>
                <w:rFonts w:ascii="Times New Roman" w:cs="Times New Roman" w:eastAsia="Times New Roman" w:hAnsi="Times New Roman"/>
                <w:sz w:val="18"/>
                <w:szCs w:val="18"/>
                <w:color w:val="auto"/>
              </w:rPr>
              <w:t>The following reconciles the contractor ADS options outstanding at the beginning and end of the year:</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Borders>
              <w:top w:val="single" w:sz="8" w:color="auto"/>
            </w:tcBorders>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tcBorders>
              <w:top w:val="single" w:sz="8" w:color="auto"/>
            </w:tcBorders>
            <w:gridSpan w:val="6"/>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Borders>
              <w:top w:val="single" w:sz="8" w:color="auto"/>
            </w:tcBorders>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tcBorders>
              <w:top w:val="single" w:sz="8" w:color="auto"/>
            </w:tcBorders>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2"/>
                <w:szCs w:val="12"/>
                <w:color w:val="auto"/>
              </w:rPr>
            </w:pPr>
          </w:p>
        </w:tc>
        <w:tc>
          <w:tcPr>
            <w:tcW w:w="1640" w:type="dxa"/>
            <w:vAlign w:val="bottom"/>
            <w:gridSpan w:val="6"/>
            <w:vMerge w:val="continue"/>
          </w:tcPr>
          <w:p>
            <w:pPr>
              <w:spacing w:after="0"/>
              <w:rPr>
                <w:sz w:val="12"/>
                <w:szCs w:val="12"/>
                <w:color w:val="auto"/>
              </w:rPr>
            </w:pPr>
          </w:p>
        </w:tc>
        <w:tc>
          <w:tcPr>
            <w:tcW w:w="860" w:type="dxa"/>
            <w:vAlign w:val="bottom"/>
            <w:gridSpan w:val="4"/>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20" w:type="dxa"/>
            <w:vAlign w:val="bottom"/>
          </w:tcPr>
          <w:p>
            <w:pPr>
              <w:spacing w:after="0"/>
              <w:rPr>
                <w:sz w:val="12"/>
                <w:szCs w:val="12"/>
                <w:color w:val="auto"/>
              </w:rPr>
            </w:pPr>
          </w:p>
        </w:tc>
        <w:tc>
          <w:tcPr>
            <w:tcW w:w="12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 w:type="dxa"/>
            <w:vAlign w:val="bottom"/>
          </w:tcPr>
          <w:p>
            <w:pPr>
              <w:spacing w:after="0"/>
              <w:rPr>
                <w:sz w:val="12"/>
                <w:szCs w:val="12"/>
                <w:color w:val="auto"/>
              </w:rPr>
            </w:pPr>
          </w:p>
        </w:tc>
        <w:tc>
          <w:tcPr>
            <w:tcW w:w="1640" w:type="dxa"/>
            <w:vAlign w:val="bottom"/>
            <w:gridSpan w:val="6"/>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860" w:type="dxa"/>
            <w:vAlign w:val="bottom"/>
            <w:gridSpan w:val="4"/>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 w:type="dxa"/>
            <w:vAlign w:val="bottom"/>
          </w:tcPr>
          <w:p>
            <w:pPr>
              <w:spacing w:after="0"/>
              <w:rPr>
                <w:sz w:val="12"/>
                <w:szCs w:val="12"/>
                <w:color w:val="auto"/>
              </w:rPr>
            </w:pPr>
          </w:p>
        </w:tc>
        <w:tc>
          <w:tcPr>
            <w:tcW w:w="14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0"/>
        </w:trPr>
        <w:tc>
          <w:tcPr>
            <w:tcW w:w="3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0" w:type="dxa"/>
            <w:vAlign w:val="bottom"/>
          </w:tcPr>
          <w:p>
            <w:pPr>
              <w:spacing w:after="0"/>
              <w:rPr>
                <w:sz w:val="16"/>
                <w:szCs w:val="16"/>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price US$</w:t>
            </w:r>
          </w:p>
        </w:tc>
        <w:tc>
          <w:tcPr>
            <w:tcW w:w="40" w:type="dxa"/>
            <w:vAlign w:val="bottom"/>
          </w:tcPr>
          <w:p>
            <w:pPr>
              <w:spacing w:after="0"/>
              <w:rPr>
                <w:sz w:val="16"/>
                <w:szCs w:val="16"/>
                <w:color w:val="auto"/>
              </w:rPr>
            </w:pPr>
          </w:p>
        </w:tc>
        <w:tc>
          <w:tcPr>
            <w:tcW w:w="16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8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price US$</w:t>
            </w:r>
          </w:p>
        </w:tc>
        <w:tc>
          <w:tcPr>
            <w:tcW w:w="40" w:type="dxa"/>
            <w:vAlign w:val="bottom"/>
          </w:tcPr>
          <w:p>
            <w:pPr>
              <w:spacing w:after="0"/>
              <w:rPr>
                <w:sz w:val="16"/>
                <w:szCs w:val="16"/>
                <w:color w:val="auto"/>
              </w:rPr>
            </w:pP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price US$</w:t>
            </w:r>
          </w:p>
        </w:tc>
        <w:tc>
          <w:tcPr>
            <w:tcW w:w="0" w:type="dxa"/>
            <w:vAlign w:val="bottom"/>
          </w:tcPr>
          <w:p>
            <w:pPr>
              <w:spacing w:after="0"/>
              <w:rPr>
                <w:sz w:val="1"/>
                <w:szCs w:val="1"/>
                <w:color w:val="auto"/>
              </w:rPr>
            </w:pPr>
          </w:p>
        </w:tc>
      </w:tr>
      <w:tr>
        <w:trPr>
          <w:trHeight w:val="375"/>
        </w:trPr>
        <w:tc>
          <w:tcPr>
            <w:tcW w:w="3380" w:type="dxa"/>
            <w:vAlign w:val="bottom"/>
            <w:tcBorders>
              <w:bottom w:val="single" w:sz="8" w:color="auto"/>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Borders>
              <w:bottom w:val="single" w:sz="8" w:color="auto"/>
            </w:tcBorders>
            <w:gridSpan w:val="2"/>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bottom w:val="single" w:sz="8" w:color="auto"/>
            </w:tcBorders>
            <w:gridSpan w:val="2"/>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Borders>
              <w:bottom w:val="single" w:sz="8" w:color="auto"/>
            </w:tcBorders>
            <w:gridSpan w:val="2"/>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8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0" w:type="dxa"/>
            <w:vAlign w:val="bottom"/>
            <w:shd w:val="clear" w:color="auto" w:fill="CFF0FC"/>
          </w:tcPr>
          <w:p>
            <w:pPr>
              <w:spacing w:after="0"/>
              <w:rPr>
                <w:sz w:val="22"/>
                <w:szCs w:val="22"/>
                <w:color w:val="auto"/>
              </w:rPr>
            </w:pPr>
          </w:p>
        </w:tc>
        <w:tc>
          <w:tcPr>
            <w:tcW w:w="13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2"/>
                <w:szCs w:val="22"/>
                <w:color w:val="auto"/>
              </w:rPr>
            </w:pPr>
          </w:p>
        </w:tc>
        <w:tc>
          <w:tcPr>
            <w:tcW w:w="12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2"/>
                <w:szCs w:val="22"/>
                <w:color w:val="auto"/>
              </w:rPr>
            </w:pPr>
          </w:p>
        </w:tc>
        <w:tc>
          <w:tcPr>
            <w:tcW w:w="1640" w:type="dxa"/>
            <w:vAlign w:val="bottom"/>
            <w:gridSpan w:val="6"/>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2"/>
                <w:szCs w:val="22"/>
                <w:color w:val="auto"/>
              </w:rPr>
            </w:pPr>
          </w:p>
        </w:tc>
        <w:tc>
          <w:tcPr>
            <w:tcW w:w="14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Granted during the year:</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48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 contractors under additional terms</w:t>
            </w: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277,000</w:t>
            </w:r>
          </w:p>
        </w:tc>
        <w:tc>
          <w:tcPr>
            <w:tcW w:w="220" w:type="dxa"/>
            <w:vAlign w:val="bottom"/>
            <w:shd w:val="clear" w:color="auto" w:fill="CFF0FC"/>
          </w:tcPr>
          <w:p>
            <w:pPr>
              <w:spacing w:after="0"/>
              <w:rPr>
                <w:sz w:val="23"/>
                <w:szCs w:val="23"/>
                <w:color w:val="auto"/>
              </w:rPr>
            </w:pP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1640" w:type="dxa"/>
            <w:vAlign w:val="bottom"/>
            <w:gridSpan w:val="6"/>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3"/>
                <w:szCs w:val="23"/>
                <w:color w:val="auto"/>
              </w:rPr>
            </w:pPr>
          </w:p>
        </w:tc>
        <w:tc>
          <w:tcPr>
            <w:tcW w:w="14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3"/>
                <w:szCs w:val="23"/>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20" w:type="dxa"/>
            <w:vAlign w:val="bottom"/>
          </w:tcPr>
          <w:p>
            <w:pPr>
              <w:spacing w:after="0"/>
              <w:rPr>
                <w:sz w:val="20"/>
                <w:szCs w:val="20"/>
                <w:color w:val="auto"/>
              </w:rPr>
            </w:pP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64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3480" w:type="dxa"/>
            <w:vAlign w:val="bottom"/>
            <w:tcBorders>
              <w:bottom w:val="single" w:sz="8" w:color="CFF0FC"/>
            </w:tcBorders>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Expired during the year</w:t>
            </w:r>
          </w:p>
        </w:tc>
        <w:tc>
          <w:tcPr>
            <w:tcW w:w="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gridSpan w:val="3"/>
            <w:shd w:val="clear" w:color="auto" w:fill="CFF0FC"/>
          </w:tcPr>
          <w:p>
            <w:pPr>
              <w:spacing w:after="0"/>
              <w:rPr>
                <w:sz w:val="22"/>
                <w:szCs w:val="22"/>
                <w:color w:val="auto"/>
              </w:rPr>
            </w:pP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gridSpan w:val="2"/>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20" w:type="dxa"/>
            <w:vAlign w:val="bottom"/>
          </w:tcPr>
          <w:p>
            <w:pPr>
              <w:spacing w:after="0"/>
              <w:rPr>
                <w:sz w:val="21"/>
                <w:szCs w:val="21"/>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277,000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20" w:type="dxa"/>
            <w:vAlign w:val="bottom"/>
            <w:tcBorders>
              <w:bottom w:val="single" w:sz="8" w:color="auto"/>
            </w:tcBorders>
            <w:gridSpan w:val="3"/>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480" w:type="dxa"/>
            <w:vAlign w:val="bottom"/>
            <w:tcBorders>
              <w:bottom w:val="single" w:sz="8" w:color="CFF0FC"/>
            </w:tcBorders>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39,220</w:t>
            </w: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gridSpan w:val="3"/>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64"/>
        </w:trPr>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F-47</w:t>
            </w: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-4011295</wp:posOffset>
            </wp:positionV>
            <wp:extent cx="7747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-4011295</wp:posOffset>
            </wp:positionV>
            <wp:extent cx="7747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-4011295</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-4011295</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-4011295</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-4011295</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-3676650</wp:posOffset>
            </wp:positionV>
            <wp:extent cx="7747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-3676650</wp:posOffset>
            </wp:positionV>
            <wp:extent cx="7747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-3676650</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-3676650</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-3676650</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-3676650</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-1388110</wp:posOffset>
            </wp:positionV>
            <wp:extent cx="7683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-1388110</wp:posOffset>
            </wp:positionV>
            <wp:extent cx="7683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-1388110</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-1388110</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-1388110</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-1053465</wp:posOffset>
            </wp:positionV>
            <wp:extent cx="7683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-1053465</wp:posOffset>
            </wp:positionV>
            <wp:extent cx="7683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-1053465</wp:posOffset>
            </wp:positionV>
            <wp:extent cx="6858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-1053465</wp:posOffset>
            </wp:positionV>
            <wp:extent cx="6858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-1053465</wp:posOffset>
            </wp:positionV>
            <wp:extent cx="6858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5" w:name="page226"/>
    <w:bookmarkEnd w:id="2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39. Events After the Balance Sheet Date</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414042"/>
        </w:rPr>
        <w:t>On July 15, 2024, Opthea announced the completion of the Retail Entitlement offer raising approximately A$55.9 million (US$37.6 million). An additional 139.6 million shares were issued and the listing of 189.4 million 2024 investor options with an exercise price of A$1.00 and with an expiry of June 30, 2026.</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Besides the above-mentioned subsequent events, no matters or circumstances have arisen since the end of the reporting period, which significantly affected, or may significantly affect, the operations of the Group, the results of those operations, or the state of affairs of the Group in future financial years.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Frederic Guerard, certify that:</w:t>
      </w:r>
    </w:p>
    <w:p>
      <w:pPr>
        <w:spacing w:after="0" w:line="108" w:lineRule="exact"/>
        <w:rPr>
          <w:sz w:val="20"/>
          <w:szCs w:val="20"/>
          <w:color w:val="auto"/>
        </w:rPr>
      </w:pPr>
    </w:p>
    <w:p>
      <w:pPr>
        <w:ind w:left="960" w:hanging="203"/>
        <w:spacing w:after="0"/>
        <w:tabs>
          <w:tab w:leader="none" w:pos="96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Amendment No. 1 to the annual report on Form 20-F/A of Opthea Limited;</w:t>
      </w:r>
    </w:p>
    <w:p>
      <w:pPr>
        <w:spacing w:after="0" w:line="107" w:lineRule="exact"/>
        <w:rPr>
          <w:rFonts w:ascii="Times New Roman" w:cs="Times New Roman" w:eastAsia="Times New Roman" w:hAnsi="Times New Roman"/>
          <w:sz w:val="20"/>
          <w:szCs w:val="20"/>
          <w:color w:val="auto"/>
        </w:rPr>
      </w:pPr>
    </w:p>
    <w:p>
      <w:pPr>
        <w:ind w:left="960" w:right="340" w:hanging="203"/>
        <w:spacing w:after="0" w:line="254" w:lineRule="auto"/>
        <w:tabs>
          <w:tab w:leader="none" w:pos="963"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20"/>
          <w:szCs w:val="20"/>
          <w:color w:val="auto"/>
        </w:rPr>
      </w:pPr>
    </w:p>
    <w:p>
      <w:pPr>
        <w:ind w:left="960" w:right="40" w:hanging="203"/>
        <w:spacing w:after="0" w:line="254" w:lineRule="auto"/>
        <w:tabs>
          <w:tab w:leader="none" w:pos="963"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6" w:lineRule="exact"/>
        <w:rPr>
          <w:rFonts w:ascii="Times New Roman" w:cs="Times New Roman" w:eastAsia="Times New Roman" w:hAnsi="Times New Roman"/>
          <w:sz w:val="20"/>
          <w:szCs w:val="20"/>
          <w:color w:val="auto"/>
        </w:rPr>
      </w:pPr>
    </w:p>
    <w:p>
      <w:pPr>
        <w:ind w:left="960" w:right="140" w:hanging="203"/>
        <w:spacing w:after="0" w:line="254" w:lineRule="auto"/>
        <w:tabs>
          <w:tab w:leader="none" w:pos="963"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6" w:lineRule="exact"/>
        <w:rPr>
          <w:rFonts w:ascii="Times New Roman" w:cs="Times New Roman" w:eastAsia="Times New Roman" w:hAnsi="Times New Roman"/>
          <w:sz w:val="20"/>
          <w:szCs w:val="20"/>
          <w:color w:val="auto"/>
        </w:rPr>
      </w:pPr>
    </w:p>
    <w:p>
      <w:pPr>
        <w:ind w:left="1320" w:right="100" w:hanging="369"/>
        <w:spacing w:after="0" w:line="254" w:lineRule="auto"/>
        <w:tabs>
          <w:tab w:leader="none" w:pos="132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66" w:lineRule="exact"/>
        <w:rPr>
          <w:rFonts w:ascii="Times New Roman" w:cs="Times New Roman" w:eastAsia="Times New Roman" w:hAnsi="Times New Roman"/>
          <w:sz w:val="20"/>
          <w:szCs w:val="20"/>
          <w:color w:val="auto"/>
        </w:rPr>
      </w:pPr>
    </w:p>
    <w:p>
      <w:pPr>
        <w:ind w:left="1320" w:right="540" w:hanging="369"/>
        <w:spacing w:after="0" w:line="274" w:lineRule="auto"/>
        <w:tabs>
          <w:tab w:leader="none" w:pos="1320" w:val="left"/>
        </w:tabs>
        <w:numPr>
          <w:ilvl w:val="1"/>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Times New Roman" w:cs="Times New Roman" w:eastAsia="Times New Roman" w:hAnsi="Times New Roman"/>
          <w:sz w:val="19"/>
          <w:szCs w:val="19"/>
          <w:color w:val="auto"/>
        </w:rPr>
      </w:pPr>
    </w:p>
    <w:p>
      <w:pPr>
        <w:jc w:val="both"/>
        <w:ind w:left="1320" w:right="60" w:hanging="369"/>
        <w:spacing w:after="0" w:line="254" w:lineRule="auto"/>
        <w:tabs>
          <w:tab w:leader="none" w:pos="132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Times New Roman" w:cs="Times New Roman" w:eastAsia="Times New Roman" w:hAnsi="Times New Roman"/>
          <w:sz w:val="20"/>
          <w:szCs w:val="20"/>
          <w:color w:val="auto"/>
        </w:rPr>
      </w:pPr>
    </w:p>
    <w:p>
      <w:pPr>
        <w:ind w:left="1320" w:right="60" w:hanging="369"/>
        <w:spacing w:after="0" w:line="254" w:lineRule="auto"/>
        <w:tabs>
          <w:tab w:leader="none" w:pos="132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66" w:lineRule="exact"/>
        <w:rPr>
          <w:rFonts w:ascii="Times New Roman" w:cs="Times New Roman" w:eastAsia="Times New Roman" w:hAnsi="Times New Roman"/>
          <w:sz w:val="20"/>
          <w:szCs w:val="20"/>
          <w:color w:val="auto"/>
        </w:rPr>
      </w:pPr>
    </w:p>
    <w:p>
      <w:pPr>
        <w:ind w:left="960" w:right="20" w:hanging="203"/>
        <w:spacing w:after="0" w:line="254" w:lineRule="auto"/>
        <w:tabs>
          <w:tab w:leader="none" w:pos="963"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66" w:lineRule="exact"/>
        <w:rPr>
          <w:rFonts w:ascii="Times New Roman" w:cs="Times New Roman" w:eastAsia="Times New Roman" w:hAnsi="Times New Roman"/>
          <w:sz w:val="20"/>
          <w:szCs w:val="20"/>
          <w:color w:val="auto"/>
        </w:rPr>
      </w:pPr>
    </w:p>
    <w:p>
      <w:pPr>
        <w:ind w:left="1320" w:right="320" w:hanging="369"/>
        <w:spacing w:after="0" w:line="254" w:lineRule="auto"/>
        <w:tabs>
          <w:tab w:leader="none" w:pos="132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6" w:lineRule="exact"/>
        <w:rPr>
          <w:rFonts w:ascii="Times New Roman" w:cs="Times New Roman" w:eastAsia="Times New Roman" w:hAnsi="Times New Roman"/>
          <w:sz w:val="20"/>
          <w:szCs w:val="20"/>
          <w:color w:val="auto"/>
        </w:rPr>
      </w:pPr>
    </w:p>
    <w:p>
      <w:pPr>
        <w:ind w:left="1320" w:right="720" w:hanging="369"/>
        <w:spacing w:after="0" w:line="269" w:lineRule="auto"/>
        <w:tabs>
          <w:tab w:leader="none" w:pos="132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company's internal control over financial reporting.</w:t>
      </w:r>
    </w:p>
    <w:p>
      <w:pPr>
        <w:spacing w:after="0" w:line="389" w:lineRule="exact"/>
        <w:rPr>
          <w:sz w:val="20"/>
          <w:szCs w:val="20"/>
          <w:color w:val="auto"/>
        </w:rPr>
      </w:pPr>
    </w:p>
    <w:p>
      <w:pPr>
        <w:ind w:left="20"/>
        <w:spacing w:after="0"/>
        <w:tabs>
          <w:tab w:leader="none" w:pos="5240" w:val="left"/>
          <w:tab w:leader="none" w:pos="7820" w:val="left"/>
        </w:tabs>
        <w:rPr>
          <w:sz w:val="20"/>
          <w:szCs w:val="20"/>
          <w:color w:val="auto"/>
        </w:rPr>
      </w:pPr>
      <w:r>
        <w:rPr>
          <w:rFonts w:ascii="Times New Roman" w:cs="Times New Roman" w:eastAsia="Times New Roman" w:hAnsi="Times New Roman"/>
          <w:sz w:val="20"/>
          <w:szCs w:val="20"/>
          <w:color w:val="auto"/>
        </w:rPr>
        <w:t>Date: September 20, 2024</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Frederic Guerard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13970</wp:posOffset>
            </wp:positionV>
            <wp:extent cx="330898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20"/>
          <w:szCs w:val="20"/>
          <w:b w:val="1"/>
          <w:bCs w:val="1"/>
          <w:color w:val="auto"/>
        </w:rPr>
        <w:t>Frederic Guerard</w:t>
      </w:r>
    </w:p>
    <w:p>
      <w:pPr>
        <w:jc w:val="center"/>
        <w:ind w:left="6000"/>
        <w:spacing w:after="0"/>
        <w:rPr>
          <w:sz w:val="20"/>
          <w:szCs w:val="20"/>
          <w:color w:val="auto"/>
        </w:rPr>
      </w:pPr>
      <w:r>
        <w:rPr>
          <w:rFonts w:ascii="Times New Roman" w:cs="Times New Roman" w:eastAsia="Times New Roman" w:hAnsi="Times New Roman"/>
          <w:sz w:val="20"/>
          <w:szCs w:val="20"/>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Karen Adams, certify that:</w:t>
      </w:r>
    </w:p>
    <w:p>
      <w:pPr>
        <w:spacing w:after="0" w:line="108" w:lineRule="exact"/>
        <w:rPr>
          <w:sz w:val="20"/>
          <w:szCs w:val="20"/>
          <w:color w:val="auto"/>
        </w:rPr>
      </w:pPr>
    </w:p>
    <w:p>
      <w:pPr>
        <w:ind w:left="960" w:hanging="203"/>
        <w:spacing w:after="0"/>
        <w:tabs>
          <w:tab w:leader="none" w:pos="96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Amendment No. 1 to the annual report on Form 20-F/A of Opthea Limited;</w:t>
      </w:r>
    </w:p>
    <w:p>
      <w:pPr>
        <w:spacing w:after="0" w:line="107" w:lineRule="exact"/>
        <w:rPr>
          <w:rFonts w:ascii="Times New Roman" w:cs="Times New Roman" w:eastAsia="Times New Roman" w:hAnsi="Times New Roman"/>
          <w:sz w:val="20"/>
          <w:szCs w:val="20"/>
          <w:color w:val="auto"/>
        </w:rPr>
      </w:pPr>
    </w:p>
    <w:p>
      <w:pPr>
        <w:ind w:left="960" w:right="340" w:hanging="203"/>
        <w:spacing w:after="0" w:line="254" w:lineRule="auto"/>
        <w:tabs>
          <w:tab w:leader="none" w:pos="963"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20"/>
          <w:szCs w:val="20"/>
          <w:color w:val="auto"/>
        </w:rPr>
      </w:pPr>
    </w:p>
    <w:p>
      <w:pPr>
        <w:ind w:left="960" w:right="40" w:hanging="203"/>
        <w:spacing w:after="0" w:line="254" w:lineRule="auto"/>
        <w:tabs>
          <w:tab w:leader="none" w:pos="963"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6" w:lineRule="exact"/>
        <w:rPr>
          <w:rFonts w:ascii="Times New Roman" w:cs="Times New Roman" w:eastAsia="Times New Roman" w:hAnsi="Times New Roman"/>
          <w:sz w:val="20"/>
          <w:szCs w:val="20"/>
          <w:color w:val="auto"/>
        </w:rPr>
      </w:pPr>
    </w:p>
    <w:p>
      <w:pPr>
        <w:ind w:left="960" w:right="140" w:hanging="203"/>
        <w:spacing w:after="0" w:line="254" w:lineRule="auto"/>
        <w:tabs>
          <w:tab w:leader="none" w:pos="963"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6" w:lineRule="exact"/>
        <w:rPr>
          <w:rFonts w:ascii="Times New Roman" w:cs="Times New Roman" w:eastAsia="Times New Roman" w:hAnsi="Times New Roman"/>
          <w:sz w:val="20"/>
          <w:szCs w:val="20"/>
          <w:color w:val="auto"/>
        </w:rPr>
      </w:pPr>
    </w:p>
    <w:p>
      <w:pPr>
        <w:ind w:left="1320" w:right="100" w:hanging="369"/>
        <w:spacing w:after="0" w:line="254" w:lineRule="auto"/>
        <w:tabs>
          <w:tab w:leader="none" w:pos="132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66" w:lineRule="exact"/>
        <w:rPr>
          <w:rFonts w:ascii="Times New Roman" w:cs="Times New Roman" w:eastAsia="Times New Roman" w:hAnsi="Times New Roman"/>
          <w:sz w:val="20"/>
          <w:szCs w:val="20"/>
          <w:color w:val="auto"/>
        </w:rPr>
      </w:pPr>
    </w:p>
    <w:p>
      <w:pPr>
        <w:ind w:left="1320" w:right="540" w:hanging="369"/>
        <w:spacing w:after="0" w:line="274" w:lineRule="auto"/>
        <w:tabs>
          <w:tab w:leader="none" w:pos="1320" w:val="left"/>
        </w:tabs>
        <w:numPr>
          <w:ilvl w:val="1"/>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Times New Roman" w:cs="Times New Roman" w:eastAsia="Times New Roman" w:hAnsi="Times New Roman"/>
          <w:sz w:val="19"/>
          <w:szCs w:val="19"/>
          <w:color w:val="auto"/>
        </w:rPr>
      </w:pPr>
    </w:p>
    <w:p>
      <w:pPr>
        <w:jc w:val="both"/>
        <w:ind w:left="1320" w:right="60" w:hanging="369"/>
        <w:spacing w:after="0" w:line="254" w:lineRule="auto"/>
        <w:tabs>
          <w:tab w:leader="none" w:pos="132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Times New Roman" w:cs="Times New Roman" w:eastAsia="Times New Roman" w:hAnsi="Times New Roman"/>
          <w:sz w:val="20"/>
          <w:szCs w:val="20"/>
          <w:color w:val="auto"/>
        </w:rPr>
      </w:pPr>
    </w:p>
    <w:p>
      <w:pPr>
        <w:ind w:left="1320" w:right="60" w:hanging="369"/>
        <w:spacing w:after="0" w:line="254" w:lineRule="auto"/>
        <w:tabs>
          <w:tab w:leader="none" w:pos="132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66" w:lineRule="exact"/>
        <w:rPr>
          <w:rFonts w:ascii="Times New Roman" w:cs="Times New Roman" w:eastAsia="Times New Roman" w:hAnsi="Times New Roman"/>
          <w:sz w:val="20"/>
          <w:szCs w:val="20"/>
          <w:color w:val="auto"/>
        </w:rPr>
      </w:pPr>
    </w:p>
    <w:p>
      <w:pPr>
        <w:ind w:left="960" w:right="20" w:hanging="203"/>
        <w:spacing w:after="0" w:line="254" w:lineRule="auto"/>
        <w:tabs>
          <w:tab w:leader="none" w:pos="963"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66" w:lineRule="exact"/>
        <w:rPr>
          <w:rFonts w:ascii="Times New Roman" w:cs="Times New Roman" w:eastAsia="Times New Roman" w:hAnsi="Times New Roman"/>
          <w:sz w:val="20"/>
          <w:szCs w:val="20"/>
          <w:color w:val="auto"/>
        </w:rPr>
      </w:pPr>
    </w:p>
    <w:p>
      <w:pPr>
        <w:ind w:left="1320" w:right="320" w:hanging="369"/>
        <w:spacing w:after="0" w:line="254" w:lineRule="auto"/>
        <w:tabs>
          <w:tab w:leader="none" w:pos="132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6" w:lineRule="exact"/>
        <w:rPr>
          <w:rFonts w:ascii="Times New Roman" w:cs="Times New Roman" w:eastAsia="Times New Roman" w:hAnsi="Times New Roman"/>
          <w:sz w:val="20"/>
          <w:szCs w:val="20"/>
          <w:color w:val="auto"/>
        </w:rPr>
      </w:pPr>
    </w:p>
    <w:p>
      <w:pPr>
        <w:ind w:left="1320" w:right="720" w:hanging="369"/>
        <w:spacing w:after="0" w:line="269" w:lineRule="auto"/>
        <w:tabs>
          <w:tab w:leader="none" w:pos="132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company's internal control over financial reporting.</w:t>
      </w:r>
    </w:p>
    <w:p>
      <w:pPr>
        <w:spacing w:after="0" w:line="389" w:lineRule="exact"/>
        <w:rPr>
          <w:sz w:val="20"/>
          <w:szCs w:val="20"/>
          <w:color w:val="auto"/>
        </w:rPr>
      </w:pPr>
    </w:p>
    <w:p>
      <w:pPr>
        <w:ind w:left="20"/>
        <w:spacing w:after="0"/>
        <w:tabs>
          <w:tab w:leader="none" w:pos="5380" w:val="left"/>
          <w:tab w:leader="none" w:pos="8000" w:val="left"/>
        </w:tabs>
        <w:rPr>
          <w:sz w:val="20"/>
          <w:szCs w:val="20"/>
          <w:color w:val="auto"/>
        </w:rPr>
      </w:pPr>
      <w:r>
        <w:rPr>
          <w:rFonts w:ascii="Times New Roman" w:cs="Times New Roman" w:eastAsia="Times New Roman" w:hAnsi="Times New Roman"/>
          <w:sz w:val="20"/>
          <w:szCs w:val="20"/>
          <w:color w:val="auto"/>
        </w:rPr>
        <w:t>Date: September 20, 2024</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Karen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13970</wp:posOffset>
            </wp:positionV>
            <wp:extent cx="324866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7">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15"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20"/>
          <w:szCs w:val="20"/>
          <w:b w:val="1"/>
          <w:bCs w:val="1"/>
          <w:color w:val="auto"/>
        </w:rPr>
        <w:t>Karen Adams</w:t>
      </w:r>
    </w:p>
    <w:p>
      <w:pPr>
        <w:jc w:val="center"/>
        <w:ind w:left="6100"/>
        <w:spacing w:after="0"/>
        <w:rPr>
          <w:sz w:val="20"/>
          <w:szCs w:val="20"/>
          <w:color w:val="auto"/>
        </w:rPr>
      </w:pPr>
      <w:r>
        <w:rPr>
          <w:rFonts w:ascii="Times New Roman" w:cs="Times New Roman" w:eastAsia="Times New Roman" w:hAnsi="Times New Roman"/>
          <w:sz w:val="20"/>
          <w:szCs w:val="20"/>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Pursuant to the requirement set forth in Rule 13a-14(b) of the Securities Exchange Act of 1934, as amended, (the “Exchange Act”) and Section 1350 of Chapter 63 of Title 18 of the United States Code (18 U.S.C. §1350), </w:t>
      </w:r>
      <w:r>
        <w:rPr>
          <w:rFonts w:ascii="Times New Roman" w:cs="Times New Roman" w:eastAsia="Times New Roman" w:hAnsi="Times New Roman"/>
          <w:sz w:val="20"/>
          <w:szCs w:val="20"/>
          <w:color w:val="auto"/>
        </w:rPr>
        <w:t>Frederic Guerard, Chief Executive Officer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Opthea Limited (the “Company”), and Karen Adams, Vice President, Finance of the Company, each hereby certifies that, to the best of his or her knowledge:</w:t>
      </w:r>
    </w:p>
    <w:p>
      <w:pPr>
        <w:spacing w:after="0" w:line="180" w:lineRule="exact"/>
        <w:rPr>
          <w:sz w:val="20"/>
          <w:szCs w:val="20"/>
          <w:color w:val="auto"/>
        </w:rPr>
      </w:pPr>
    </w:p>
    <w:p>
      <w:pPr>
        <w:jc w:val="both"/>
        <w:ind w:left="1220" w:hanging="659"/>
        <w:spacing w:after="0" w:line="254" w:lineRule="auto"/>
        <w:tabs>
          <w:tab w:leader="none" w:pos="1220" w:val="left"/>
        </w:tabs>
        <w:numPr>
          <w:ilvl w:val="0"/>
          <w:numId w:val="1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Company’s Amendment No. 1 to the Annual Report on Form 20-F/A for the fiscal year ended June 30, 2024, to which this Certification is attached as Exhibit 13.1 (the “Annual Report”), fully complies with the requirements of Section 13(a) or Section 15(d) of the Exchange Act; and</w:t>
      </w:r>
    </w:p>
    <w:p>
      <w:pPr>
        <w:spacing w:after="0" w:line="66" w:lineRule="exact"/>
        <w:rPr>
          <w:rFonts w:ascii="Times New Roman" w:cs="Times New Roman" w:eastAsia="Times New Roman" w:hAnsi="Times New Roman"/>
          <w:sz w:val="20"/>
          <w:szCs w:val="20"/>
          <w:b w:val="1"/>
          <w:bCs w:val="1"/>
          <w:color w:val="auto"/>
        </w:rPr>
      </w:pPr>
    </w:p>
    <w:p>
      <w:pPr>
        <w:ind w:left="1220" w:hanging="659"/>
        <w:spacing w:after="0" w:line="269" w:lineRule="auto"/>
        <w:tabs>
          <w:tab w:leader="none" w:pos="1220" w:val="left"/>
        </w:tabs>
        <w:numPr>
          <w:ilvl w:val="0"/>
          <w:numId w:val="1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information contained in the Annual Report fairly presents, in all material respects, the financial condition and results of operations of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September 20,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itness</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hereof</w:t>
      </w:r>
      <w:r>
        <w:rPr>
          <w:rFonts w:ascii="Times New Roman" w:cs="Times New Roman" w:eastAsia="Times New Roman" w:hAnsi="Times New Roman"/>
          <w:sz w:val="20"/>
          <w:szCs w:val="20"/>
          <w:color w:val="auto"/>
        </w:rPr>
        <w:t>, the undersigned have set their hands hereto as of the 20th of September, 2024.</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Frederic Guerard</w:t>
            </w:r>
          </w:p>
        </w:tc>
        <w:tc>
          <w:tcPr>
            <w:tcW w:w="240" w:type="dxa"/>
            <w:vAlign w:val="bottom"/>
          </w:tcPr>
          <w:p>
            <w:pPr>
              <w:spacing w:after="0"/>
              <w:rPr>
                <w:sz w:val="21"/>
                <w:szCs w:val="21"/>
                <w:color w:val="auto"/>
              </w:rPr>
            </w:pP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Karen Adams</w:t>
            </w:r>
          </w:p>
        </w:tc>
        <w:tc>
          <w:tcPr>
            <w:tcW w:w="3380" w:type="dxa"/>
            <w:vAlign w:val="bottom"/>
          </w:tcPr>
          <w:p>
            <w:pPr>
              <w:spacing w:after="0"/>
              <w:rPr>
                <w:sz w:val="21"/>
                <w:szCs w:val="21"/>
                <w:color w:val="auto"/>
              </w:rPr>
            </w:pPr>
          </w:p>
        </w:tc>
      </w:tr>
      <w:tr>
        <w:trPr>
          <w:trHeight w:val="200"/>
        </w:trPr>
        <w:tc>
          <w:tcPr>
            <w:tcW w:w="3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Frederic Guerard</w:t>
            </w:r>
          </w:p>
        </w:tc>
        <w:tc>
          <w:tcPr>
            <w:tcW w:w="240" w:type="dxa"/>
            <w:vAlign w:val="bottom"/>
          </w:tcPr>
          <w:p>
            <w:pPr>
              <w:spacing w:after="0"/>
              <w:rPr>
                <w:sz w:val="17"/>
                <w:szCs w:val="17"/>
                <w:color w:val="auto"/>
              </w:rPr>
            </w:pPr>
          </w:p>
        </w:tc>
        <w:tc>
          <w:tcPr>
            <w:tcW w:w="380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Karen Adams</w:t>
            </w:r>
          </w:p>
        </w:tc>
        <w:tc>
          <w:tcPr>
            <w:tcW w:w="3380" w:type="dxa"/>
            <w:vAlign w:val="bottom"/>
          </w:tcPr>
          <w:p>
            <w:pPr>
              <w:spacing w:after="0"/>
              <w:rPr>
                <w:sz w:val="17"/>
                <w:szCs w:val="17"/>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c>
          <w:tcPr>
            <w:tcW w:w="24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Vice President, Finance</w:t>
            </w:r>
          </w:p>
        </w:tc>
        <w:tc>
          <w:tcPr>
            <w:tcW w:w="3380" w:type="dxa"/>
            <w:vAlign w:val="bottom"/>
          </w:tcPr>
          <w:p>
            <w:pPr>
              <w:spacing w:after="0"/>
              <w:rPr>
                <w:sz w:val="19"/>
                <w:szCs w:val="19"/>
                <w:color w:val="auto"/>
              </w:rPr>
            </w:pPr>
          </w:p>
        </w:tc>
      </w:tr>
      <w:tr>
        <w:trPr>
          <w:trHeight w:val="258"/>
        </w:trPr>
        <w:tc>
          <w:tcPr>
            <w:tcW w:w="3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240" w:type="dxa"/>
            <w:vAlign w:val="bottom"/>
          </w:tcPr>
          <w:p>
            <w:pPr>
              <w:spacing w:after="0"/>
              <w:rPr>
                <w:sz w:val="22"/>
                <w:szCs w:val="22"/>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(Principal Financial Officer)</w:t>
            </w:r>
          </w:p>
        </w:tc>
        <w:tc>
          <w:tcPr>
            <w:tcW w:w="3380" w:type="dxa"/>
            <w:vAlign w:val="bottom"/>
          </w:tcPr>
          <w:p>
            <w:pPr>
              <w:spacing w:after="0"/>
              <w:rPr>
                <w:sz w:val="22"/>
                <w:szCs w:val="22"/>
                <w:color w:val="auto"/>
              </w:rPr>
            </w:pPr>
          </w:p>
        </w:tc>
      </w:tr>
      <w:tr>
        <w:trPr>
          <w:trHeight w:val="1864"/>
        </w:trPr>
        <w:tc>
          <w:tcPr>
            <w:tcW w:w="3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9" w:name="page230"/>
    <w:bookmarkEnd w:id="229"/>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 333-251052 on Form S-8 and Registration Statement No. 333-262444 on Form F-3 of our report dated August 30, 2024, relating to the financial statements of Opthea Limited appearing in this Annual Report on Form 20-F/A for the year ended June 30, 2024.</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Touche Tohmatsu</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Melbourne, Australia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210185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30" w:name="page231"/>
    <w:bookmarkEnd w:id="2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
      <w:numFmt w:val="bullet"/>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
      <w:numFmt w:val="bullet"/>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
      <w:numFmt w:val="bullet"/>
      <w:start w:val="1"/>
    </w:lvl>
  </w:abstractNum>
  <w:abstractNum w:abstractNumId="32">
    <w:nsid w:val="1EBA5D23"/>
    <w:multiLevelType w:val="hybridMultilevel"/>
    <w:lvl w:ilvl="0">
      <w:lvlJc w:val="left"/>
      <w:lvlText w:val="•"/>
      <w:numFmt w:val="bullet"/>
      <w:start w:val="1"/>
    </w:lvl>
  </w:abstractNum>
  <w:abstractNum w:abstractNumId="33">
    <w:nsid w:val="661E3F1E"/>
    <w:multiLevelType w:val="hybridMultilevel"/>
    <w:lvl w:ilvl="0">
      <w:lvlJc w:val="left"/>
      <w:lvlText w:val="(%1)"/>
      <w:numFmt w:val="decimal"/>
      <w:start w:val="10"/>
    </w:lvl>
  </w:abstractNum>
  <w:abstractNum w:abstractNumId="34">
    <w:nsid w:val="5DC79EA8"/>
    <w:multiLevelType w:val="hybridMultilevel"/>
    <w:lvl w:ilvl="0">
      <w:lvlJc w:val="left"/>
      <w:lvlText w:val="(%1)"/>
      <w:numFmt w:val="decimal"/>
      <w:start w:val="20"/>
    </w:lvl>
  </w:abstractNum>
  <w:abstractNum w:abstractNumId="35">
    <w:nsid w:val="540A471C"/>
    <w:multiLevelType w:val="hybridMultilevel"/>
    <w:lvl w:ilvl="0">
      <w:lvlJc w:val="left"/>
      <w:lvlText w:val="•"/>
      <w:numFmt w:val="bullet"/>
      <w:start w:val="1"/>
    </w:lvl>
  </w:abstractNum>
  <w:abstractNum w:abstractNumId="36">
    <w:nsid w:val="7BD3EE7B"/>
    <w:multiLevelType w:val="hybridMultilevel"/>
    <w:lvl w:ilvl="0">
      <w:lvlJc w:val="left"/>
      <w:lvlText w:val="•"/>
      <w:numFmt w:val="bullet"/>
      <w:start w:val="1"/>
    </w:lvl>
  </w:abstractNum>
  <w:abstractNum w:abstractNumId="37">
    <w:nsid w:val="51D9C564"/>
    <w:multiLevelType w:val="hybridMultilevel"/>
    <w:lvl w:ilvl="0">
      <w:lvlJc w:val="left"/>
      <w:lvlText w:val="•"/>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
      <w:numFmt w:val="bullet"/>
      <w:start w:val="1"/>
    </w:lvl>
  </w:abstractNum>
  <w:abstractNum w:abstractNumId="42">
    <w:nsid w:val="A0382C5"/>
    <w:multiLevelType w:val="hybridMultilevel"/>
    <w:lvl w:ilvl="0">
      <w:lvlJc w:val="left"/>
      <w:lvlText w:val="•"/>
      <w:numFmt w:val="bullet"/>
      <w:start w:val="1"/>
    </w:lvl>
  </w:abstractNum>
  <w:abstractNum w:abstractNumId="43">
    <w:nsid w:val="8F2B15E"/>
    <w:multiLevelType w:val="hybridMultilevel"/>
    <w:lvl w:ilvl="0">
      <w:lvlJc w:val="left"/>
      <w:lvlText w:val="•"/>
      <w:numFmt w:val="bullet"/>
      <w:start w:val="1"/>
    </w:lvl>
  </w:abstractNum>
  <w:abstractNum w:abstractNumId="44">
    <w:nsid w:val="1A32234B"/>
    <w:multiLevelType w:val="hybridMultilevel"/>
    <w:lvl w:ilvl="0">
      <w:lvlJc w:val="left"/>
      <w:lvlText w:val="•"/>
      <w:numFmt w:val="bullet"/>
      <w:start w:val="1"/>
    </w:lvl>
  </w:abstractNum>
  <w:abstractNum w:abstractNumId="45">
    <w:nsid w:val="3B0FD379"/>
    <w:multiLevelType w:val="hybridMultilevel"/>
    <w:lvl w:ilvl="0">
      <w:lvlJc w:val="left"/>
      <w:lvlText w:val="•"/>
      <w:numFmt w:val="bullet"/>
      <w:start w:val="1"/>
    </w:lvl>
  </w:abstractNum>
  <w:abstractNum w:abstractNumId="46">
    <w:nsid w:val="68EB2F63"/>
    <w:multiLevelType w:val="hybridMultilevel"/>
    <w:lvl w:ilvl="0">
      <w:lvlJc w:val="left"/>
      <w:lvlText w:val="•"/>
      <w:numFmt w:val="bullet"/>
      <w:start w:val="1"/>
    </w:lvl>
  </w:abstractNum>
  <w:abstractNum w:abstractNumId="47">
    <w:nsid w:val="4962813B"/>
    <w:multiLevelType w:val="hybridMultilevel"/>
    <w:lvl w:ilvl="0">
      <w:lvlJc w:val="left"/>
      <w:lvlText w:val="*"/>
      <w:numFmt w:val="bullet"/>
      <w:start w:val="1"/>
    </w:lvl>
  </w:abstractNum>
  <w:abstractNum w:abstractNumId="48">
    <w:nsid w:val="60B6DF70"/>
    <w:multiLevelType w:val="hybridMultilevel"/>
    <w:lvl w:ilvl="0">
      <w:lvlJc w:val="left"/>
      <w:lvlText w:val="%1."/>
      <w:numFmt w:val="decimal"/>
      <w:start w:val="75"/>
    </w:lvl>
  </w:abstractNum>
  <w:abstractNum w:abstractNumId="49">
    <w:nsid w:val="6A5EE64"/>
    <w:multiLevelType w:val="hybridMultilevel"/>
    <w:lvl w:ilvl="0">
      <w:lvlJc w:val="left"/>
      <w:lvlText w:val="*"/>
      <w:numFmt w:val="bullet"/>
      <w:start w:val="1"/>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
      <w:numFmt w:val="bullet"/>
      <w:start w:val="1"/>
    </w:lvl>
  </w:abstractNum>
  <w:abstractNum w:abstractNumId="52">
    <w:nsid w:val="1A27709E"/>
    <w:multiLevelType w:val="hybridMultilevel"/>
    <w:lvl w:ilvl="0">
      <w:lvlJc w:val="left"/>
      <w:lvlText w:val="•"/>
      <w:numFmt w:val="bullet"/>
      <w:start w:val="1"/>
    </w:lvl>
  </w:abstractNum>
  <w:abstractNum w:abstractNumId="53">
    <w:nsid w:val="71EA1109"/>
    <w:multiLevelType w:val="hybridMultilevel"/>
    <w:lvl w:ilvl="0">
      <w:lvlJc w:val="left"/>
      <w:lvlText w:val="•"/>
      <w:numFmt w:val="bullet"/>
      <w:start w:val="1"/>
    </w:lvl>
  </w:abstractNum>
  <w:abstractNum w:abstractNumId="54">
    <w:nsid w:val="100F59DC"/>
    <w:multiLevelType w:val="hybridMultilevel"/>
    <w:lvl w:ilvl="0">
      <w:lvlJc w:val="left"/>
      <w:lvlText w:val="•"/>
      <w:numFmt w:val="bullet"/>
      <w:start w:val="1"/>
    </w:lvl>
  </w:abstractNum>
  <w:abstractNum w:abstractNumId="55">
    <w:nsid w:val="7FB7E0AA"/>
    <w:multiLevelType w:val="hybridMultilevel"/>
    <w:lvl w:ilvl="0">
      <w:lvlJc w:val="left"/>
      <w:lvlText w:val="•"/>
      <w:numFmt w:val="bullet"/>
      <w:start w:val="1"/>
    </w:lvl>
  </w:abstractNum>
  <w:abstractNum w:abstractNumId="56">
    <w:nsid w:val="6EB5BD4"/>
    <w:multiLevelType w:val="hybridMultilevel"/>
    <w:lvl w:ilvl="0">
      <w:lvlJc w:val="left"/>
      <w:lvlText w:val="•"/>
      <w:numFmt w:val="bullet"/>
      <w:start w:val="1"/>
    </w:lvl>
  </w:abstractNum>
  <w:abstractNum w:abstractNumId="57">
    <w:nsid w:val="6F6DD9AC"/>
    <w:multiLevelType w:val="hybridMultilevel"/>
    <w:lvl w:ilvl="0">
      <w:lvlJc w:val="left"/>
      <w:lvlText w:val="•"/>
      <w:numFmt w:val="bullet"/>
      <w:start w:val="1"/>
    </w:lvl>
  </w:abstractNum>
  <w:abstractNum w:abstractNumId="58">
    <w:nsid w:val="94211F2"/>
    <w:multiLevelType w:val="hybridMultilevel"/>
    <w:lvl w:ilvl="0">
      <w:lvlJc w:val="left"/>
      <w:lvlText w:val="•"/>
      <w:numFmt w:val="bullet"/>
      <w:start w:val="1"/>
    </w:lvl>
  </w:abstractNum>
  <w:abstractNum w:abstractNumId="59">
    <w:nsid w:val="885E1B"/>
    <w:multiLevelType w:val="hybridMultilevel"/>
    <w:lvl w:ilvl="0">
      <w:lvlJc w:val="left"/>
      <w:lvlText w:val="•"/>
      <w:numFmt w:val="bullet"/>
      <w:start w:val="1"/>
    </w:lvl>
  </w:abstractNum>
  <w:abstractNum w:abstractNumId="60">
    <w:nsid w:val="76272110"/>
    <w:multiLevelType w:val="hybridMultilevel"/>
    <w:lvl w:ilvl="0">
      <w:lvlJc w:val="left"/>
      <w:lvlText w:val="•"/>
      <w:numFmt w:val="bullet"/>
      <w:start w:val="1"/>
    </w:lvl>
  </w:abstractNum>
  <w:abstractNum w:abstractNumId="61">
    <w:nsid w:val="4C04A8AF"/>
    <w:multiLevelType w:val="hybridMultilevel"/>
    <w:lvl w:ilvl="0">
      <w:lvlJc w:val="left"/>
      <w:lvlText w:val="•"/>
      <w:numFmt w:val="bullet"/>
      <w:start w:val="1"/>
    </w:lvl>
  </w:abstractNum>
  <w:abstractNum w:abstractNumId="62">
    <w:nsid w:val="1716703B"/>
    <w:multiLevelType w:val="hybridMultilevel"/>
    <w:lvl w:ilvl="0">
      <w:lvlJc w:val="left"/>
      <w:lvlText w:val="%1."/>
      <w:numFmt w:val="decimal"/>
      <w:start w:val="1"/>
    </w:lvl>
  </w:abstractNum>
  <w:abstractNum w:abstractNumId="63">
    <w:nsid w:val="14E17E33"/>
    <w:multiLevelType w:val="hybridMultilevel"/>
    <w:lvl w:ilvl="0">
      <w:lvlJc w:val="left"/>
      <w:lvlText w:val="•"/>
      <w:numFmt w:val="bullet"/>
      <w:start w:val="1"/>
    </w:lvl>
  </w:abstractNum>
  <w:abstractNum w:abstractNumId="64">
    <w:nsid w:val="3222E7CD"/>
    <w:multiLevelType w:val="hybridMultilevel"/>
    <w:lvl w:ilvl="0">
      <w:lvlJc w:val="left"/>
      <w:lvlText w:val="•"/>
      <w:numFmt w:val="bullet"/>
      <w:start w:val="1"/>
    </w:lvl>
  </w:abstractNum>
  <w:abstractNum w:abstractNumId="65">
    <w:nsid w:val="74DE0EE3"/>
    <w:multiLevelType w:val="hybridMultilevel"/>
    <w:lvl w:ilvl="0">
      <w:lvlJc w:val="left"/>
      <w:lvlText w:val="•"/>
      <w:numFmt w:val="bullet"/>
      <w:start w:val="1"/>
    </w:lvl>
    <w:lvl w:ilvl="1">
      <w:lvlJc w:val="left"/>
      <w:lvlText w:val="(%2)"/>
      <w:numFmt w:val="lowerRoman"/>
      <w:start w:val="10"/>
    </w:lvl>
  </w:abstractNum>
  <w:abstractNum w:abstractNumId="66">
    <w:nsid w:val="68EBC550"/>
    <w:multiLevelType w:val="hybridMultilevel"/>
    <w:lvl w:ilvl="0">
      <w:lvlJc w:val="left"/>
      <w:lvlText w:val="•"/>
      <w:numFmt w:val="bullet"/>
      <w:start w:val="1"/>
    </w:lvl>
  </w:abstractNum>
  <w:abstractNum w:abstractNumId="67">
    <w:nsid w:val="2DF6D648"/>
    <w:multiLevelType w:val="hybridMultilevel"/>
    <w:lvl w:ilvl="0">
      <w:lvlJc w:val="left"/>
      <w:lvlText w:val="(%1)"/>
      <w:numFmt w:val="decimal"/>
      <w:start w:val="1"/>
    </w:lvl>
  </w:abstractNum>
  <w:abstractNum w:abstractNumId="68">
    <w:nsid w:val="46B7D447"/>
    <w:multiLevelType w:val="hybridMultilevel"/>
    <w:lvl w:ilvl="0">
      <w:lvlJc w:val="left"/>
      <w:lvlText w:val="•"/>
      <w:numFmt w:val="bullet"/>
      <w:start w:val="1"/>
    </w:lvl>
  </w:abstractNum>
  <w:abstractNum w:abstractNumId="69">
    <w:nsid w:val="4A2AC315"/>
    <w:multiLevelType w:val="hybridMultilevel"/>
    <w:lvl w:ilvl="0">
      <w:lvlJc w:val="left"/>
      <w:lvlText w:val="(%1)"/>
      <w:numFmt w:val="decimal"/>
      <w:start w:val="1"/>
    </w:lvl>
  </w:abstractNum>
  <w:abstractNum w:abstractNumId="70">
    <w:nsid w:val="39EE015C"/>
    <w:multiLevelType w:val="hybridMultilevel"/>
    <w:lvl w:ilvl="0">
      <w:lvlJc w:val="left"/>
      <w:lvlText w:val="(%1)"/>
      <w:numFmt w:val="decimal"/>
      <w:start w:val="1"/>
    </w:lvl>
  </w:abstractNum>
  <w:abstractNum w:abstractNumId="71">
    <w:nsid w:val="57FC4FBB"/>
    <w:multiLevelType w:val="hybridMultilevel"/>
    <w:lvl w:ilvl="0">
      <w:lvlJc w:val="left"/>
      <w:lvlText w:val="•"/>
      <w:numFmt w:val="bullet"/>
      <w:start w:val="1"/>
    </w:lvl>
  </w:abstractNum>
  <w:abstractNum w:abstractNumId="72">
    <w:nsid w:val="CC1016F"/>
    <w:multiLevelType w:val="hybridMultilevel"/>
    <w:lvl w:ilvl="0">
      <w:lvlJc w:val="left"/>
      <w:lvlText w:val="•"/>
      <w:numFmt w:val="bullet"/>
      <w:start w:val="1"/>
    </w:lvl>
  </w:abstractNum>
  <w:abstractNum w:abstractNumId="73">
    <w:nsid w:val="43F18422"/>
    <w:multiLevelType w:val="hybridMultilevel"/>
    <w:lvl w:ilvl="0">
      <w:lvlJc w:val="left"/>
      <w:lvlText w:val="•"/>
      <w:numFmt w:val="bullet"/>
      <w:start w:val="1"/>
    </w:lvl>
  </w:abstractNum>
  <w:abstractNum w:abstractNumId="74">
    <w:nsid w:val="60EF0119"/>
    <w:multiLevelType w:val="hybridMultilevel"/>
    <w:lvl w:ilvl="0">
      <w:lvlJc w:val="left"/>
      <w:lvlText w:val="•"/>
      <w:numFmt w:val="bullet"/>
      <w:start w:val="1"/>
    </w:lvl>
  </w:abstractNum>
  <w:abstractNum w:abstractNumId="75">
    <w:nsid w:val="26F324BA"/>
    <w:multiLevelType w:val="hybridMultilevel"/>
    <w:lvl w:ilvl="0">
      <w:lvlJc w:val="left"/>
      <w:lvlText w:val="•"/>
      <w:numFmt w:val="bullet"/>
      <w:start w:val="1"/>
    </w:lvl>
  </w:abstractNum>
  <w:abstractNum w:abstractNumId="76">
    <w:nsid w:val="7F01579B"/>
    <w:multiLevelType w:val="hybridMultilevel"/>
    <w:lvl w:ilvl="0">
      <w:lvlJc w:val="left"/>
      <w:lvlText w:val="•"/>
      <w:numFmt w:val="bullet"/>
      <w:start w:val="1"/>
    </w:lvl>
  </w:abstractNum>
  <w:abstractNum w:abstractNumId="77">
    <w:nsid w:val="49DA307D"/>
    <w:multiLevelType w:val="hybridMultilevel"/>
    <w:lvl w:ilvl="0">
      <w:lvlJc w:val="left"/>
      <w:lvlText w:val="•"/>
      <w:numFmt w:val="bullet"/>
      <w:start w:val="1"/>
    </w:lvl>
  </w:abstractNum>
  <w:abstractNum w:abstractNumId="78">
    <w:nsid w:val="7055A5F5"/>
    <w:multiLevelType w:val="hybridMultilevel"/>
    <w:lvl w:ilvl="0">
      <w:lvlJc w:val="left"/>
      <w:lvlText w:val="•"/>
      <w:numFmt w:val="bullet"/>
      <w:start w:val="1"/>
    </w:lvl>
  </w:abstractNum>
  <w:abstractNum w:abstractNumId="79">
    <w:nsid w:val="5FB8370B"/>
    <w:multiLevelType w:val="hybridMultilevel"/>
    <w:lvl w:ilvl="0">
      <w:lvlJc w:val="left"/>
      <w:lvlText w:val="*"/>
      <w:numFmt w:val="bullet"/>
      <w:start w:val="1"/>
    </w:lvl>
  </w:abstractNum>
  <w:abstractNum w:abstractNumId="80">
    <w:nsid w:val="50801EE1"/>
    <w:multiLevelType w:val="hybridMultilevel"/>
    <w:lvl w:ilvl="0">
      <w:lvlJc w:val="left"/>
      <w:lvlText w:val="(%1)"/>
      <w:numFmt w:val="decimal"/>
      <w:start w:val="1"/>
    </w:lvl>
  </w:abstractNum>
  <w:abstractNum w:abstractNumId="81">
    <w:nsid w:val="488AC1A"/>
    <w:multiLevelType w:val="hybridMultilevel"/>
    <w:lvl w:ilvl="0">
      <w:lvlJc w:val="left"/>
      <w:lvlText w:val="(%1)"/>
      <w:numFmt w:val="decimal"/>
      <w:start w:val="10"/>
    </w:lvl>
  </w:abstractNum>
  <w:abstractNum w:abstractNumId="82">
    <w:nsid w:val="5FB8011C"/>
    <w:multiLevelType w:val="hybridMultilevel"/>
    <w:lvl w:ilvl="0">
      <w:lvlJc w:val="left"/>
      <w:lvlText w:val="•"/>
      <w:numFmt w:val="bullet"/>
      <w:start w:val="1"/>
    </w:lvl>
  </w:abstractNum>
  <w:abstractNum w:abstractNumId="83">
    <w:nsid w:val="6AA78F7F"/>
    <w:multiLevelType w:val="hybridMultilevel"/>
    <w:lvl w:ilvl="0">
      <w:lvlJc w:val="left"/>
      <w:lvlText w:val="•"/>
      <w:numFmt w:val="bullet"/>
      <w:start w:val="1"/>
    </w:lvl>
  </w:abstractNum>
  <w:abstractNum w:abstractNumId="84">
    <w:nsid w:val="7672BD23"/>
    <w:multiLevelType w:val="hybridMultilevel"/>
    <w:lvl w:ilvl="0">
      <w:lvlJc w:val="left"/>
      <w:lvlText w:val="•"/>
      <w:numFmt w:val="bullet"/>
      <w:start w:val="1"/>
    </w:lvl>
  </w:abstractNum>
  <w:abstractNum w:abstractNumId="85">
    <w:nsid w:val="6FC75AF8"/>
    <w:multiLevelType w:val="hybridMultilevel"/>
    <w:lvl w:ilvl="0">
      <w:lvlJc w:val="left"/>
      <w:lvlText w:val="•"/>
      <w:numFmt w:val="bullet"/>
      <w:start w:val="1"/>
    </w:lvl>
  </w:abstractNum>
  <w:abstractNum w:abstractNumId="86">
    <w:nsid w:val="6A5F7029"/>
    <w:multiLevelType w:val="hybridMultilevel"/>
    <w:lvl w:ilvl="0">
      <w:lvlJc w:val="left"/>
      <w:lvlText w:val="•"/>
      <w:numFmt w:val="bullet"/>
      <w:start w:val="1"/>
    </w:lvl>
  </w:abstractNum>
  <w:abstractNum w:abstractNumId="87">
    <w:nsid w:val="7D5E18F8"/>
    <w:multiLevelType w:val="hybridMultilevel"/>
    <w:lvl w:ilvl="0">
      <w:lvlJc w:val="left"/>
      <w:lvlText w:val="•"/>
      <w:numFmt w:val="bullet"/>
      <w:start w:val="1"/>
    </w:lvl>
  </w:abstractNum>
  <w:abstractNum w:abstractNumId="88">
    <w:nsid w:val="5F3534A4"/>
    <w:multiLevelType w:val="hybridMultilevel"/>
    <w:lvl w:ilvl="0">
      <w:lvlJc w:val="left"/>
      <w:lvlText w:val="•"/>
      <w:numFmt w:val="bullet"/>
      <w:start w:val="1"/>
    </w:lvl>
  </w:abstractNum>
  <w:abstractNum w:abstractNumId="89">
    <w:nsid w:val="73A1821B"/>
    <w:multiLevelType w:val="hybridMultilevel"/>
    <w:lvl w:ilvl="0">
      <w:lvlJc w:val="left"/>
      <w:lvlText w:val="#"/>
      <w:numFmt w:val="bullet"/>
      <w:start w:val="1"/>
    </w:lvl>
  </w:abstractNum>
  <w:abstractNum w:abstractNumId="90">
    <w:nsid w:val="7DE67713"/>
    <w:multiLevelType w:val="hybridMultilevel"/>
    <w:lvl w:ilvl="0">
      <w:lvlJc w:val="left"/>
      <w:lvlText w:val="%1."/>
      <w:numFmt w:val="decimal"/>
      <w:start w:val="1"/>
    </w:lvl>
  </w:abstractNum>
  <w:abstractNum w:abstractNumId="91">
    <w:nsid w:val="555C55B5"/>
    <w:multiLevelType w:val="hybridMultilevel"/>
    <w:lvl w:ilvl="0">
      <w:lvlJc w:val="left"/>
      <w:lvlText w:val="%1."/>
      <w:numFmt w:val="lowerRoman"/>
      <w:start w:val="1"/>
    </w:lvl>
  </w:abstractNum>
  <w:abstractNum w:abstractNumId="92">
    <w:nsid w:val="3FA62ACA"/>
    <w:multiLevelType w:val="hybridMultilevel"/>
    <w:lvl w:ilvl="0">
      <w:lvlJc w:val="left"/>
      <w:lvlText w:val="%1."/>
      <w:numFmt w:val="lowerRoman"/>
      <w:start w:val="2"/>
    </w:lvl>
  </w:abstractNum>
  <w:abstractNum w:abstractNumId="93">
    <w:nsid w:val="14FCE74E"/>
    <w:multiLevelType w:val="hybridMultilevel"/>
    <w:lvl w:ilvl="0">
      <w:lvlJc w:val="left"/>
      <w:lvlText w:val="\endash "/>
      <w:numFmt w:val="bullet"/>
      <w:start w:val="1"/>
    </w:lvl>
  </w:abstractNum>
  <w:abstractNum w:abstractNumId="94">
    <w:nsid w:val="6A3DD3E8"/>
    <w:multiLevelType w:val="hybridMultilevel"/>
    <w:lvl w:ilvl="0">
      <w:lvlJc w:val="left"/>
      <w:lvlText w:val="•"/>
      <w:numFmt w:val="bullet"/>
      <w:start w:val="1"/>
    </w:lvl>
  </w:abstractNum>
  <w:abstractNum w:abstractNumId="95">
    <w:nsid w:val="71C91298"/>
    <w:multiLevelType w:val="hybridMultilevel"/>
    <w:lvl w:ilvl="0">
      <w:lvlJc w:val="left"/>
      <w:lvlText w:val="•"/>
      <w:numFmt w:val="bullet"/>
      <w:start w:val="1"/>
    </w:lvl>
  </w:abstractNum>
  <w:abstractNum w:abstractNumId="96">
    <w:nsid w:val="9DAF632"/>
    <w:multiLevelType w:val="hybridMultilevel"/>
    <w:lvl w:ilvl="0">
      <w:lvlJc w:val="left"/>
      <w:lvlText w:val="•"/>
      <w:numFmt w:val="bullet"/>
      <w:start w:val="1"/>
    </w:lvl>
  </w:abstractNum>
  <w:abstractNum w:abstractNumId="97">
    <w:nsid w:val="53299938"/>
    <w:multiLevelType w:val="hybridMultilevel"/>
    <w:lvl w:ilvl="0">
      <w:lvlJc w:val="left"/>
      <w:lvlText w:val="•"/>
      <w:numFmt w:val="bullet"/>
      <w:start w:val="1"/>
    </w:lvl>
  </w:abstractNum>
  <w:abstractNum w:abstractNumId="98">
    <w:nsid w:val="1FBFE8E0"/>
    <w:multiLevelType w:val="hybridMultilevel"/>
    <w:lvl w:ilvl="0">
      <w:lvlJc w:val="left"/>
      <w:lvlText w:val="•"/>
      <w:numFmt w:val="bullet"/>
      <w:start w:val="1"/>
    </w:lvl>
  </w:abstractNum>
  <w:abstractNum w:abstractNumId="99">
    <w:nsid w:val="5092CA79"/>
    <w:multiLevelType w:val="hybridMultilevel"/>
    <w:lvl w:ilvl="0">
      <w:lvlJc w:val="left"/>
      <w:lvlText w:val="•"/>
      <w:numFmt w:val="bullet"/>
      <w:start w:val="1"/>
    </w:lvl>
  </w:abstractNum>
  <w:abstractNum w:abstractNumId="100">
    <w:nsid w:val="1D545C4D"/>
    <w:multiLevelType w:val="hybridMultilevel"/>
    <w:lvl w:ilvl="0">
      <w:lvlJc w:val="left"/>
      <w:lvlText w:val="•"/>
      <w:numFmt w:val="bullet"/>
      <w:start w:val="1"/>
    </w:lvl>
  </w:abstractNum>
  <w:abstractNum w:abstractNumId="101">
    <w:nsid w:val="59ADEA3D"/>
    <w:multiLevelType w:val="hybridMultilevel"/>
    <w:lvl w:ilvl="0">
      <w:lvlJc w:val="left"/>
      <w:lvlText w:val="•"/>
      <w:numFmt w:val="bullet"/>
      <w:start w:val="1"/>
    </w:lvl>
  </w:abstractNum>
  <w:abstractNum w:abstractNumId="102">
    <w:nsid w:val="288F1A34"/>
    <w:multiLevelType w:val="hybridMultilevel"/>
    <w:lvl w:ilvl="0">
      <w:lvlJc w:val="left"/>
      <w:lvlText w:val="%1."/>
      <w:numFmt w:val="decimal"/>
      <w:start w:val="1"/>
    </w:lvl>
  </w:abstractNum>
  <w:abstractNum w:abstractNumId="103">
    <w:nsid w:val="2A155DBC"/>
    <w:multiLevelType w:val="hybridMultilevel"/>
    <w:lvl w:ilvl="0">
      <w:lvlJc w:val="left"/>
      <w:lvlText w:val="(%1)"/>
      <w:numFmt w:val="lowerLetter"/>
      <w:start w:val="3"/>
    </w:lvl>
  </w:abstractNum>
  <w:abstractNum w:abstractNumId="104">
    <w:nsid w:val="1D9F6E5F"/>
    <w:multiLevelType w:val="hybridMultilevel"/>
    <w:lvl w:ilvl="0">
      <w:lvlJc w:val="left"/>
      <w:lvlText w:val="(%1)"/>
      <w:numFmt w:val="lowerLetter"/>
      <w:start w:val="4"/>
    </w:lvl>
  </w:abstractNum>
  <w:abstractNum w:abstractNumId="105">
    <w:nsid w:val="97E1B4E"/>
    <w:multiLevelType w:val="hybridMultilevel"/>
    <w:lvl w:ilvl="0">
      <w:lvlJc w:val="left"/>
      <w:lvlText w:val="(%1)"/>
      <w:numFmt w:val="lowerRoman"/>
      <w:start w:val="1"/>
    </w:lvl>
  </w:abstractNum>
  <w:abstractNum w:abstractNumId="106">
    <w:nsid w:val="51088277"/>
    <w:multiLevelType w:val="hybridMultilevel"/>
    <w:lvl w:ilvl="0">
      <w:lvlJc w:val="left"/>
      <w:lvlText w:val="(%1)"/>
      <w:numFmt w:val="lowerRoman"/>
      <w:start w:val="1"/>
    </w:lvl>
    <w:lvl w:ilvl="1">
      <w:lvlJc w:val="left"/>
      <w:lvlText w:val="•"/>
      <w:numFmt w:val="bullet"/>
      <w:start w:val="1"/>
    </w:lvl>
  </w:abstractNum>
  <w:abstractNum w:abstractNumId="107">
    <w:nsid w:val="1CA0C5FA"/>
    <w:multiLevelType w:val="hybridMultilevel"/>
    <w:lvl w:ilvl="0">
      <w:lvlJc w:val="left"/>
      <w:lvlText w:val="(%1)"/>
      <w:numFmt w:val="lowerLetter"/>
      <w:start w:val="1"/>
    </w:lvl>
  </w:abstractNum>
  <w:abstractNum w:abstractNumId="108">
    <w:nsid w:val="53584BCB"/>
    <w:multiLevelType w:val="hybridMultilevel"/>
    <w:lvl w:ilvl="0">
      <w:lvlJc w:val="left"/>
      <w:lvlText w:val="(%1)"/>
      <w:numFmt w:val="decimal"/>
      <w:start w:val="1"/>
    </w:lvl>
  </w:abstractNum>
  <w:abstractNum w:abstractNumId="109">
    <w:nsid w:val="415E286C"/>
    <w:multiLevelType w:val="hybridMultilevel"/>
    <w:lvl w:ilvl="0">
      <w:lvlJc w:val="left"/>
      <w:lvlText w:val="(%1)"/>
      <w:numFmt w:val="lowerRoman"/>
      <w:start w:val="1"/>
    </w:lvl>
  </w:abstractNum>
  <w:abstractNum w:abstractNumId="110">
    <w:nsid w:val="7C58FD05"/>
    <w:multiLevelType w:val="hybridMultilevel"/>
    <w:lvl w:ilvl="0">
      <w:lvlJc w:val="left"/>
      <w:lvlText w:val="%1."/>
      <w:numFmt w:val="decimal"/>
      <w:start w:val="1"/>
    </w:lvl>
    <w:lvl w:ilvl="1">
      <w:lvlJc w:val="left"/>
      <w:lvlText w:val="(%2)"/>
      <w:numFmt w:val="lowerLetter"/>
      <w:start w:val="1"/>
    </w:lvl>
  </w:abstractNum>
  <w:abstractNum w:abstractNumId="111">
    <w:nsid w:val="23D86AAC"/>
    <w:multiLevelType w:val="hybridMultilevel"/>
    <w:lvl w:ilvl="0">
      <w:lvlJc w:val="left"/>
      <w:lvlText w:val="%1."/>
      <w:numFmt w:val="decimal"/>
      <w:start w:val="1"/>
    </w:lvl>
    <w:lvl w:ilvl="1">
      <w:lvlJc w:val="left"/>
      <w:lvlText w:val="(%2)"/>
      <w:numFmt w:val="lowerLetter"/>
      <w:start w:val="1"/>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59" Type="http://schemas.openxmlformats.org/officeDocument/2006/relationships/image" Target="media/image238.png"/><Relationship Id="rId260" Type="http://schemas.openxmlformats.org/officeDocument/2006/relationships/image" Target="media/image239.png"/><Relationship Id="rId273" Type="http://schemas.openxmlformats.org/officeDocument/2006/relationships/image" Target="media/image240.png"/><Relationship Id="rId274" Type="http://schemas.openxmlformats.org/officeDocument/2006/relationships/image" Target="media/image241.png"/><Relationship Id="rId275" Type="http://schemas.openxmlformats.org/officeDocument/2006/relationships/image" Target="media/image242.png"/><Relationship Id="rId276" Type="http://schemas.openxmlformats.org/officeDocument/2006/relationships/image" Target="media/image243.png"/><Relationship Id="rId277" Type="http://schemas.openxmlformats.org/officeDocument/2006/relationships/image" Target="media/image244.png"/><Relationship Id="rId278" Type="http://schemas.openxmlformats.org/officeDocument/2006/relationships/image" Target="media/image245.png"/><Relationship Id="rId279" Type="http://schemas.openxmlformats.org/officeDocument/2006/relationships/image" Target="media/image246.png"/><Relationship Id="rId280" Type="http://schemas.openxmlformats.org/officeDocument/2006/relationships/image" Target="media/image247.png"/><Relationship Id="rId281" Type="http://schemas.openxmlformats.org/officeDocument/2006/relationships/image" Target="media/image248.png"/><Relationship Id="rId282" Type="http://schemas.openxmlformats.org/officeDocument/2006/relationships/image" Target="media/image249.png"/><Relationship Id="rId283" Type="http://schemas.openxmlformats.org/officeDocument/2006/relationships/image" Target="media/image250.png"/><Relationship Id="rId284" Type="http://schemas.openxmlformats.org/officeDocument/2006/relationships/image" Target="media/image251.png"/><Relationship Id="rId285" Type="http://schemas.openxmlformats.org/officeDocument/2006/relationships/image" Target="media/image252.png"/><Relationship Id="rId286" Type="http://schemas.openxmlformats.org/officeDocument/2006/relationships/image" Target="media/image253.png"/><Relationship Id="rId287" Type="http://schemas.openxmlformats.org/officeDocument/2006/relationships/image" Target="media/image254.png"/><Relationship Id="rId288" Type="http://schemas.openxmlformats.org/officeDocument/2006/relationships/image" Target="media/image255.png"/><Relationship Id="rId289" Type="http://schemas.openxmlformats.org/officeDocument/2006/relationships/image" Target="media/image256.png"/><Relationship Id="rId290" Type="http://schemas.openxmlformats.org/officeDocument/2006/relationships/image" Target="media/image257.png"/><Relationship Id="rId291" Type="http://schemas.openxmlformats.org/officeDocument/2006/relationships/image" Target="media/image258.png"/><Relationship Id="rId292" Type="http://schemas.openxmlformats.org/officeDocument/2006/relationships/image" Target="media/image259.png"/><Relationship Id="rId293" Type="http://schemas.openxmlformats.org/officeDocument/2006/relationships/image" Target="media/image260.png"/><Relationship Id="rId294" Type="http://schemas.openxmlformats.org/officeDocument/2006/relationships/image" Target="media/image261.png"/><Relationship Id="rId295" Type="http://schemas.openxmlformats.org/officeDocument/2006/relationships/image" Target="media/image262.png"/><Relationship Id="rId296" Type="http://schemas.openxmlformats.org/officeDocument/2006/relationships/image" Target="media/image263.png"/><Relationship Id="rId297" Type="http://schemas.openxmlformats.org/officeDocument/2006/relationships/image" Target="media/image264.png"/><Relationship Id="rId298" Type="http://schemas.openxmlformats.org/officeDocument/2006/relationships/image" Target="media/image265.png"/><Relationship Id="rId299" Type="http://schemas.openxmlformats.org/officeDocument/2006/relationships/image" Target="media/image266.png"/><Relationship Id="rId300" Type="http://schemas.openxmlformats.org/officeDocument/2006/relationships/image" Target="media/image267.png"/><Relationship Id="rId301" Type="http://schemas.openxmlformats.org/officeDocument/2006/relationships/image" Target="media/image268.png"/><Relationship Id="rId302" Type="http://schemas.openxmlformats.org/officeDocument/2006/relationships/image" Target="media/image269.png"/><Relationship Id="rId303" Type="http://schemas.openxmlformats.org/officeDocument/2006/relationships/image" Target="media/image270.png"/><Relationship Id="rId304" Type="http://schemas.openxmlformats.org/officeDocument/2006/relationships/image" Target="media/image271.png"/><Relationship Id="rId305" Type="http://schemas.openxmlformats.org/officeDocument/2006/relationships/image" Target="media/image272.png"/><Relationship Id="rId306" Type="http://schemas.openxmlformats.org/officeDocument/2006/relationships/image" Target="media/image273.png"/><Relationship Id="rId307" Type="http://schemas.openxmlformats.org/officeDocument/2006/relationships/image" Target="media/image274.png"/><Relationship Id="rId308" Type="http://schemas.openxmlformats.org/officeDocument/2006/relationships/image" Target="media/image275.png"/><Relationship Id="rId309" Type="http://schemas.openxmlformats.org/officeDocument/2006/relationships/image" Target="media/image276.png"/><Relationship Id="rId310" Type="http://schemas.openxmlformats.org/officeDocument/2006/relationships/image" Target="media/image277.png"/><Relationship Id="rId311" Type="http://schemas.openxmlformats.org/officeDocument/2006/relationships/image" Target="media/image278.png"/><Relationship Id="rId312" Type="http://schemas.openxmlformats.org/officeDocument/2006/relationships/image" Target="media/image279.png"/><Relationship Id="rId313" Type="http://schemas.openxmlformats.org/officeDocument/2006/relationships/image" Target="media/image280.png"/><Relationship Id="rId314" Type="http://schemas.openxmlformats.org/officeDocument/2006/relationships/image" Target="media/image281.png"/><Relationship Id="rId315" Type="http://schemas.openxmlformats.org/officeDocument/2006/relationships/image" Target="media/image282.png"/><Relationship Id="rId316" Type="http://schemas.openxmlformats.org/officeDocument/2006/relationships/image" Target="media/image283.png"/><Relationship Id="rId317" Type="http://schemas.openxmlformats.org/officeDocument/2006/relationships/image" Target="media/image284.png"/><Relationship Id="rId318" Type="http://schemas.openxmlformats.org/officeDocument/2006/relationships/image" Target="media/image285.png"/><Relationship Id="rId319" Type="http://schemas.openxmlformats.org/officeDocument/2006/relationships/image" Target="media/image286.png"/><Relationship Id="rId320" Type="http://schemas.openxmlformats.org/officeDocument/2006/relationships/image" Target="media/image287.png"/><Relationship Id="rId321" Type="http://schemas.openxmlformats.org/officeDocument/2006/relationships/image" Target="media/image288.png"/><Relationship Id="rId322" Type="http://schemas.openxmlformats.org/officeDocument/2006/relationships/image" Target="media/image289.png"/><Relationship Id="rId323" Type="http://schemas.openxmlformats.org/officeDocument/2006/relationships/image" Target="media/image290.png"/><Relationship Id="rId324" Type="http://schemas.openxmlformats.org/officeDocument/2006/relationships/image" Target="media/image291.png"/><Relationship Id="rId325" Type="http://schemas.openxmlformats.org/officeDocument/2006/relationships/image" Target="media/image292.png"/><Relationship Id="rId326" Type="http://schemas.openxmlformats.org/officeDocument/2006/relationships/image" Target="media/image293.png"/><Relationship Id="rId327" Type="http://schemas.openxmlformats.org/officeDocument/2006/relationships/image" Target="media/image294.png"/><Relationship Id="rId328" Type="http://schemas.openxmlformats.org/officeDocument/2006/relationships/image" Target="media/image295.png"/><Relationship Id="rId329" Type="http://schemas.openxmlformats.org/officeDocument/2006/relationships/image" Target="media/image296.png"/><Relationship Id="rId330" Type="http://schemas.openxmlformats.org/officeDocument/2006/relationships/image" Target="media/image297.png"/><Relationship Id="rId331" Type="http://schemas.openxmlformats.org/officeDocument/2006/relationships/image" Target="media/image298.png"/><Relationship Id="rId332" Type="http://schemas.openxmlformats.org/officeDocument/2006/relationships/image" Target="media/image299.png"/><Relationship Id="rId333" Type="http://schemas.openxmlformats.org/officeDocument/2006/relationships/image" Target="media/image300.png"/><Relationship Id="rId334" Type="http://schemas.openxmlformats.org/officeDocument/2006/relationships/image" Target="media/image301.png"/><Relationship Id="rId335" Type="http://schemas.openxmlformats.org/officeDocument/2006/relationships/image" Target="media/image302.png"/><Relationship Id="rId336" Type="http://schemas.openxmlformats.org/officeDocument/2006/relationships/image" Target="media/image303.png"/><Relationship Id="rId337" Type="http://schemas.openxmlformats.org/officeDocument/2006/relationships/image" Target="media/image304.png"/><Relationship Id="rId338" Type="http://schemas.openxmlformats.org/officeDocument/2006/relationships/image" Target="media/image305.png"/><Relationship Id="rId339" Type="http://schemas.openxmlformats.org/officeDocument/2006/relationships/image" Target="media/image306.png"/><Relationship Id="rId340" Type="http://schemas.openxmlformats.org/officeDocument/2006/relationships/image" Target="media/image307.png"/><Relationship Id="rId341" Type="http://schemas.openxmlformats.org/officeDocument/2006/relationships/image" Target="media/image308.png"/><Relationship Id="rId342" Type="http://schemas.openxmlformats.org/officeDocument/2006/relationships/image" Target="media/image309.png"/><Relationship Id="rId343" Type="http://schemas.openxmlformats.org/officeDocument/2006/relationships/image" Target="media/image310.png"/><Relationship Id="rId344" Type="http://schemas.openxmlformats.org/officeDocument/2006/relationships/image" Target="media/image311.png"/><Relationship Id="rId345" Type="http://schemas.openxmlformats.org/officeDocument/2006/relationships/image" Target="media/image312.png"/><Relationship Id="rId346" Type="http://schemas.openxmlformats.org/officeDocument/2006/relationships/image" Target="media/image313.png"/><Relationship Id="rId347" Type="http://schemas.openxmlformats.org/officeDocument/2006/relationships/image" Target="media/image314.png"/><Relationship Id="rId348" Type="http://schemas.openxmlformats.org/officeDocument/2006/relationships/image" Target="media/image315.png"/><Relationship Id="rId349" Type="http://schemas.openxmlformats.org/officeDocument/2006/relationships/image" Target="media/image316.png"/><Relationship Id="rId350" Type="http://schemas.openxmlformats.org/officeDocument/2006/relationships/image" Target="media/image317.png"/><Relationship Id="rId351" Type="http://schemas.openxmlformats.org/officeDocument/2006/relationships/image" Target="media/image318.png"/><Relationship Id="rId352" Type="http://schemas.openxmlformats.org/officeDocument/2006/relationships/image" Target="media/image319.png"/><Relationship Id="rId353" Type="http://schemas.openxmlformats.org/officeDocument/2006/relationships/image" Target="media/image320.png"/><Relationship Id="rId354" Type="http://schemas.openxmlformats.org/officeDocument/2006/relationships/image" Target="media/image321.png"/><Relationship Id="rId355" Type="http://schemas.openxmlformats.org/officeDocument/2006/relationships/image" Target="media/image322.png"/><Relationship Id="rId356" Type="http://schemas.openxmlformats.org/officeDocument/2006/relationships/image" Target="media/image323.png"/><Relationship Id="rId357" Type="http://schemas.openxmlformats.org/officeDocument/2006/relationships/image" Target="media/image324.png"/><Relationship Id="rId358" Type="http://schemas.openxmlformats.org/officeDocument/2006/relationships/image" Target="media/image325.png"/><Relationship Id="rId359" Type="http://schemas.openxmlformats.org/officeDocument/2006/relationships/image" Target="media/image326.png"/><Relationship Id="rId360" Type="http://schemas.openxmlformats.org/officeDocument/2006/relationships/image" Target="media/image327.png"/><Relationship Id="rId361" Type="http://schemas.openxmlformats.org/officeDocument/2006/relationships/image" Target="media/image328.png"/><Relationship Id="rId362" Type="http://schemas.openxmlformats.org/officeDocument/2006/relationships/image" Target="media/image329.png"/><Relationship Id="rId363" Type="http://schemas.openxmlformats.org/officeDocument/2006/relationships/image" Target="media/image330.png"/><Relationship Id="rId364" Type="http://schemas.openxmlformats.org/officeDocument/2006/relationships/image" Target="media/image331.png"/><Relationship Id="rId365" Type="http://schemas.openxmlformats.org/officeDocument/2006/relationships/image" Target="media/image332.png"/><Relationship Id="rId366" Type="http://schemas.openxmlformats.org/officeDocument/2006/relationships/image" Target="media/image333.png"/><Relationship Id="rId367" Type="http://schemas.openxmlformats.org/officeDocument/2006/relationships/image" Target="media/image334.png"/><Relationship Id="rId368" Type="http://schemas.openxmlformats.org/officeDocument/2006/relationships/image" Target="media/image335.png"/><Relationship Id="rId369" Type="http://schemas.openxmlformats.org/officeDocument/2006/relationships/image" Target="media/image336.png"/><Relationship Id="rId370" Type="http://schemas.openxmlformats.org/officeDocument/2006/relationships/image" Target="media/image337.png"/><Relationship Id="rId371" Type="http://schemas.openxmlformats.org/officeDocument/2006/relationships/image" Target="media/image338.png"/><Relationship Id="rId372" Type="http://schemas.openxmlformats.org/officeDocument/2006/relationships/image" Target="media/image339.png"/><Relationship Id="rId373" Type="http://schemas.openxmlformats.org/officeDocument/2006/relationships/image" Target="media/image340.png"/><Relationship Id="rId374" Type="http://schemas.openxmlformats.org/officeDocument/2006/relationships/image" Target="media/image341.png"/><Relationship Id="rId375" Type="http://schemas.openxmlformats.org/officeDocument/2006/relationships/image" Target="media/image342.png"/><Relationship Id="rId376" Type="http://schemas.openxmlformats.org/officeDocument/2006/relationships/image" Target="media/image343.png"/><Relationship Id="rId377" Type="http://schemas.openxmlformats.org/officeDocument/2006/relationships/image" Target="media/image344.png"/><Relationship Id="rId378" Type="http://schemas.openxmlformats.org/officeDocument/2006/relationships/image" Target="media/image345.png"/><Relationship Id="rId379" Type="http://schemas.openxmlformats.org/officeDocument/2006/relationships/image" Target="media/image346.png"/><Relationship Id="rId380" Type="http://schemas.openxmlformats.org/officeDocument/2006/relationships/image" Target="media/image347.png"/><Relationship Id="rId381" Type="http://schemas.openxmlformats.org/officeDocument/2006/relationships/image" Target="media/image348.png"/><Relationship Id="rId382" Type="http://schemas.openxmlformats.org/officeDocument/2006/relationships/image" Target="media/image349.png"/><Relationship Id="rId383" Type="http://schemas.openxmlformats.org/officeDocument/2006/relationships/image" Target="media/image350.png"/><Relationship Id="rId384" Type="http://schemas.openxmlformats.org/officeDocument/2006/relationships/image" Target="media/image351.png"/><Relationship Id="rId385" Type="http://schemas.openxmlformats.org/officeDocument/2006/relationships/image" Target="media/image352.png"/><Relationship Id="rId386" Type="http://schemas.openxmlformats.org/officeDocument/2006/relationships/image" Target="media/image353.png"/><Relationship Id="rId387" Type="http://schemas.openxmlformats.org/officeDocument/2006/relationships/image" Target="media/image354.png"/><Relationship Id="rId388" Type="http://schemas.openxmlformats.org/officeDocument/2006/relationships/image" Target="media/image355.png"/><Relationship Id="rId389" Type="http://schemas.openxmlformats.org/officeDocument/2006/relationships/image" Target="media/image356.png"/><Relationship Id="rId390" Type="http://schemas.openxmlformats.org/officeDocument/2006/relationships/image" Target="media/image357.png"/><Relationship Id="rId391" Type="http://schemas.openxmlformats.org/officeDocument/2006/relationships/image" Target="media/image358.png"/><Relationship Id="rId392" Type="http://schemas.openxmlformats.org/officeDocument/2006/relationships/image" Target="media/image359.png"/><Relationship Id="rId393" Type="http://schemas.openxmlformats.org/officeDocument/2006/relationships/image" Target="media/image360.png"/><Relationship Id="rId394" Type="http://schemas.openxmlformats.org/officeDocument/2006/relationships/image" Target="media/image361.png"/><Relationship Id="rId395" Type="http://schemas.openxmlformats.org/officeDocument/2006/relationships/image" Target="media/image362.png"/><Relationship Id="rId396" Type="http://schemas.openxmlformats.org/officeDocument/2006/relationships/image" Target="media/image363.png"/><Relationship Id="rId397" Type="http://schemas.openxmlformats.org/officeDocument/2006/relationships/image" Target="media/image364.png"/><Relationship Id="rId398" Type="http://schemas.openxmlformats.org/officeDocument/2006/relationships/image" Target="media/image365.png"/><Relationship Id="rId399" Type="http://schemas.openxmlformats.org/officeDocument/2006/relationships/image" Target="media/image366.png"/><Relationship Id="rId400" Type="http://schemas.openxmlformats.org/officeDocument/2006/relationships/image" Target="media/image367.png"/><Relationship Id="rId401" Type="http://schemas.openxmlformats.org/officeDocument/2006/relationships/image" Target="media/image368.png"/><Relationship Id="rId402" Type="http://schemas.openxmlformats.org/officeDocument/2006/relationships/image" Target="media/image369.png"/><Relationship Id="rId403" Type="http://schemas.openxmlformats.org/officeDocument/2006/relationships/image" Target="media/image370.png"/><Relationship Id="rId404" Type="http://schemas.openxmlformats.org/officeDocument/2006/relationships/image" Target="media/image371.png"/><Relationship Id="rId405" Type="http://schemas.openxmlformats.org/officeDocument/2006/relationships/image" Target="media/image372.png"/><Relationship Id="rId406" Type="http://schemas.openxmlformats.org/officeDocument/2006/relationships/image" Target="media/image373.png"/><Relationship Id="rId407" Type="http://schemas.openxmlformats.org/officeDocument/2006/relationships/image" Target="media/image374.png"/><Relationship Id="rId408" Type="http://schemas.openxmlformats.org/officeDocument/2006/relationships/image" Target="media/image375.png"/><Relationship Id="rId409" Type="http://schemas.openxmlformats.org/officeDocument/2006/relationships/image" Target="media/image376.png"/><Relationship Id="rId410" Type="http://schemas.openxmlformats.org/officeDocument/2006/relationships/image" Target="media/image377.png"/><Relationship Id="rId411" Type="http://schemas.openxmlformats.org/officeDocument/2006/relationships/image" Target="media/image378.png"/><Relationship Id="rId412" Type="http://schemas.openxmlformats.org/officeDocument/2006/relationships/image" Target="media/image379.png"/><Relationship Id="rId413" Type="http://schemas.openxmlformats.org/officeDocument/2006/relationships/image" Target="media/image380.png"/><Relationship Id="rId414" Type="http://schemas.openxmlformats.org/officeDocument/2006/relationships/image" Target="media/image381.png"/><Relationship Id="rId415" Type="http://schemas.openxmlformats.org/officeDocument/2006/relationships/image" Target="media/image382.png"/><Relationship Id="rId416" Type="http://schemas.openxmlformats.org/officeDocument/2006/relationships/image" Target="media/image383.png"/><Relationship Id="rId417" Type="http://schemas.openxmlformats.org/officeDocument/2006/relationships/image" Target="media/image384.png"/><Relationship Id="rId418" Type="http://schemas.openxmlformats.org/officeDocument/2006/relationships/image" Target="media/image385.png"/><Relationship Id="rId419" Type="http://schemas.openxmlformats.org/officeDocument/2006/relationships/image" Target="media/image386.png"/><Relationship Id="rId420" Type="http://schemas.openxmlformats.org/officeDocument/2006/relationships/image" Target="media/image387.png"/><Relationship Id="rId421" Type="http://schemas.openxmlformats.org/officeDocument/2006/relationships/image" Target="media/image388.png"/><Relationship Id="rId422" Type="http://schemas.openxmlformats.org/officeDocument/2006/relationships/image" Target="media/image389.png"/><Relationship Id="rId423" Type="http://schemas.openxmlformats.org/officeDocument/2006/relationships/image" Target="media/image390.png"/><Relationship Id="rId424" Type="http://schemas.openxmlformats.org/officeDocument/2006/relationships/image" Target="media/image391.png"/><Relationship Id="rId425" Type="http://schemas.openxmlformats.org/officeDocument/2006/relationships/image" Target="media/image392.png"/><Relationship Id="rId426" Type="http://schemas.openxmlformats.org/officeDocument/2006/relationships/image" Target="media/image393.png"/><Relationship Id="rId427" Type="http://schemas.openxmlformats.org/officeDocument/2006/relationships/image" Target="media/image394.png"/><Relationship Id="rId428" Type="http://schemas.openxmlformats.org/officeDocument/2006/relationships/image" Target="media/image395.png"/><Relationship Id="rId429" Type="http://schemas.openxmlformats.org/officeDocument/2006/relationships/image" Target="media/image396.png"/><Relationship Id="rId430" Type="http://schemas.openxmlformats.org/officeDocument/2006/relationships/image" Target="media/image397.png"/><Relationship Id="rId431" Type="http://schemas.openxmlformats.org/officeDocument/2006/relationships/image" Target="media/image398.png"/><Relationship Id="rId432" Type="http://schemas.openxmlformats.org/officeDocument/2006/relationships/image" Target="media/image399.png"/><Relationship Id="rId433" Type="http://schemas.openxmlformats.org/officeDocument/2006/relationships/image" Target="media/image400.png"/><Relationship Id="rId434" Type="http://schemas.openxmlformats.org/officeDocument/2006/relationships/image" Target="media/image401.png"/><Relationship Id="rId435" Type="http://schemas.openxmlformats.org/officeDocument/2006/relationships/image" Target="media/image402.png"/><Relationship Id="rId436" Type="http://schemas.openxmlformats.org/officeDocument/2006/relationships/image" Target="media/image403.png"/><Relationship Id="rId437" Type="http://schemas.openxmlformats.org/officeDocument/2006/relationships/image" Target="media/image404.png"/><Relationship Id="rId438" Type="http://schemas.openxmlformats.org/officeDocument/2006/relationships/image" Target="media/image405.png"/><Relationship Id="rId439" Type="http://schemas.openxmlformats.org/officeDocument/2006/relationships/image" Target="media/image406.png"/><Relationship Id="rId440" Type="http://schemas.openxmlformats.org/officeDocument/2006/relationships/image" Target="media/image407.png"/><Relationship Id="rId441" Type="http://schemas.openxmlformats.org/officeDocument/2006/relationships/image" Target="media/image408.png"/><Relationship Id="rId442" Type="http://schemas.openxmlformats.org/officeDocument/2006/relationships/image" Target="media/image409.png"/><Relationship Id="rId443" Type="http://schemas.openxmlformats.org/officeDocument/2006/relationships/image" Target="media/image410.png"/><Relationship Id="rId444" Type="http://schemas.openxmlformats.org/officeDocument/2006/relationships/image" Target="media/image411.png"/><Relationship Id="rId445" Type="http://schemas.openxmlformats.org/officeDocument/2006/relationships/image" Target="media/image412.png"/><Relationship Id="rId446" Type="http://schemas.openxmlformats.org/officeDocument/2006/relationships/image" Target="media/image413.png"/><Relationship Id="rId447" Type="http://schemas.openxmlformats.org/officeDocument/2006/relationships/image" Target="media/image414.png"/><Relationship Id="rId448" Type="http://schemas.openxmlformats.org/officeDocument/2006/relationships/image" Target="media/image415.png"/><Relationship Id="rId449" Type="http://schemas.openxmlformats.org/officeDocument/2006/relationships/image" Target="media/image416.png"/><Relationship Id="rId450" Type="http://schemas.openxmlformats.org/officeDocument/2006/relationships/image" Target="media/image417.png"/><Relationship Id="rId451" Type="http://schemas.openxmlformats.org/officeDocument/2006/relationships/image" Target="media/image418.png"/><Relationship Id="rId452" Type="http://schemas.openxmlformats.org/officeDocument/2006/relationships/image" Target="media/image419.png"/><Relationship Id="rId453" Type="http://schemas.openxmlformats.org/officeDocument/2006/relationships/image" Target="media/image420.png"/><Relationship Id="rId454" Type="http://schemas.openxmlformats.org/officeDocument/2006/relationships/image" Target="media/image421.png"/><Relationship Id="rId455" Type="http://schemas.openxmlformats.org/officeDocument/2006/relationships/image" Target="media/image422.png"/><Relationship Id="rId456" Type="http://schemas.openxmlformats.org/officeDocument/2006/relationships/image" Target="media/image423.png"/><Relationship Id="rId457" Type="http://schemas.openxmlformats.org/officeDocument/2006/relationships/image" Target="media/image424.png"/><Relationship Id="rId458" Type="http://schemas.openxmlformats.org/officeDocument/2006/relationships/image" Target="media/image425.png"/><Relationship Id="rId459" Type="http://schemas.openxmlformats.org/officeDocument/2006/relationships/image" Target="media/image426.png"/><Relationship Id="rId460" Type="http://schemas.openxmlformats.org/officeDocument/2006/relationships/image" Target="media/image427.png"/><Relationship Id="rId461" Type="http://schemas.openxmlformats.org/officeDocument/2006/relationships/image" Target="media/image428.png"/><Relationship Id="rId462" Type="http://schemas.openxmlformats.org/officeDocument/2006/relationships/image" Target="media/image429.png"/><Relationship Id="rId463" Type="http://schemas.openxmlformats.org/officeDocument/2006/relationships/image" Target="media/image430.png"/><Relationship Id="rId464" Type="http://schemas.openxmlformats.org/officeDocument/2006/relationships/image" Target="media/image431.png"/><Relationship Id="rId465" Type="http://schemas.openxmlformats.org/officeDocument/2006/relationships/image" Target="media/image432.png"/><Relationship Id="rId466" Type="http://schemas.openxmlformats.org/officeDocument/2006/relationships/image" Target="media/image433.png"/><Relationship Id="rId467" Type="http://schemas.openxmlformats.org/officeDocument/2006/relationships/image" Target="media/image434.png"/><Relationship Id="rId468" Type="http://schemas.openxmlformats.org/officeDocument/2006/relationships/image" Target="media/image435.png"/><Relationship Id="rId469" Type="http://schemas.openxmlformats.org/officeDocument/2006/relationships/image" Target="media/image436.png"/><Relationship Id="rId470" Type="http://schemas.openxmlformats.org/officeDocument/2006/relationships/image" Target="media/image437.png"/><Relationship Id="rId471" Type="http://schemas.openxmlformats.org/officeDocument/2006/relationships/image" Target="media/image438.png"/><Relationship Id="rId472" Type="http://schemas.openxmlformats.org/officeDocument/2006/relationships/image" Target="media/image439.png"/><Relationship Id="rId473" Type="http://schemas.openxmlformats.org/officeDocument/2006/relationships/image" Target="media/image440.png"/><Relationship Id="rId474" Type="http://schemas.openxmlformats.org/officeDocument/2006/relationships/image" Target="media/image441.png"/><Relationship Id="rId475" Type="http://schemas.openxmlformats.org/officeDocument/2006/relationships/image" Target="media/image442.png"/><Relationship Id="rId476" Type="http://schemas.openxmlformats.org/officeDocument/2006/relationships/image" Target="media/image443.png"/><Relationship Id="rId477" Type="http://schemas.openxmlformats.org/officeDocument/2006/relationships/image" Target="media/image444.png"/><Relationship Id="rId478" Type="http://schemas.openxmlformats.org/officeDocument/2006/relationships/image" Target="media/image445.png"/><Relationship Id="rId479" Type="http://schemas.openxmlformats.org/officeDocument/2006/relationships/image" Target="media/image446.png"/><Relationship Id="rId480" Type="http://schemas.openxmlformats.org/officeDocument/2006/relationships/image" Target="media/image447.png"/><Relationship Id="rId481" Type="http://schemas.openxmlformats.org/officeDocument/2006/relationships/image" Target="media/image448.png"/><Relationship Id="rId482" Type="http://schemas.openxmlformats.org/officeDocument/2006/relationships/image" Target="media/image449.png"/><Relationship Id="rId483" Type="http://schemas.openxmlformats.org/officeDocument/2006/relationships/image" Target="media/image450.png"/><Relationship Id="rId484" Type="http://schemas.openxmlformats.org/officeDocument/2006/relationships/image" Target="media/image451.png"/><Relationship Id="rId485" Type="http://schemas.openxmlformats.org/officeDocument/2006/relationships/image" Target="media/image452.png"/><Relationship Id="rId486" Type="http://schemas.openxmlformats.org/officeDocument/2006/relationships/image" Target="media/image453.png"/><Relationship Id="rId487" Type="http://schemas.openxmlformats.org/officeDocument/2006/relationships/image" Target="media/image454.png"/><Relationship Id="rId488" Type="http://schemas.openxmlformats.org/officeDocument/2006/relationships/image" Target="media/image455.png"/><Relationship Id="rId489" Type="http://schemas.openxmlformats.org/officeDocument/2006/relationships/image" Target="media/image456.png"/><Relationship Id="rId490" Type="http://schemas.openxmlformats.org/officeDocument/2006/relationships/image" Target="media/image457.png"/><Relationship Id="rId491" Type="http://schemas.openxmlformats.org/officeDocument/2006/relationships/image" Target="media/image458.png"/><Relationship Id="rId492" Type="http://schemas.openxmlformats.org/officeDocument/2006/relationships/image" Target="media/image459.png"/><Relationship Id="rId493" Type="http://schemas.openxmlformats.org/officeDocument/2006/relationships/image" Target="media/image460.png"/><Relationship Id="rId494" Type="http://schemas.openxmlformats.org/officeDocument/2006/relationships/image" Target="media/image461.png"/><Relationship Id="rId495" Type="http://schemas.openxmlformats.org/officeDocument/2006/relationships/image" Target="media/image462.png"/><Relationship Id="rId496" Type="http://schemas.openxmlformats.org/officeDocument/2006/relationships/image" Target="media/image463.png"/><Relationship Id="rId497" Type="http://schemas.openxmlformats.org/officeDocument/2006/relationships/image" Target="media/image464.png"/><Relationship Id="rId498" Type="http://schemas.openxmlformats.org/officeDocument/2006/relationships/image" Target="media/image465.png"/><Relationship Id="rId499" Type="http://schemas.openxmlformats.org/officeDocument/2006/relationships/image" Target="media/image466.png"/><Relationship Id="rId500" Type="http://schemas.openxmlformats.org/officeDocument/2006/relationships/image" Target="media/image467.png"/><Relationship Id="rId501" Type="http://schemas.openxmlformats.org/officeDocument/2006/relationships/image" Target="media/image468.png"/><Relationship Id="rId502" Type="http://schemas.openxmlformats.org/officeDocument/2006/relationships/image" Target="media/image469.png"/><Relationship Id="rId503" Type="http://schemas.openxmlformats.org/officeDocument/2006/relationships/image" Target="media/image470.png"/><Relationship Id="rId504" Type="http://schemas.openxmlformats.org/officeDocument/2006/relationships/image" Target="media/image471.png"/><Relationship Id="rId505" Type="http://schemas.openxmlformats.org/officeDocument/2006/relationships/image" Target="media/image472.png"/><Relationship Id="rId506" Type="http://schemas.openxmlformats.org/officeDocument/2006/relationships/image" Target="media/image473.png"/><Relationship Id="rId507" Type="http://schemas.openxmlformats.org/officeDocument/2006/relationships/image" Target="media/image474.png"/><Relationship Id="rId508" Type="http://schemas.openxmlformats.org/officeDocument/2006/relationships/image" Target="media/image475.png"/><Relationship Id="rId509" Type="http://schemas.openxmlformats.org/officeDocument/2006/relationships/image" Target="media/image476.png"/><Relationship Id="rId510" Type="http://schemas.openxmlformats.org/officeDocument/2006/relationships/image" Target="media/image477.png"/><Relationship Id="rId511" Type="http://schemas.openxmlformats.org/officeDocument/2006/relationships/image" Target="media/image478.png"/><Relationship Id="rId512" Type="http://schemas.openxmlformats.org/officeDocument/2006/relationships/image" Target="media/image479.png"/><Relationship Id="rId513" Type="http://schemas.openxmlformats.org/officeDocument/2006/relationships/image" Target="media/image480.png"/><Relationship Id="rId514" Type="http://schemas.openxmlformats.org/officeDocument/2006/relationships/image" Target="media/image481.png"/><Relationship Id="rId515" Type="http://schemas.openxmlformats.org/officeDocument/2006/relationships/image" Target="media/image482.png"/><Relationship Id="rId516" Type="http://schemas.openxmlformats.org/officeDocument/2006/relationships/image" Target="media/image483.png"/><Relationship Id="rId517" Type="http://schemas.openxmlformats.org/officeDocument/2006/relationships/image" Target="media/image484.png"/><Relationship Id="rId518" Type="http://schemas.openxmlformats.org/officeDocument/2006/relationships/image" Target="media/image485.png"/><Relationship Id="rId519" Type="http://schemas.openxmlformats.org/officeDocument/2006/relationships/image" Target="media/image486.png"/><Relationship Id="rId520" Type="http://schemas.openxmlformats.org/officeDocument/2006/relationships/image" Target="media/image487.png"/><Relationship Id="rId521" Type="http://schemas.openxmlformats.org/officeDocument/2006/relationships/image" Target="media/image488.png"/><Relationship Id="rId522" Type="http://schemas.openxmlformats.org/officeDocument/2006/relationships/image" Target="media/image489.png"/><Relationship Id="rId523" Type="http://schemas.openxmlformats.org/officeDocument/2006/relationships/image" Target="media/image490.png"/><Relationship Id="rId524" Type="http://schemas.openxmlformats.org/officeDocument/2006/relationships/image" Target="media/image491.png"/><Relationship Id="rId525" Type="http://schemas.openxmlformats.org/officeDocument/2006/relationships/image" Target="media/image492.png"/><Relationship Id="rId526" Type="http://schemas.openxmlformats.org/officeDocument/2006/relationships/image" Target="media/image493.png"/><Relationship Id="rId527" Type="http://schemas.openxmlformats.org/officeDocument/2006/relationships/image" Target="media/image494.png"/><Relationship Id="rId528" Type="http://schemas.openxmlformats.org/officeDocument/2006/relationships/image" Target="media/image495.png"/><Relationship Id="rId529" Type="http://schemas.openxmlformats.org/officeDocument/2006/relationships/image" Target="media/image496.png"/><Relationship Id="rId530" Type="http://schemas.openxmlformats.org/officeDocument/2006/relationships/image" Target="media/image497.png"/><Relationship Id="rId531" Type="http://schemas.openxmlformats.org/officeDocument/2006/relationships/image" Target="media/image498.png"/><Relationship Id="rId532" Type="http://schemas.openxmlformats.org/officeDocument/2006/relationships/image" Target="media/image499.png"/><Relationship Id="rId533" Type="http://schemas.openxmlformats.org/officeDocument/2006/relationships/image" Target="media/image500.png"/><Relationship Id="rId534" Type="http://schemas.openxmlformats.org/officeDocument/2006/relationships/image" Target="media/image501.png"/><Relationship Id="rId535" Type="http://schemas.openxmlformats.org/officeDocument/2006/relationships/image" Target="media/image502.png"/><Relationship Id="rId536" Type="http://schemas.openxmlformats.org/officeDocument/2006/relationships/image" Target="media/image503.png"/><Relationship Id="rId537" Type="http://schemas.openxmlformats.org/officeDocument/2006/relationships/image" Target="media/image504.png"/><Relationship Id="rId538" Type="http://schemas.openxmlformats.org/officeDocument/2006/relationships/image" Target="media/image505.png"/><Relationship Id="rId539" Type="http://schemas.openxmlformats.org/officeDocument/2006/relationships/image" Target="media/image506.png"/><Relationship Id="rId540" Type="http://schemas.openxmlformats.org/officeDocument/2006/relationships/image" Target="media/image507.png"/><Relationship Id="rId541" Type="http://schemas.openxmlformats.org/officeDocument/2006/relationships/image" Target="media/image508.png"/><Relationship Id="rId542" Type="http://schemas.openxmlformats.org/officeDocument/2006/relationships/image" Target="media/image509.png"/><Relationship Id="rId543" Type="http://schemas.openxmlformats.org/officeDocument/2006/relationships/image" Target="media/image510.png"/><Relationship Id="rId544" Type="http://schemas.openxmlformats.org/officeDocument/2006/relationships/image" Target="media/image511.png"/><Relationship Id="rId545" Type="http://schemas.openxmlformats.org/officeDocument/2006/relationships/image" Target="media/image512.png"/><Relationship Id="rId546" Type="http://schemas.openxmlformats.org/officeDocument/2006/relationships/image" Target="media/image513.png"/><Relationship Id="rId547" Type="http://schemas.openxmlformats.org/officeDocument/2006/relationships/image" Target="media/image514.png"/><Relationship Id="rId548" Type="http://schemas.openxmlformats.org/officeDocument/2006/relationships/image" Target="media/image515.png"/><Relationship Id="rId549" Type="http://schemas.openxmlformats.org/officeDocument/2006/relationships/image" Target="media/image516.png"/><Relationship Id="rId550" Type="http://schemas.openxmlformats.org/officeDocument/2006/relationships/image" Target="media/image517.png"/><Relationship Id="rId551" Type="http://schemas.openxmlformats.org/officeDocument/2006/relationships/image" Target="media/image518.png"/><Relationship Id="rId552" Type="http://schemas.openxmlformats.org/officeDocument/2006/relationships/image" Target="media/image519.png"/><Relationship Id="rId553" Type="http://schemas.openxmlformats.org/officeDocument/2006/relationships/image" Target="media/image520.png"/><Relationship Id="rId554" Type="http://schemas.openxmlformats.org/officeDocument/2006/relationships/image" Target="media/image521.png"/><Relationship Id="rId555" Type="http://schemas.openxmlformats.org/officeDocument/2006/relationships/image" Target="media/image522.png"/><Relationship Id="rId556" Type="http://schemas.openxmlformats.org/officeDocument/2006/relationships/image" Target="media/image523.png"/><Relationship Id="rId557" Type="http://schemas.openxmlformats.org/officeDocument/2006/relationships/image" Target="media/image524.png"/><Relationship Id="rId558" Type="http://schemas.openxmlformats.org/officeDocument/2006/relationships/image" Target="media/image525.png"/><Relationship Id="rId559" Type="http://schemas.openxmlformats.org/officeDocument/2006/relationships/image" Target="media/image526.png"/><Relationship Id="rId560" Type="http://schemas.openxmlformats.org/officeDocument/2006/relationships/image" Target="media/image527.png"/><Relationship Id="rId561" Type="http://schemas.openxmlformats.org/officeDocument/2006/relationships/image" Target="media/image528.png"/><Relationship Id="rId562" Type="http://schemas.openxmlformats.org/officeDocument/2006/relationships/image" Target="media/image529.png"/><Relationship Id="rId563" Type="http://schemas.openxmlformats.org/officeDocument/2006/relationships/image" Target="media/image530.png"/><Relationship Id="rId564" Type="http://schemas.openxmlformats.org/officeDocument/2006/relationships/image" Target="media/image531.png"/><Relationship Id="rId565" Type="http://schemas.openxmlformats.org/officeDocument/2006/relationships/image" Target="media/image532.png"/><Relationship Id="rId566" Type="http://schemas.openxmlformats.org/officeDocument/2006/relationships/image" Target="media/image533.png"/><Relationship Id="rId567" Type="http://schemas.openxmlformats.org/officeDocument/2006/relationships/image" Target="media/image534.png"/><Relationship Id="rId568" Type="http://schemas.openxmlformats.org/officeDocument/2006/relationships/image" Target="media/image535.png"/><Relationship Id="rId569" Type="http://schemas.openxmlformats.org/officeDocument/2006/relationships/image" Target="media/image536.png"/><Relationship Id="rId570" Type="http://schemas.openxmlformats.org/officeDocument/2006/relationships/image" Target="media/image537.png"/><Relationship Id="rId571" Type="http://schemas.openxmlformats.org/officeDocument/2006/relationships/image" Target="media/image538.png"/><Relationship Id="rId572" Type="http://schemas.openxmlformats.org/officeDocument/2006/relationships/image" Target="media/image539.png"/><Relationship Id="rId573" Type="http://schemas.openxmlformats.org/officeDocument/2006/relationships/image" Target="media/image540.png"/><Relationship Id="rId574" Type="http://schemas.openxmlformats.org/officeDocument/2006/relationships/image" Target="media/image541.png"/><Relationship Id="rId575" Type="http://schemas.openxmlformats.org/officeDocument/2006/relationships/image" Target="media/image542.png"/><Relationship Id="rId576" Type="http://schemas.openxmlformats.org/officeDocument/2006/relationships/image" Target="media/image543.png"/><Relationship Id="rId577" Type="http://schemas.openxmlformats.org/officeDocument/2006/relationships/image" Target="media/image544.png"/><Relationship Id="rId578" Type="http://schemas.openxmlformats.org/officeDocument/2006/relationships/image" Target="media/image545.png"/><Relationship Id="rId579" Type="http://schemas.openxmlformats.org/officeDocument/2006/relationships/image" Target="media/image546.png"/><Relationship Id="rId580" Type="http://schemas.openxmlformats.org/officeDocument/2006/relationships/image" Target="media/image547.png"/><Relationship Id="rId581" Type="http://schemas.openxmlformats.org/officeDocument/2006/relationships/image" Target="media/image548.png"/><Relationship Id="rId582" Type="http://schemas.openxmlformats.org/officeDocument/2006/relationships/image" Target="media/image549.png"/><Relationship Id="rId583" Type="http://schemas.openxmlformats.org/officeDocument/2006/relationships/image" Target="media/image550.png"/><Relationship Id="rId584" Type="http://schemas.openxmlformats.org/officeDocument/2006/relationships/image" Target="media/image551.png"/><Relationship Id="rId585" Type="http://schemas.openxmlformats.org/officeDocument/2006/relationships/image" Target="media/image552.png"/><Relationship Id="rId586" Type="http://schemas.openxmlformats.org/officeDocument/2006/relationships/image" Target="media/image553.png"/><Relationship Id="rId587" Type="http://schemas.openxmlformats.org/officeDocument/2006/relationships/image" Target="media/image554.png"/><Relationship Id="rId588" Type="http://schemas.openxmlformats.org/officeDocument/2006/relationships/image" Target="media/image555.png"/><Relationship Id="rId589" Type="http://schemas.openxmlformats.org/officeDocument/2006/relationships/image" Target="media/image556.png"/><Relationship Id="rId590" Type="http://schemas.openxmlformats.org/officeDocument/2006/relationships/image" Target="media/image557.png"/><Relationship Id="rId591" Type="http://schemas.openxmlformats.org/officeDocument/2006/relationships/image" Target="media/image558.png"/><Relationship Id="rId592" Type="http://schemas.openxmlformats.org/officeDocument/2006/relationships/image" Target="media/image559.png"/><Relationship Id="rId593" Type="http://schemas.openxmlformats.org/officeDocument/2006/relationships/image" Target="media/image560.png"/><Relationship Id="rId594" Type="http://schemas.openxmlformats.org/officeDocument/2006/relationships/image" Target="media/image561.png"/><Relationship Id="rId595" Type="http://schemas.openxmlformats.org/officeDocument/2006/relationships/image" Target="media/image562.png"/><Relationship Id="rId596" Type="http://schemas.openxmlformats.org/officeDocument/2006/relationships/image" Target="media/image563.png"/><Relationship Id="rId597" Type="http://schemas.openxmlformats.org/officeDocument/2006/relationships/image" Target="media/image564.png"/><Relationship Id="rId598" Type="http://schemas.openxmlformats.org/officeDocument/2006/relationships/image" Target="media/image565.png"/><Relationship Id="rId599" Type="http://schemas.openxmlformats.org/officeDocument/2006/relationships/image" Target="media/image566.png"/><Relationship Id="rId600" Type="http://schemas.openxmlformats.org/officeDocument/2006/relationships/image" Target="media/image567.png"/><Relationship Id="rId601" Type="http://schemas.openxmlformats.org/officeDocument/2006/relationships/image" Target="media/image568.png"/><Relationship Id="rId602" Type="http://schemas.openxmlformats.org/officeDocument/2006/relationships/image" Target="media/image569.png"/><Relationship Id="rId603" Type="http://schemas.openxmlformats.org/officeDocument/2006/relationships/image" Target="media/image570.png"/><Relationship Id="rId604" Type="http://schemas.openxmlformats.org/officeDocument/2006/relationships/image" Target="media/image571.png"/><Relationship Id="rId605" Type="http://schemas.openxmlformats.org/officeDocument/2006/relationships/image" Target="media/image572.png"/><Relationship Id="rId606" Type="http://schemas.openxmlformats.org/officeDocument/2006/relationships/image" Target="media/image573.png"/><Relationship Id="rId607" Type="http://schemas.openxmlformats.org/officeDocument/2006/relationships/image" Target="media/image574.png"/><Relationship Id="rId608" Type="http://schemas.openxmlformats.org/officeDocument/2006/relationships/image" Target="media/image575.png"/><Relationship Id="rId609" Type="http://schemas.openxmlformats.org/officeDocument/2006/relationships/image" Target="media/image576.png"/><Relationship Id="rId610" Type="http://schemas.openxmlformats.org/officeDocument/2006/relationships/image" Target="media/image577.png"/><Relationship Id="rId611" Type="http://schemas.openxmlformats.org/officeDocument/2006/relationships/image" Target="media/image578.png"/><Relationship Id="rId612" Type="http://schemas.openxmlformats.org/officeDocument/2006/relationships/image" Target="media/image579.png"/><Relationship Id="rId613" Type="http://schemas.openxmlformats.org/officeDocument/2006/relationships/image" Target="media/image580.png"/><Relationship Id="rId614" Type="http://schemas.openxmlformats.org/officeDocument/2006/relationships/image" Target="media/image581.png"/><Relationship Id="rId615" Type="http://schemas.openxmlformats.org/officeDocument/2006/relationships/image" Target="media/image582.png"/><Relationship Id="rId616" Type="http://schemas.openxmlformats.org/officeDocument/2006/relationships/image" Target="media/image583.png"/><Relationship Id="rId617" Type="http://schemas.openxmlformats.org/officeDocument/2006/relationships/image" Target="media/image584.png"/><Relationship Id="rId618" Type="http://schemas.openxmlformats.org/officeDocument/2006/relationships/image" Target="media/image585.png"/><Relationship Id="rId619" Type="http://schemas.openxmlformats.org/officeDocument/2006/relationships/image" Target="media/image586.png"/><Relationship Id="rId620" Type="http://schemas.openxmlformats.org/officeDocument/2006/relationships/image" Target="media/image587.png"/><Relationship Id="rId621" Type="http://schemas.openxmlformats.org/officeDocument/2006/relationships/image" Target="media/image588.png"/><Relationship Id="rId622" Type="http://schemas.openxmlformats.org/officeDocument/2006/relationships/image" Target="media/image589.png"/><Relationship Id="rId623" Type="http://schemas.openxmlformats.org/officeDocument/2006/relationships/image" Target="media/image590.png"/><Relationship Id="rId624" Type="http://schemas.openxmlformats.org/officeDocument/2006/relationships/image" Target="media/image591.png"/><Relationship Id="rId625" Type="http://schemas.openxmlformats.org/officeDocument/2006/relationships/image" Target="media/image592.png"/><Relationship Id="rId626" Type="http://schemas.openxmlformats.org/officeDocument/2006/relationships/image" Target="media/image593.png"/><Relationship Id="rId627" Type="http://schemas.openxmlformats.org/officeDocument/2006/relationships/image" Target="media/image594.png"/><Relationship Id="rId628" Type="http://schemas.openxmlformats.org/officeDocument/2006/relationships/image" Target="media/image595.png"/><Relationship Id="rId629" Type="http://schemas.openxmlformats.org/officeDocument/2006/relationships/image" Target="media/image596.png"/><Relationship Id="rId630" Type="http://schemas.openxmlformats.org/officeDocument/2006/relationships/image" Target="media/image597.png"/><Relationship Id="rId631" Type="http://schemas.openxmlformats.org/officeDocument/2006/relationships/image" Target="media/image598.png"/><Relationship Id="rId245" Type="http://schemas.openxmlformats.org/officeDocument/2006/relationships/hyperlink" Target="https://www.sec.gov/Archives/edgar/data/1815620/000119312520253365/d947560dex31.htm" TargetMode="External"/><Relationship Id="rId246" Type="http://schemas.openxmlformats.org/officeDocument/2006/relationships/hyperlink" Target="https://www.sec.gov/Archives/edgar/data/1815620/000119312520253365/d947560dex32.htm" TargetMode="External"/><Relationship Id="rId247" Type="http://schemas.openxmlformats.org/officeDocument/2006/relationships/hyperlink" Target="https://www.sec.gov/Archives/edgar/data/1815620/000119312520267263/d947560dex41.htm" TargetMode="External"/><Relationship Id="rId248" Type="http://schemas.openxmlformats.org/officeDocument/2006/relationships/hyperlink" Target="https://www.sec.gov/Archives/edgar/data/1815620/000156459021052421/opt-ex23_433.htm" TargetMode="External"/><Relationship Id="rId249" Type="http://schemas.openxmlformats.org/officeDocument/2006/relationships/hyperlink" Target="https://www.sec.gov/Archives/edgar/data/1815620/000119312521271575/d136848dex993.htm" TargetMode="External"/><Relationship Id="rId250" Type="http://schemas.openxmlformats.org/officeDocument/2006/relationships/hyperlink" Target="https://www.sec.gov/Archives/edgar/data/1815620/000119312520253365/d947560dex106.htm" TargetMode="External"/><Relationship Id="rId251" Type="http://schemas.openxmlformats.org/officeDocument/2006/relationships/hyperlink" Target="https://www.sec.gov/Archives/edgar/data/1815620/000119312520253365/d947560dex107.htm" TargetMode="External"/><Relationship Id="rId252" Type="http://schemas.openxmlformats.org/officeDocument/2006/relationships/hyperlink" Target="https://www.sec.gov/Archives/edgar/data/1815620/000156459021052421/opt-ex44_599.htm" TargetMode="External"/><Relationship Id="rId253" Type="http://schemas.openxmlformats.org/officeDocument/2006/relationships/hyperlink" Target="https://www.sec.gov/Archives/edgar/data/1815620/000095017023050230/opt-ex4_5.htm" TargetMode="External"/><Relationship Id="rId254" Type="http://schemas.openxmlformats.org/officeDocument/2006/relationships/hyperlink" Target="https://www.sec.gov/Archives/edgar/data/1815620/000119312520267263/d947560dex109.htm" TargetMode="External"/><Relationship Id="rId255" Type="http://schemas.openxmlformats.org/officeDocument/2006/relationships/hyperlink" Target="https://www.sec.gov/Archives/edgar/data/1815620/000119312520253365/d947560dex101.htm" TargetMode="External"/><Relationship Id="rId256" Type="http://schemas.openxmlformats.org/officeDocument/2006/relationships/hyperlink" Target="https://www.sec.gov/Archives/edgar/data/1815620/000119312520253365/d947560dex102.htm" TargetMode="External"/><Relationship Id="rId257" Type="http://schemas.openxmlformats.org/officeDocument/2006/relationships/hyperlink" Target="https://www.sec.gov/Archives/edgar/data/1815620/000119312520253365/d947560dex103.htm" TargetMode="External"/><Relationship Id="rId258" Type="http://schemas.openxmlformats.org/officeDocument/2006/relationships/hyperlink" Target="https://www.sec.gov/Archives/edgar/data/1815620/000119312520253365/d947560dex104.htm" TargetMode="External"/><Relationship Id="rId261" Type="http://schemas.openxmlformats.org/officeDocument/2006/relationships/hyperlink" Target="https://www.sec.gov/Archives/edgar/data/1815620/000156459022032651/opt-ex410_1269.htm" TargetMode="External"/><Relationship Id="rId262" Type="http://schemas.openxmlformats.org/officeDocument/2006/relationships/hyperlink" Target="https://www.sec.gov/Archives/edgar/data/1815620/000156459022032651/opt-ex411_1394.htm" TargetMode="External"/><Relationship Id="rId263" Type="http://schemas.openxmlformats.org/officeDocument/2006/relationships/hyperlink" Target="https://www.sec.gov/Archives/edgar/data/1815620/000119312522023730/d300033dex12.htm" TargetMode="External"/><Relationship Id="rId264" Type="http://schemas.openxmlformats.org/officeDocument/2006/relationships/hyperlink" Target="https://www.sec.gov/Archives/edgar/data/1815620/000156459022032651/opt-ex414_1272.htm" TargetMode="External"/><Relationship Id="rId265" Type="http://schemas.openxmlformats.org/officeDocument/2006/relationships/hyperlink" Target="https://www.sec.gov/Archives/edgar/data/1815620/000095017023050230/opt-ex4_16.htm" TargetMode="External"/><Relationship Id="rId266" Type="http://schemas.openxmlformats.org/officeDocument/2006/relationships/hyperlink" Target="https://www.sec.gov/Archives/edgar/data/1815620/000095017024102094/opt-ex4_17.htm" TargetMode="External"/><Relationship Id="rId267" Type="http://schemas.openxmlformats.org/officeDocument/2006/relationships/hyperlink" Target="https://www.sec.gov/Archives/edgar/data/1815620/000095017024102094/opt-ex4_18.htm" TargetMode="External"/><Relationship Id="rId268" Type="http://schemas.openxmlformats.org/officeDocument/2006/relationships/hyperlink" Target="https://www.sec.gov/Archives/edgar/data/1815620/000095017024102094/opt-ex4_19.htm" TargetMode="External"/><Relationship Id="rId269" Type="http://schemas.openxmlformats.org/officeDocument/2006/relationships/hyperlink" Target="https://www.sec.gov/Archives/edgar/data/1815620/000156459021052421/opt-ex81_432.htm" TargetMode="External"/><Relationship Id="rId270" Type="http://schemas.openxmlformats.org/officeDocument/2006/relationships/hyperlink" Target="https://www.sec.gov/Archives/edgar/data/1815620/000095017024102094/opt-ex11_1.htm" TargetMode="External"/><Relationship Id="rId271" Type="http://schemas.openxmlformats.org/officeDocument/2006/relationships/hyperlink" Target="https://www.sec.gov/Archives/edgar/data/1815620/000095017024102071/opt-ex99_1.pdf" TargetMode="External"/><Relationship Id="rId272" Type="http://schemas.openxmlformats.org/officeDocument/2006/relationships/hyperlink" Target="https://www.sec.gov/Archives/edgar/data/1815620/000095017024102094/opt-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2024-09-20T05:21:50Z</dcterms:created>
  <dcterms:modified xsi:type="dcterms:W3CDTF">2024-09-20T05:21:50Z</dcterms:modified>
</cp:coreProperties>
</file>