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pt_6-k_rd_tax_2023.htm"/>
      <w:bookmarkStart w:id="1" w:name="ksopt_6k_rd_tax_2023"/>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4"/>
        </w:rPr>
        <w:t>REPORT OF FOREIGN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For the month of December 2023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No. 001-39621</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OPTHEA LIMITED</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Level 4</w:t>
      </w:r>
    </w:p>
    <w:p>
      <w:pPr>
        <w:pStyle w:val="TextBody"/>
        <w:bidi w:val="0"/>
        <w:jc w:val="center"/>
        <w:rPr>
          <w:rFonts w:ascii="Times New Roman" w:hAnsi="Times New Roman"/>
          <w:b/>
          <w:color w:val="000000"/>
          <w:sz w:val="20"/>
        </w:rPr>
      </w:pPr>
      <w:r>
        <w:rPr>
          <w:rFonts w:ascii="Times New Roman" w:hAnsi="Times New Roman"/>
          <w:b/>
          <w:color w:val="000000"/>
          <w:sz w:val="20"/>
        </w:rPr>
        <w:t>650 Chapel Street</w:t>
      </w:r>
    </w:p>
    <w:p>
      <w:pPr>
        <w:pStyle w:val="TextBody"/>
        <w:bidi w:val="0"/>
        <w:jc w:val="center"/>
        <w:rPr>
          <w:rFonts w:ascii="Times New Roman" w:hAnsi="Times New Roman"/>
          <w:b/>
          <w:color w:val="000000"/>
          <w:sz w:val="20"/>
        </w:rPr>
      </w:pPr>
      <w:r>
        <w:rPr>
          <w:rFonts w:ascii="Times New Roman" w:hAnsi="Times New Roman"/>
          <w:b/>
          <w:color w:val="000000"/>
          <w:sz w:val="20"/>
        </w:rPr>
        <w:t>South Yarra, Victoria, 3141</w:t>
      </w:r>
    </w:p>
    <w:p>
      <w:pPr>
        <w:pStyle w:val="TextBody"/>
        <w:bidi w:val="0"/>
        <w:jc w:val="center"/>
        <w:rPr>
          <w:rFonts w:ascii="Times New Roman" w:hAnsi="Times New Roman"/>
          <w:b/>
          <w:color w:val="000000"/>
          <w:sz w:val="20"/>
        </w:rPr>
      </w:pPr>
      <w:r>
        <w:rPr>
          <w:rFonts w:ascii="Times New Roman" w:hAnsi="Times New Roman"/>
          <w:b/>
          <w:color w:val="000000"/>
          <w:sz w:val="20"/>
        </w:rPr>
        <w:t>Australia</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Form 20-F or Form 40-F. </w:t>
      </w:r>
    </w:p>
    <w:p>
      <w:pPr>
        <w:pStyle w:val="TextBody"/>
        <w:bidi w:val="0"/>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spacing w:before="240" w:after="283"/>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6523" w:type="dxa"/>
        <w:jc w:val="left"/>
        <w:tblInd w:w="0" w:type="dxa"/>
        <w:tblLayout w:type="fixed"/>
        <w:tblCellMar>
          <w:top w:w="28" w:type="dxa"/>
          <w:left w:w="28" w:type="dxa"/>
          <w:bottom w:w="28" w:type="dxa"/>
          <w:right w:w="28" w:type="dxa"/>
        </w:tblCellMar>
      </w:tblPr>
      <w:tblGrid>
        <w:gridCol w:w="646"/>
        <w:gridCol w:w="146"/>
        <w:gridCol w:w="5731"/>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31"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vAlign w:val="center"/>
          </w:tcPr>
          <w:p>
            <w:pPr>
              <w:pStyle w:val="TableContents"/>
              <w:bidi w:val="0"/>
              <w:spacing w:before="0" w:after="283"/>
              <w:jc w:val="left"/>
              <w:rPr/>
            </w:pPr>
            <w:r>
              <w:rPr/>
              <w:t> </w:t>
            </w:r>
          </w:p>
        </w:tc>
        <w:tc>
          <w:tcPr>
            <w:tcW w:w="5731" w:type="dxa"/>
            <w:tcBorders/>
            <w:vAlign w:val="center"/>
          </w:tcPr>
          <w:p>
            <w:pPr>
              <w:pStyle w:val="TableContents"/>
              <w:bidi w:val="0"/>
              <w:spacing w:before="0" w:after="283"/>
              <w:jc w:val="left"/>
              <w:rPr/>
            </w:pPr>
            <w:hyperlink w:anchor="opt-ex99_1.htm">
              <w:r>
                <w:rPr>
                  <w:rStyle w:val="InternetLink"/>
                  <w:rFonts w:ascii="Times New Roman" w:hAnsi="Times New Roman"/>
                  <w:b/>
                  <w:color w:val="0000FF"/>
                  <w:sz w:val="20"/>
                  <w:u w:val="single"/>
                </w:rPr>
                <w:t>Press Release - Opthea Receives A$8.8 million R&amp;D Tax Incentive</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31" w:type="dxa"/>
            <w:tcBorders/>
            <w:vAlign w:val="center"/>
          </w:tcPr>
          <w:p>
            <w:pPr>
              <w:pStyle w:val="TableContents"/>
              <w:bidi w:val="0"/>
              <w:spacing w:before="0" w:after="283"/>
              <w:jc w:val="left"/>
              <w:rPr/>
            </w:pPr>
            <w:r>
              <w:rPr/>
              <w:t> </w:t>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3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thereto duly authorized. </w:t>
      </w:r>
    </w:p>
    <w:p>
      <w:pPr>
        <w:pStyle w:val="TextBody"/>
        <w:bidi w:val="0"/>
        <w:jc w:val="left"/>
        <w:rPr/>
      </w:pPr>
      <w:r>
        <w:rPr/>
        <w:t> </w:t>
      </w:r>
    </w:p>
    <w:tbl>
      <w:tblPr>
        <w:tblW w:w="2908" w:type="dxa"/>
        <w:jc w:val="left"/>
        <w:tblInd w:w="0" w:type="dxa"/>
        <w:tblLayout w:type="fixed"/>
        <w:tblCellMar>
          <w:top w:w="28" w:type="dxa"/>
          <w:left w:w="28" w:type="dxa"/>
          <w:bottom w:w="28" w:type="dxa"/>
          <w:right w:w="28" w:type="dxa"/>
        </w:tblCellMar>
      </w:tblPr>
      <w:tblGrid>
        <w:gridCol w:w="161"/>
        <w:gridCol w:w="631"/>
        <w:gridCol w:w="211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74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OPTHEA LIMITED</w:t>
            </w:r>
          </w:p>
        </w:tc>
      </w:tr>
      <w:tr>
        <w:trPr/>
        <w:tc>
          <w:tcPr>
            <w:tcW w:w="161" w:type="dxa"/>
            <w:tcBorders/>
            <w:vAlign w:val="center"/>
          </w:tcPr>
          <w:p>
            <w:pPr>
              <w:pStyle w:val="TableContents"/>
              <w:bidi w:val="0"/>
              <w:spacing w:before="0" w:after="283"/>
              <w:jc w:val="left"/>
              <w:rPr/>
            </w:pPr>
            <w:r>
              <w:rPr/>
              <w:t> </w:t>
            </w:r>
          </w:p>
        </w:tc>
        <w:tc>
          <w:tcPr>
            <w:tcW w:w="274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211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Frederic Guerard</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Frederic Guerard</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12/19/2023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opt-ex99_1.htm"/>
      <w:bookmarkStart w:id="3" w:name="ksoptex99_1"/>
      <w:bookmarkEnd w:id="2"/>
      <w:bookmarkEnd w:id="3"/>
      <w:r>
        <w:rPr>
          <w:rFonts w:ascii="Arial" w:hAnsi="Arial"/>
          <w:b/>
          <w:color w:val="000000"/>
          <w:sz w:val="22"/>
        </w:rPr>
        <w:t>Exhibit 99.1</w:t>
      </w:r>
      <w:r>
        <w:br w:type="page"/>
      </w:r>
    </w:p>
    <w:p>
      <w:pPr>
        <w:pStyle w:val="TextBody"/>
        <w:bidi w:val="0"/>
        <w:jc w:val="left"/>
        <w:rPr/>
      </w:pPr>
      <w:r>
        <w:rPr/>
        <w:drawing>
          <wp:inline distT="0" distB="0" distL="0" distR="0">
            <wp:extent cx="2133600"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1066800"/>
                    </a:xfrm>
                    <a:prstGeom prst="rect">
                      <a:avLst/>
                    </a:prstGeom>
                  </pic:spPr>
                </pic:pic>
              </a:graphicData>
            </a:graphic>
          </wp:inline>
        </w:drawing>
      </w:r>
      <w:r>
        <w:rPr/>
        <w:t> </w:t>
      </w:r>
    </w:p>
    <w:p>
      <w:pPr>
        <w:pStyle w:val="TextBody"/>
        <w:bidi w:val="0"/>
        <w:jc w:val="right"/>
        <w:rPr/>
      </w:pPr>
      <w:r>
        <w:rPr/>
        <w:t> </w:t>
      </w:r>
    </w:p>
    <w:p>
      <w:pPr>
        <w:pStyle w:val="TextBody"/>
        <w:bidi w:val="0"/>
        <w:jc w:val="left"/>
        <w:rPr>
          <w:rFonts w:ascii="Arial" w:hAnsi="Arial"/>
          <w:b/>
          <w:color w:val="000000"/>
          <w:sz w:val="24"/>
        </w:rPr>
      </w:pPr>
      <w:r>
        <w:rPr>
          <w:rFonts w:ascii="Arial" w:hAnsi="Arial"/>
          <w:b/>
          <w:color w:val="000000"/>
          <w:sz w:val="24"/>
        </w:rPr>
        <w:t>ASX, Nasdaq and Media Release</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19 December 2023</w:t>
      </w:r>
    </w:p>
    <w:p>
      <w:pPr>
        <w:pStyle w:val="TextBody"/>
        <w:bidi w:val="0"/>
        <w:jc w:val="center"/>
        <w:rPr>
          <w:rFonts w:ascii="Arial" w:hAnsi="Arial"/>
          <w:b/>
          <w:color w:val="000000"/>
          <w:sz w:val="28"/>
        </w:rPr>
      </w:pPr>
      <w:r>
        <w:rPr>
          <w:rFonts w:ascii="Arial" w:hAnsi="Arial"/>
          <w:b/>
          <w:color w:val="000000"/>
          <w:sz w:val="28"/>
        </w:rPr>
        <w:t>Opthea Receives A$8.8 million R&amp;D Tax Incentive</w:t>
      </w:r>
    </w:p>
    <w:p>
      <w:pPr>
        <w:pStyle w:val="TextBody"/>
        <w:bidi w:val="0"/>
        <w:jc w:val="both"/>
        <w:rPr>
          <w:rFonts w:ascii="Times New Roman" w:hAnsi="Times New Roman"/>
          <w:sz w:val="20"/>
        </w:rPr>
      </w:pPr>
      <w:r>
        <w:rPr>
          <w:rFonts w:ascii="Arial" w:hAnsi="Arial"/>
          <w:b/>
          <w:color w:val="000000"/>
          <w:sz w:val="20"/>
        </w:rPr>
        <w:t>Melbourne, Australia; 19 December 2023</w:t>
      </w:r>
      <w:r>
        <w:rPr>
          <w:rFonts w:ascii="Times New Roman" w:hAnsi="Times New Roman"/>
          <w:color w:val="000000"/>
          <w:sz w:val="20"/>
        </w:rPr>
        <w:t xml:space="preserve"> – </w:t>
      </w:r>
      <w:r>
        <w:rPr>
          <w:rFonts w:ascii="Arial" w:hAnsi="Arial"/>
          <w:color w:val="000000"/>
          <w:sz w:val="20"/>
        </w:rPr>
        <w:t>Opthea Limited (ASX:OPT; Nasdaq:OPT), a clinical stage biopharmaceutical company developing novel therapies to treat highly prevalent and progressive retinal diseases, announced today that it has received an A$8.8 million (US$5.9 million) research and development (R&amp;D) tax credit from the Australian Taxation Office. The cash incentive is for research and development costs incurred in the 2022/2023 financial year, and represents the amount disclosed in the company’s audited financial statements at 30 June 2023.</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The R&amp;D tax incentive credit relates to both Australian and eligible overseas expenditure for the development of Opthea’s lead candidate OPT-302. The R&amp;D Tax Incentive is as an Australian Federal Government program under which companies can receive cash incentives for 43.5% of eligible research and development expenditure.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Fred Guerard, CEO of Opthea, commented, “The receipt of this A$8.8 million R&amp;D tax incentive credit further strengthens our cash position as Opthea continues to advance its Phase 3 registrational trials, ShORe and COAST, investigating OPT-302 to address the unmet medical need in wet AMD.”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33600" cy="1066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33600" cy="1066800"/>
                    </a:xfrm>
                    <a:prstGeom prst="rect">
                      <a:avLst/>
                    </a:prstGeom>
                  </pic:spPr>
                </pic:pic>
              </a:graphicData>
            </a:graphic>
          </wp:inline>
        </w:drawing>
      </w: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About Opthea Limited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Opthea (ASX:OPT; Nasdaq:OPT)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Inherent risks of Investment in Biotechnology Companies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Authorized for release to ASX by Fred Guerard, CEO</w:t>
      </w:r>
    </w:p>
    <w:p>
      <w:pPr>
        <w:pStyle w:val="TextBody"/>
        <w:bidi w:val="0"/>
        <w:jc w:val="both"/>
        <w:rPr/>
      </w:pPr>
      <w:r>
        <w:rPr/>
        <w:t> </w:t>
      </w:r>
    </w:p>
    <w:tbl>
      <w:tblPr>
        <w:tblW w:w="7892" w:type="dxa"/>
        <w:jc w:val="left"/>
        <w:tblInd w:w="0" w:type="dxa"/>
        <w:tblLayout w:type="fixed"/>
        <w:tblCellMar>
          <w:top w:w="28" w:type="dxa"/>
          <w:left w:w="28" w:type="dxa"/>
          <w:bottom w:w="28" w:type="dxa"/>
          <w:right w:w="28" w:type="dxa"/>
        </w:tblCellMar>
      </w:tblPr>
      <w:tblGrid>
        <w:gridCol w:w="2836"/>
        <w:gridCol w:w="5056"/>
      </w:tblGrid>
      <w:tr>
        <w:trPr/>
        <w:tc>
          <w:tcPr>
            <w:tcW w:w="2836"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both"/>
              <w:rPr>
                <w:rFonts w:ascii="Arial" w:hAnsi="Arial"/>
                <w:b/>
                <w:i/>
                <w:color w:val="000000"/>
                <w:sz w:val="20"/>
              </w:rPr>
            </w:pPr>
            <w:r>
              <w:rPr>
                <w:rFonts w:ascii="Arial" w:hAnsi="Arial"/>
                <w:b/>
                <w:i/>
                <w:color w:val="000000"/>
                <w:sz w:val="20"/>
              </w:rPr>
              <w:t>Company &amp; Media Enquiries:</w:t>
            </w:r>
          </w:p>
        </w:tc>
        <w:tc>
          <w:tcPr>
            <w:tcW w:w="5056" w:type="dxa"/>
            <w:tcBorders/>
            <w:tcMar>
              <w:top w:w="0" w:type="dxa"/>
              <w:left w:w="0" w:type="dxa"/>
              <w:bottom w:w="0" w:type="dxa"/>
              <w:right w:w="0" w:type="dxa"/>
            </w:tcMar>
            <w:vAlign w:val="center"/>
          </w:tcPr>
          <w:p>
            <w:pPr>
              <w:pStyle w:val="TableContents"/>
              <w:bidi w:val="0"/>
              <w:spacing w:before="0" w:after="283"/>
              <w:jc w:val="both"/>
              <w:rPr>
                <w:rFonts w:ascii="Arial" w:hAnsi="Arial"/>
                <w:b/>
                <w:i/>
                <w:color w:val="000000"/>
                <w:sz w:val="20"/>
              </w:rPr>
            </w:pPr>
            <w:r>
              <w:rPr>
                <w:rFonts w:ascii="Arial" w:hAnsi="Arial"/>
                <w:b/>
                <w:i/>
                <w:color w:val="000000"/>
                <w:sz w:val="20"/>
              </w:rPr>
              <w:t>Join our email database to receive program updates:</w:t>
            </w:r>
          </w:p>
        </w:tc>
      </w:tr>
      <w:tr>
        <w:trPr/>
        <w:tc>
          <w:tcPr>
            <w:tcW w:w="2836"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Arial" w:hAnsi="Arial"/>
                <w:b/>
                <w:i/>
                <w:color w:val="000000"/>
                <w:sz w:val="20"/>
              </w:rPr>
              <w:t>U.S.A. &amp; International:</w:t>
            </w:r>
            <w:r>
              <w:rPr>
                <w:rFonts w:ascii="Times New Roman" w:hAnsi="Times New Roman"/>
                <w:color w:val="000000"/>
                <w:sz w:val="20"/>
              </w:rPr>
              <w:t xml:space="preserve"> </w:t>
            </w:r>
          </w:p>
          <w:p>
            <w:pPr>
              <w:pStyle w:val="TableContents"/>
              <w:bidi w:val="0"/>
              <w:jc w:val="both"/>
              <w:rPr>
                <w:rFonts w:ascii="Arial" w:hAnsi="Arial"/>
                <w:color w:val="000000"/>
                <w:sz w:val="20"/>
              </w:rPr>
            </w:pPr>
            <w:r>
              <w:rPr>
                <w:rFonts w:ascii="Arial" w:hAnsi="Arial"/>
                <w:color w:val="000000"/>
                <w:sz w:val="20"/>
              </w:rPr>
              <w:t>Peter Lang, CFO</w:t>
            </w:r>
          </w:p>
          <w:p>
            <w:pPr>
              <w:pStyle w:val="TableContents"/>
              <w:bidi w:val="0"/>
              <w:jc w:val="both"/>
              <w:rPr>
                <w:rFonts w:ascii="Arial" w:hAnsi="Arial"/>
                <w:color w:val="000000"/>
                <w:sz w:val="20"/>
              </w:rPr>
            </w:pPr>
            <w:r>
              <w:rPr>
                <w:rFonts w:ascii="Arial" w:hAnsi="Arial"/>
                <w:color w:val="000000"/>
                <w:sz w:val="20"/>
              </w:rPr>
              <w:t>Opthea Limited</w:t>
            </w:r>
          </w:p>
          <w:p>
            <w:pPr>
              <w:pStyle w:val="TableContents"/>
              <w:bidi w:val="0"/>
              <w:jc w:val="both"/>
              <w:rPr>
                <w:rFonts w:ascii="Arial" w:hAnsi="Arial"/>
                <w:color w:val="000000"/>
                <w:sz w:val="20"/>
              </w:rPr>
            </w:pPr>
            <w:r>
              <w:rPr>
                <w:rFonts w:ascii="Arial" w:hAnsi="Arial"/>
                <w:color w:val="000000"/>
                <w:sz w:val="20"/>
              </w:rPr>
              <w:t>Tel: +1 917 445-4174</w:t>
            </w:r>
          </w:p>
          <w:p>
            <w:pPr>
              <w:pStyle w:val="TableContents"/>
              <w:bidi w:val="0"/>
              <w:jc w:val="both"/>
              <w:rPr/>
            </w:pPr>
            <w:r>
              <w:rPr/>
              <w:t> </w:t>
            </w:r>
          </w:p>
          <w:p>
            <w:pPr>
              <w:pStyle w:val="TableContents"/>
              <w:bidi w:val="0"/>
              <w:jc w:val="both"/>
              <w:rPr>
                <w:rFonts w:ascii="Arial" w:hAnsi="Arial"/>
                <w:b/>
                <w:i/>
                <w:color w:val="000000"/>
                <w:sz w:val="20"/>
              </w:rPr>
            </w:pPr>
            <w:r>
              <w:rPr>
                <w:rFonts w:ascii="Arial" w:hAnsi="Arial"/>
                <w:b/>
                <w:i/>
                <w:color w:val="000000"/>
                <w:sz w:val="20"/>
              </w:rPr>
              <w:t>Australia:</w:t>
            </w:r>
          </w:p>
          <w:p>
            <w:pPr>
              <w:pStyle w:val="TableContents"/>
              <w:bidi w:val="0"/>
              <w:jc w:val="both"/>
              <w:rPr>
                <w:rFonts w:ascii="Arial" w:hAnsi="Arial"/>
                <w:color w:val="000000"/>
                <w:sz w:val="20"/>
              </w:rPr>
            </w:pPr>
            <w:r>
              <w:rPr>
                <w:rFonts w:ascii="Arial" w:hAnsi="Arial"/>
                <w:color w:val="000000"/>
                <w:sz w:val="20"/>
              </w:rPr>
              <w:t>Rudi Michelson</w:t>
            </w:r>
          </w:p>
          <w:p>
            <w:pPr>
              <w:pStyle w:val="TableContents"/>
              <w:bidi w:val="0"/>
              <w:jc w:val="both"/>
              <w:rPr>
                <w:rFonts w:ascii="Arial" w:hAnsi="Arial"/>
                <w:color w:val="000000"/>
                <w:sz w:val="20"/>
              </w:rPr>
            </w:pPr>
            <w:r>
              <w:rPr>
                <w:rFonts w:ascii="Arial" w:hAnsi="Arial"/>
                <w:color w:val="000000"/>
                <w:sz w:val="20"/>
              </w:rPr>
              <w:t>Monsoon Communications</w:t>
            </w:r>
          </w:p>
          <w:p>
            <w:pPr>
              <w:pStyle w:val="TableContents"/>
              <w:bidi w:val="0"/>
              <w:jc w:val="both"/>
              <w:rPr>
                <w:rFonts w:ascii="Arial" w:hAnsi="Arial"/>
                <w:color w:val="000000"/>
                <w:sz w:val="20"/>
              </w:rPr>
            </w:pPr>
            <w:r>
              <w:rPr>
                <w:rFonts w:ascii="Arial" w:hAnsi="Arial"/>
                <w:color w:val="000000"/>
                <w:sz w:val="20"/>
              </w:rPr>
              <w:t>Tel: +61 (0) 3 9620 3333</w:t>
            </w:r>
          </w:p>
          <w:p>
            <w:pPr>
              <w:pStyle w:val="TableContents"/>
              <w:bidi w:val="0"/>
              <w:jc w:val="both"/>
              <w:rPr/>
            </w:pPr>
            <w:r>
              <w:rPr/>
              <w:t> </w:t>
            </w:r>
          </w:p>
          <w:p>
            <w:pPr>
              <w:pStyle w:val="TableContents"/>
              <w:bidi w:val="0"/>
              <w:jc w:val="left"/>
              <w:rPr>
                <w:rFonts w:ascii="Arial" w:hAnsi="Arial"/>
                <w:b/>
                <w:color w:val="000000"/>
                <w:sz w:val="20"/>
              </w:rPr>
            </w:pPr>
            <w:r>
              <w:rPr>
                <w:rFonts w:ascii="Arial" w:hAnsi="Arial"/>
                <w:b/>
                <w:color w:val="000000"/>
                <w:sz w:val="20"/>
              </w:rPr>
              <w:t>Media:</w:t>
            </w:r>
          </w:p>
          <w:p>
            <w:pPr>
              <w:pStyle w:val="TableContents"/>
              <w:bidi w:val="0"/>
              <w:jc w:val="left"/>
              <w:rPr>
                <w:rFonts w:ascii="Arial" w:hAnsi="Arial"/>
                <w:color w:val="000000"/>
                <w:sz w:val="20"/>
              </w:rPr>
            </w:pPr>
            <w:r>
              <w:rPr>
                <w:rFonts w:ascii="Arial" w:hAnsi="Arial"/>
                <w:color w:val="000000"/>
                <w:sz w:val="20"/>
              </w:rPr>
              <w:t>Hershel Berry</w:t>
            </w:r>
          </w:p>
          <w:p>
            <w:pPr>
              <w:pStyle w:val="TableContents"/>
              <w:bidi w:val="0"/>
              <w:jc w:val="left"/>
              <w:rPr>
                <w:rFonts w:ascii="Arial" w:hAnsi="Arial"/>
                <w:color w:val="000000"/>
                <w:sz w:val="20"/>
              </w:rPr>
            </w:pPr>
            <w:r>
              <w:rPr>
                <w:rFonts w:ascii="Arial" w:hAnsi="Arial"/>
                <w:color w:val="000000"/>
                <w:sz w:val="20"/>
              </w:rPr>
              <w:t>Blueprint Life Science Group</w:t>
            </w:r>
          </w:p>
          <w:p>
            <w:pPr>
              <w:pStyle w:val="TableContents"/>
              <w:bidi w:val="0"/>
              <w:jc w:val="left"/>
              <w:rPr>
                <w:rFonts w:ascii="Arial" w:hAnsi="Arial"/>
                <w:color w:val="000000"/>
                <w:sz w:val="20"/>
              </w:rPr>
            </w:pPr>
            <w:r>
              <w:rPr>
                <w:rFonts w:ascii="Arial" w:hAnsi="Arial"/>
                <w:color w:val="000000"/>
                <w:sz w:val="20"/>
              </w:rPr>
              <w:t>Tel: +1 415 505 3749</w:t>
            </w:r>
          </w:p>
          <w:p>
            <w:pPr>
              <w:pStyle w:val="TableContents"/>
              <w:bidi w:val="0"/>
              <w:jc w:val="left"/>
              <w:rPr>
                <w:rFonts w:ascii="Arial" w:hAnsi="Arial"/>
                <w:color w:val="000000"/>
                <w:sz w:val="20"/>
              </w:rPr>
            </w:pPr>
            <w:r>
              <w:rPr>
                <w:rFonts w:ascii="Arial" w:hAnsi="Arial"/>
                <w:color w:val="000000"/>
                <w:sz w:val="20"/>
              </w:rPr>
              <w:t>hberry@bplifescience.com</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5056"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Tel: +61 (0) 3 9826 0399</w:t>
            </w:r>
          </w:p>
          <w:p>
            <w:pPr>
              <w:pStyle w:val="TableContents"/>
              <w:bidi w:val="0"/>
              <w:jc w:val="both"/>
              <w:rPr>
                <w:rFonts w:ascii="Arial" w:hAnsi="Arial"/>
                <w:color w:val="000000"/>
                <w:sz w:val="20"/>
              </w:rPr>
            </w:pPr>
            <w:r>
              <w:rPr>
                <w:rFonts w:ascii="Arial" w:hAnsi="Arial"/>
                <w:color w:val="000000"/>
                <w:sz w:val="20"/>
              </w:rPr>
              <w:t>Email: info@opthea.com</w:t>
            </w:r>
          </w:p>
          <w:p>
            <w:pPr>
              <w:pStyle w:val="TableContents"/>
              <w:bidi w:val="0"/>
              <w:jc w:val="both"/>
              <w:rPr>
                <w:rFonts w:ascii="Arial" w:hAnsi="Arial"/>
                <w:color w:val="000000"/>
                <w:sz w:val="20"/>
              </w:rPr>
            </w:pPr>
            <w:r>
              <w:rPr>
                <w:rFonts w:ascii="Arial" w:hAnsi="Arial"/>
                <w:color w:val="000000"/>
                <w:sz w:val="20"/>
              </w:rPr>
              <w:t>Web: www.opthea.com</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3870</Characters>
  <CharactersWithSpaces>4560</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