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
        <w:spacing w:after="0"/>
        <w:tabs>
          <w:tab w:leader="none" w:pos="1004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1174115" cy="386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174115" cy="386080"/>
                    </a:xfrm>
                    <a:prstGeom prst="rect">
                      <a:avLst/>
                    </a:prstGeom>
                    <a:noFill/>
                  </pic:spPr>
                </pic:pic>
              </a:graphicData>
            </a:graphic>
          </wp:anchor>
        </w:drawing>
        <w:t>Ferish Patel</w:t>
      </w:r>
      <w:r>
        <w:rPr>
          <w:sz w:val="20"/>
          <w:szCs w:val="20"/>
          <w:color w:val="auto"/>
        </w:rPr>
        <w:tab/>
      </w:r>
      <w:r>
        <w:rPr>
          <w:rFonts w:ascii="Times New Roman" w:cs="Times New Roman" w:eastAsia="Times New Roman" w:hAnsi="Times New Roman"/>
          <w:sz w:val="16"/>
          <w:szCs w:val="16"/>
          <w:color w:val="auto"/>
        </w:rPr>
        <w:t>VIA EDGAR</w:t>
      </w:r>
    </w:p>
    <w:p>
      <w:pPr>
        <w:spacing w:after="0" w:line="21" w:lineRule="exact"/>
        <w:rPr>
          <w:sz w:val="24"/>
          <w:szCs w:val="24"/>
          <w:color w:val="auto"/>
        </w:rPr>
      </w:pPr>
    </w:p>
    <w:p>
      <w:pPr>
        <w:ind w:left="4" w:right="9660" w:hanging="4"/>
        <w:spacing w:after="0" w:line="323" w:lineRule="auto"/>
        <w:tabs>
          <w:tab w:leader="none" w:pos="195"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+65 6962 7510 fpatel@cooley.com</w:t>
      </w:r>
    </w:p>
    <w:p>
      <w:pPr>
        <w:spacing w:after="0" w:line="86"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October 9, 2020</w:t>
      </w:r>
    </w:p>
    <w:p>
      <w:pPr>
        <w:spacing w:after="0" w:line="15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21"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Office of Life Sciences</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Washington, D.C. 20549</w:t>
      </w:r>
    </w:p>
    <w:p>
      <w:pPr>
        <w:sectPr>
          <w:pgSz w:w="11900" w:h="16838" w:orient="portrait"/>
          <w:cols w:equalWidth="0" w:num="1">
            <w:col w:w="11024"/>
          </w:cols>
          <w:pgMar w:left="436" w:top="989" w:right="439" w:bottom="1440" w:gutter="0" w:footer="0" w:header="0"/>
        </w:sectPr>
      </w:pPr>
    </w:p>
    <w:p>
      <w:pPr>
        <w:spacing w:after="0" w:line="14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6"/>
          <w:szCs w:val="16"/>
          <w:color w:val="auto"/>
        </w:rPr>
        <w:t>Attention:</w:t>
      </w:r>
    </w:p>
    <w:p>
      <w:pPr>
        <w:spacing w:after="0" w:line="20" w:lineRule="exact"/>
        <w:rPr>
          <w:sz w:val="24"/>
          <w:szCs w:val="24"/>
          <w:color w:val="auto"/>
        </w:rPr>
      </w:pPr>
      <w:r>
        <w:rPr>
          <w:sz w:val="24"/>
          <w:szCs w:val="24"/>
          <w:color w:val="auto"/>
        </w:rPr>
        <w:br w:type="column"/>
      </w:r>
    </w:p>
    <w:p>
      <w:pPr>
        <w:spacing w:after="0" w:line="12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Jeffrey Gabor</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Dorrie Yale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Nudrat Salik</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Brian Cascio</w:t>
      </w:r>
    </w:p>
    <w:p>
      <w:pPr>
        <w:spacing w:after="0" w:line="143" w:lineRule="exact"/>
        <w:rPr>
          <w:sz w:val="24"/>
          <w:szCs w:val="24"/>
          <w:color w:val="auto"/>
        </w:rPr>
      </w:pPr>
    </w:p>
    <w:p>
      <w:pPr>
        <w:sectPr>
          <w:pgSz w:w="11900" w:h="16838" w:orient="portrait"/>
          <w:cols w:equalWidth="0" w:num="2">
            <w:col w:w="704" w:space="500"/>
            <w:col w:w="9820"/>
          </w:cols>
          <w:pgMar w:left="436" w:top="989" w:right="439" w:bottom="1440" w:gutter="0" w:footer="0" w:header="0"/>
          <w:type w:val="continuous"/>
        </w:sect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Re:</w:t>
        <w:tab/>
        <w:t>Opthea Limited</w:t>
      </w:r>
    </w:p>
    <w:p>
      <w:pPr>
        <w:spacing w:after="0" w:line="23" w:lineRule="exact"/>
        <w:rPr>
          <w:sz w:val="24"/>
          <w:szCs w:val="24"/>
          <w:color w:val="auto"/>
        </w:rPr>
      </w:pPr>
    </w:p>
    <w:p>
      <w:pPr>
        <w:ind w:left="424"/>
        <w:spacing w:after="0"/>
        <w:rPr>
          <w:sz w:val="20"/>
          <w:szCs w:val="20"/>
          <w:color w:val="auto"/>
        </w:rPr>
      </w:pPr>
      <w:r>
        <w:rPr>
          <w:rFonts w:ascii="Times New Roman" w:cs="Times New Roman" w:eastAsia="Times New Roman" w:hAnsi="Times New Roman"/>
          <w:sz w:val="18"/>
          <w:szCs w:val="18"/>
          <w:b w:val="1"/>
          <w:bCs w:val="1"/>
          <w:color w:val="auto"/>
        </w:rPr>
        <w:t>Registration Statement on Form F-1</w:t>
      </w:r>
    </w:p>
    <w:p>
      <w:pPr>
        <w:spacing w:after="0" w:line="9" w:lineRule="exact"/>
        <w:rPr>
          <w:sz w:val="24"/>
          <w:szCs w:val="24"/>
          <w:color w:val="auto"/>
        </w:rPr>
      </w:pPr>
    </w:p>
    <w:p>
      <w:pPr>
        <w:ind w:left="424"/>
        <w:spacing w:after="0"/>
        <w:rPr>
          <w:sz w:val="20"/>
          <w:szCs w:val="20"/>
          <w:color w:val="auto"/>
        </w:rPr>
      </w:pPr>
      <w:r>
        <w:rPr>
          <w:rFonts w:ascii="Times New Roman" w:cs="Times New Roman" w:eastAsia="Times New Roman" w:hAnsi="Times New Roman"/>
          <w:sz w:val="18"/>
          <w:szCs w:val="18"/>
          <w:b w:val="1"/>
          <w:bCs w:val="1"/>
          <w:color w:val="auto"/>
        </w:rPr>
        <w:t>Filed September 24, 2020</w:t>
      </w:r>
    </w:p>
    <w:p>
      <w:pPr>
        <w:spacing w:after="0" w:line="9" w:lineRule="exact"/>
        <w:rPr>
          <w:sz w:val="24"/>
          <w:szCs w:val="24"/>
          <w:color w:val="auto"/>
        </w:rPr>
      </w:pPr>
    </w:p>
    <w:p>
      <w:pPr>
        <w:ind w:left="424"/>
        <w:spacing w:after="0"/>
        <w:rPr>
          <w:sz w:val="20"/>
          <w:szCs w:val="20"/>
          <w:color w:val="auto"/>
        </w:rPr>
      </w:pPr>
      <w:r>
        <w:rPr>
          <w:rFonts w:ascii="Times New Roman" w:cs="Times New Roman" w:eastAsia="Times New Roman" w:hAnsi="Times New Roman"/>
          <w:sz w:val="18"/>
          <w:szCs w:val="18"/>
          <w:b w:val="1"/>
          <w:bCs w:val="1"/>
          <w:color w:val="auto"/>
        </w:rPr>
        <w:t>File No. 333-249020</w:t>
      </w:r>
    </w:p>
    <w:p>
      <w:pPr>
        <w:spacing w:after="0" w:line="14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73" w:lineRule="exact"/>
        <w:rPr>
          <w:sz w:val="24"/>
          <w:szCs w:val="24"/>
          <w:color w:val="auto"/>
        </w:rPr>
      </w:pPr>
    </w:p>
    <w:p>
      <w:pPr>
        <w:ind w:left="4" w:right="60"/>
        <w:spacing w:after="0" w:line="302" w:lineRule="auto"/>
        <w:rPr>
          <w:sz w:val="20"/>
          <w:szCs w:val="20"/>
          <w:color w:val="auto"/>
        </w:rPr>
      </w:pPr>
      <w:r>
        <w:rPr>
          <w:rFonts w:ascii="Times New Roman" w:cs="Times New Roman" w:eastAsia="Times New Roman" w:hAnsi="Times New Roman"/>
          <w:sz w:val="16"/>
          <w:szCs w:val="16"/>
          <w:color w:val="auto"/>
        </w:rPr>
        <w:t>On behalf of Opthea Limited (the “</w:t>
      </w:r>
      <w:r>
        <w:rPr>
          <w:rFonts w:ascii="Times New Roman" w:cs="Times New Roman" w:eastAsia="Times New Roman" w:hAnsi="Times New Roman"/>
          <w:sz w:val="16"/>
          <w:szCs w:val="16"/>
          <w:b w:val="1"/>
          <w:bCs w:val="1"/>
          <w:i w:val="1"/>
          <w:iCs w:val="1"/>
          <w:color w:val="auto"/>
        </w:rPr>
        <w:t>Company</w:t>
      </w:r>
      <w:r>
        <w:rPr>
          <w:rFonts w:ascii="Times New Roman" w:cs="Times New Roman" w:eastAsia="Times New Roman" w:hAnsi="Times New Roman"/>
          <w:sz w:val="16"/>
          <w:szCs w:val="16"/>
          <w:color w:val="auto"/>
        </w:rPr>
        <w:t>”), we are providing this letter in response to the comment (the “</w:t>
      </w:r>
      <w:r>
        <w:rPr>
          <w:rFonts w:ascii="Times New Roman" w:cs="Times New Roman" w:eastAsia="Times New Roman" w:hAnsi="Times New Roman"/>
          <w:sz w:val="16"/>
          <w:szCs w:val="16"/>
          <w:b w:val="1"/>
          <w:bCs w:val="1"/>
          <w:i w:val="1"/>
          <w:iCs w:val="1"/>
          <w:color w:val="auto"/>
        </w:rPr>
        <w:t>Comment</w:t>
      </w:r>
      <w:r>
        <w:rPr>
          <w:rFonts w:ascii="Times New Roman" w:cs="Times New Roman" w:eastAsia="Times New Roman" w:hAnsi="Times New Roman"/>
          <w:sz w:val="16"/>
          <w:szCs w:val="16"/>
          <w:color w:val="auto"/>
        </w:rPr>
        <w:t>”) received from the staff of the U.S. Securities and Exchange Commission’s Division of Corporation Finance (the “</w:t>
      </w:r>
      <w:r>
        <w:rPr>
          <w:rFonts w:ascii="Times New Roman" w:cs="Times New Roman" w:eastAsia="Times New Roman" w:hAnsi="Times New Roman"/>
          <w:sz w:val="16"/>
          <w:szCs w:val="16"/>
          <w:b w:val="1"/>
          <w:bCs w:val="1"/>
          <w:i w:val="1"/>
          <w:iCs w:val="1"/>
          <w:color w:val="auto"/>
        </w:rPr>
        <w:t>Staff</w:t>
      </w:r>
      <w:r>
        <w:rPr>
          <w:rFonts w:ascii="Times New Roman" w:cs="Times New Roman" w:eastAsia="Times New Roman" w:hAnsi="Times New Roman"/>
          <w:sz w:val="16"/>
          <w:szCs w:val="16"/>
          <w:color w:val="auto"/>
        </w:rPr>
        <w:t>”) by letter dated October 5, 2020 with respect to the Company’s Registration Statement on Form F-1, filed on September 24, 2020. The Company is concurrently filing the Amendment No. 1 to the Registration Statement on Form F-1, which includes changes made in response to the Comment and certain other changes (the “</w:t>
      </w:r>
      <w:r>
        <w:rPr>
          <w:rFonts w:ascii="Times New Roman" w:cs="Times New Roman" w:eastAsia="Times New Roman" w:hAnsi="Times New Roman"/>
          <w:sz w:val="16"/>
          <w:szCs w:val="16"/>
          <w:b w:val="1"/>
          <w:bCs w:val="1"/>
          <w:i w:val="1"/>
          <w:iCs w:val="1"/>
          <w:color w:val="auto"/>
        </w:rPr>
        <w:t>Amended Registration Statement</w:t>
      </w:r>
      <w:r>
        <w:rPr>
          <w:rFonts w:ascii="Times New Roman" w:cs="Times New Roman" w:eastAsia="Times New Roman" w:hAnsi="Times New Roman"/>
          <w:sz w:val="16"/>
          <w:szCs w:val="16"/>
          <w:color w:val="auto"/>
        </w:rPr>
        <w:t>”).</w:t>
      </w:r>
    </w:p>
    <w:p>
      <w:pPr>
        <w:spacing w:after="0" w:line="90" w:lineRule="exact"/>
        <w:rPr>
          <w:sz w:val="24"/>
          <w:szCs w:val="24"/>
          <w:color w:val="auto"/>
        </w:rPr>
      </w:pPr>
    </w:p>
    <w:p>
      <w:pPr>
        <w:ind w:left="4" w:right="260"/>
        <w:spacing w:after="0" w:line="339" w:lineRule="auto"/>
        <w:rPr>
          <w:sz w:val="20"/>
          <w:szCs w:val="20"/>
          <w:color w:val="auto"/>
        </w:rPr>
      </w:pPr>
      <w:r>
        <w:rPr>
          <w:rFonts w:ascii="Times New Roman" w:cs="Times New Roman" w:eastAsia="Times New Roman" w:hAnsi="Times New Roman"/>
          <w:sz w:val="16"/>
          <w:szCs w:val="16"/>
          <w:color w:val="auto"/>
        </w:rPr>
        <w:t>Set forth below is the Company’s response to the Comment, which for your convenience we have incorporated into this response letter. Capitalized terms used in this response letter but not otherwise defined in this response letter shall have the meanings set forth in the Amended Registration Statement.</w:t>
      </w:r>
    </w:p>
    <w:p>
      <w:pPr>
        <w:spacing w:after="0" w:line="61"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Registration Statement on Form F-1</w:t>
      </w:r>
    </w:p>
    <w:p>
      <w:pPr>
        <w:spacing w:after="0" w:line="7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Exhibits</w:t>
      </w:r>
    </w:p>
    <w:p>
      <w:pPr>
        <w:spacing w:after="0" w:line="75" w:lineRule="exact"/>
        <w:rPr>
          <w:sz w:val="24"/>
          <w:szCs w:val="24"/>
          <w:color w:val="auto"/>
        </w:rPr>
      </w:pPr>
    </w:p>
    <w:p>
      <w:pPr>
        <w:ind w:left="424" w:right="180" w:hanging="424"/>
        <w:spacing w:after="0" w:line="259" w:lineRule="auto"/>
        <w:tabs>
          <w:tab w:leader="none" w:pos="424"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It is inappropriate to include assumptions that are too broad or assume material facts underlying the opinion. The assumptions set forth in paragraphs (i) and (j) of your Exhibit 5.1 opinion appear to assume material facts related to the issue of whether the shares will be validly issued. Please file an amended 5.1 opinion that does not include these assumptions or explain why each such assumption is necessary and appropriate. For guidance, please see Section II.B.3.a of Staff Legal Bulletin No. 19.</w:t>
      </w:r>
    </w:p>
    <w:p>
      <w:pPr>
        <w:spacing w:after="0" w:line="40" w:lineRule="exact"/>
        <w:rPr>
          <w:rFonts w:ascii="Times New Roman" w:cs="Times New Roman" w:eastAsia="Times New Roman" w:hAnsi="Times New Roman"/>
          <w:sz w:val="18"/>
          <w:szCs w:val="18"/>
          <w:i w:val="1"/>
          <w:iCs w:val="1"/>
          <w:color w:val="auto"/>
        </w:rPr>
      </w:pPr>
    </w:p>
    <w:p>
      <w:pPr>
        <w:ind w:left="444"/>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Company respectfully advises the Staff that it has filed an amended opinion as Exhibit 5.1 to the Amended Registration Statement.</w:t>
      </w:r>
    </w:p>
    <w:p>
      <w:pPr>
        <w:spacing w:after="0" w:line="159" w:lineRule="exact"/>
        <w:rPr>
          <w:sz w:val="24"/>
          <w:szCs w:val="24"/>
          <w:color w:val="auto"/>
        </w:rPr>
      </w:pPr>
    </w:p>
    <w:p>
      <w:pPr>
        <w:jc w:val="center"/>
        <w:ind w:right="-3"/>
        <w:spacing w:after="0"/>
        <w:tabs>
          <w:tab w:leader="none" w:pos="120" w:val="left"/>
          <w:tab w:leader="none" w:pos="120" w:val="left"/>
          <w:tab w:leader="none" w:pos="120" w:val="left"/>
          <w:tab w:leader="none" w:pos="100" w:val="left"/>
        </w:tabs>
        <w:rPr>
          <w:sz w:val="20"/>
          <w:szCs w:val="20"/>
          <w:color w:val="auto"/>
        </w:rPr>
      </w:pPr>
      <w:r>
        <w:rPr>
          <w:rFonts w:ascii="Times New Roman" w:cs="Times New Roman" w:eastAsia="Times New Roman" w:hAnsi="Times New Roman"/>
          <w:sz w:val="13"/>
          <w:szCs w:val="13"/>
          <w:color w:val="auto"/>
        </w:rPr>
        <w:t>10 Collyer Quay</w:t>
        <w:tab/>
        <w:t>Level 37</w:t>
        <w:tab/>
        <w:t>Ocean Financial Centre</w:t>
        <w:tab/>
        <w:t>Singapore,</w:t>
        <w:tab/>
        <w:t>049315</w:t>
      </w:r>
    </w:p>
    <w:p>
      <w:pPr>
        <w:spacing w:after="0" w:line="13" w:lineRule="exact"/>
        <w:rPr>
          <w:sz w:val="24"/>
          <w:szCs w:val="24"/>
          <w:color w:val="auto"/>
        </w:rPr>
      </w:pPr>
    </w:p>
    <w:p>
      <w:pPr>
        <w:jc w:val="center"/>
        <w:ind w:right="16"/>
        <w:spacing w:after="0"/>
        <w:tabs>
          <w:tab w:leader="none" w:pos="120" w:val="left"/>
          <w:tab w:leader="none" w:pos="120" w:val="left"/>
        </w:tabs>
        <w:rPr>
          <w:sz w:val="20"/>
          <w:szCs w:val="20"/>
          <w:color w:val="auto"/>
        </w:rPr>
      </w:pPr>
      <w:r>
        <w:rPr>
          <w:rFonts w:ascii="Times New Roman" w:cs="Times New Roman" w:eastAsia="Times New Roman" w:hAnsi="Times New Roman"/>
          <w:sz w:val="13"/>
          <w:szCs w:val="13"/>
          <w:color w:val="auto"/>
        </w:rPr>
        <w:t>t: +65 6962 7500</w:t>
        <w:tab/>
        <w:t>f: +65 6962 7501</w:t>
        <w:tab/>
        <w:t>cooley.com</w:t>
      </w:r>
    </w:p>
    <w:p>
      <w:pPr>
        <w:sectPr>
          <w:pgSz w:w="11900" w:h="16838" w:orient="portrait"/>
          <w:cols w:equalWidth="0" w:num="1">
            <w:col w:w="11024"/>
          </w:cols>
          <w:pgMar w:left="436" w:top="989"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174115" cy="386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174115" cy="386080"/>
                    </a:xfrm>
                    <a:prstGeom prst="rect">
                      <a:avLst/>
                    </a:prstGeom>
                    <a:noFill/>
                  </pic:spPr>
                </pic:pic>
              </a:graphicData>
            </a:graphic>
          </wp:anchor>
        </w:drawing>
        <w:t>October 9, 2020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Two</w:t>
      </w:r>
    </w:p>
    <w:p>
      <w:pPr>
        <w:spacing w:after="0" w:line="14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The Company respectfully requests the Staff’s assistance in completing the review of this response letter. Please contact me at +65 6962 7510 or Div Gupta at with any questions or further comments regarding our responses to the Staff’s Comment. Thank you in advance for your attention to this matter. Sincerely,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Cooley LLP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Ferish Patel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Ferish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27946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3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cc:</w:t>
        <w:tab/>
        <w:t xml:space="preserve">Megan Baldwin, Ph.D., </w:t>
      </w:r>
      <w:r>
        <w:rPr>
          <w:rFonts w:ascii="Times New Roman" w:cs="Times New Roman" w:eastAsia="Times New Roman" w:hAnsi="Times New Roman"/>
          <w:sz w:val="18"/>
          <w:szCs w:val="18"/>
          <w:i w:val="1"/>
          <w:iCs w:val="1"/>
          <w:color w:val="auto"/>
        </w:rPr>
        <w:t>Opthea Limited</w:t>
      </w:r>
    </w:p>
    <w:p>
      <w:pPr>
        <w:spacing w:after="0" w:line="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Mike Tonroe, </w:t>
      </w:r>
      <w:r>
        <w:rPr>
          <w:rFonts w:ascii="Times New Roman" w:cs="Times New Roman" w:eastAsia="Times New Roman" w:hAnsi="Times New Roman"/>
          <w:sz w:val="18"/>
          <w:szCs w:val="18"/>
          <w:i w:val="1"/>
          <w:iCs w:val="1"/>
          <w:color w:val="auto"/>
        </w:rPr>
        <w:t>Opthea Limited</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Divakar Gupta, </w:t>
      </w:r>
      <w:r>
        <w:rPr>
          <w:rFonts w:ascii="Times New Roman" w:cs="Times New Roman" w:eastAsia="Times New Roman" w:hAnsi="Times New Roman"/>
          <w:sz w:val="18"/>
          <w:szCs w:val="18"/>
          <w:i w:val="1"/>
          <w:iCs w:val="1"/>
          <w:color w:val="auto"/>
        </w:rPr>
        <w:t>Cooley LLP</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Brent Siler, </w:t>
      </w:r>
      <w:r>
        <w:rPr>
          <w:rFonts w:ascii="Times New Roman" w:cs="Times New Roman" w:eastAsia="Times New Roman" w:hAnsi="Times New Roman"/>
          <w:sz w:val="18"/>
          <w:szCs w:val="18"/>
          <w:i w:val="1"/>
          <w:iCs w:val="1"/>
          <w:color w:val="auto"/>
        </w:rPr>
        <w:t>Cooley LLP</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John McKenna, </w:t>
      </w:r>
      <w:r>
        <w:rPr>
          <w:rFonts w:ascii="Times New Roman" w:cs="Times New Roman" w:eastAsia="Times New Roman" w:hAnsi="Times New Roman"/>
          <w:sz w:val="18"/>
          <w:szCs w:val="18"/>
          <w:i w:val="1"/>
          <w:iCs w:val="1"/>
          <w:color w:val="auto"/>
        </w:rPr>
        <w:t>Cooley LLP</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Milson Yu, </w:t>
      </w:r>
      <w:r>
        <w:rPr>
          <w:rFonts w:ascii="Times New Roman" w:cs="Times New Roman" w:eastAsia="Times New Roman" w:hAnsi="Times New Roman"/>
          <w:sz w:val="18"/>
          <w:szCs w:val="18"/>
          <w:i w:val="1"/>
          <w:iCs w:val="1"/>
          <w:color w:val="auto"/>
        </w:rPr>
        <w:t>Cooley LLP</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Edwin O’Connor, </w:t>
      </w:r>
      <w:r>
        <w:rPr>
          <w:rFonts w:ascii="Times New Roman" w:cs="Times New Roman" w:eastAsia="Times New Roman" w:hAnsi="Times New Roman"/>
          <w:sz w:val="18"/>
          <w:szCs w:val="18"/>
          <w:i w:val="1"/>
          <w:iCs w:val="1"/>
          <w:color w:val="auto"/>
        </w:rPr>
        <w:t>Goodwin &amp; Procter LLP</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Seo Salimi, </w:t>
      </w:r>
      <w:r>
        <w:rPr>
          <w:rFonts w:ascii="Times New Roman" w:cs="Times New Roman" w:eastAsia="Times New Roman" w:hAnsi="Times New Roman"/>
          <w:sz w:val="18"/>
          <w:szCs w:val="18"/>
          <w:i w:val="1"/>
          <w:iCs w:val="1"/>
          <w:color w:val="auto"/>
        </w:rPr>
        <w:t>Goodwin &amp; Procter LLP</w:t>
      </w:r>
    </w:p>
    <w:p>
      <w:pPr>
        <w:spacing w:after="0" w:line="147" w:lineRule="exact"/>
        <w:rPr>
          <w:sz w:val="20"/>
          <w:szCs w:val="20"/>
          <w:color w:val="auto"/>
        </w:rPr>
      </w:pPr>
    </w:p>
    <w:p>
      <w:pPr>
        <w:jc w:val="center"/>
        <w:ind w:right="-99"/>
        <w:spacing w:after="0"/>
        <w:tabs>
          <w:tab w:leader="none" w:pos="120" w:val="left"/>
          <w:tab w:leader="none" w:pos="120" w:val="left"/>
          <w:tab w:leader="none" w:pos="120" w:val="left"/>
          <w:tab w:leader="none" w:pos="100" w:val="left"/>
        </w:tabs>
        <w:rPr>
          <w:sz w:val="20"/>
          <w:szCs w:val="20"/>
          <w:color w:val="auto"/>
        </w:rPr>
      </w:pPr>
      <w:r>
        <w:rPr>
          <w:rFonts w:ascii="Times New Roman" w:cs="Times New Roman" w:eastAsia="Times New Roman" w:hAnsi="Times New Roman"/>
          <w:sz w:val="13"/>
          <w:szCs w:val="13"/>
          <w:color w:val="auto"/>
        </w:rPr>
        <w:t>10 Collyer Quay</w:t>
        <w:tab/>
        <w:t>Level 37</w:t>
        <w:tab/>
        <w:t>Ocean Financial Centre</w:t>
        <w:tab/>
        <w:t>Singapore,</w:t>
        <w:tab/>
        <w:t>049315</w:t>
      </w:r>
    </w:p>
    <w:p>
      <w:pPr>
        <w:spacing w:after="0" w:line="13" w:lineRule="exact"/>
        <w:rPr>
          <w:sz w:val="20"/>
          <w:szCs w:val="20"/>
          <w:color w:val="auto"/>
        </w:rPr>
      </w:pPr>
    </w:p>
    <w:p>
      <w:pPr>
        <w:jc w:val="center"/>
        <w:ind w:right="-79"/>
        <w:spacing w:after="0"/>
        <w:tabs>
          <w:tab w:leader="none" w:pos="120" w:val="left"/>
          <w:tab w:leader="none" w:pos="120" w:val="left"/>
        </w:tabs>
        <w:rPr>
          <w:sz w:val="20"/>
          <w:szCs w:val="20"/>
          <w:color w:val="auto"/>
        </w:rPr>
      </w:pPr>
      <w:r>
        <w:rPr>
          <w:rFonts w:ascii="Times New Roman" w:cs="Times New Roman" w:eastAsia="Times New Roman" w:hAnsi="Times New Roman"/>
          <w:sz w:val="13"/>
          <w:szCs w:val="13"/>
          <w:color w:val="auto"/>
        </w:rPr>
        <w:t>t: +65 6962 7500</w:t>
        <w:tab/>
        <w:t>f: +65 6962 7501</w:t>
        <w:tab/>
        <w:t>cooley.com</w:t>
      </w:r>
    </w:p>
    <w:sectPr>
      <w:pgSz w:w="11900" w:h="16838" w:orient="portrait"/>
      <w:cols w:equalWidth="0" w:num="1">
        <w:col w:w="10920"/>
      </w:cols>
      <w:pgMar w:left="440" w:top="1030"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upperLetter"/>
      <w:start w:val="20"/>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2020-11-16T23:07:43Z</dcterms:created>
  <dcterms:modified xsi:type="dcterms:W3CDTF">2020-11-16T23:07:43Z</dcterms:modified>
</cp:coreProperties>
</file>