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6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For the Month of February 2021</w:t>
      </w:r>
    </w:p>
    <w:p>
      <w:pPr>
        <w:spacing w:after="0" w:line="20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24, 2021, Opthea Limited lodged a press release with the Australian Securities Exchange, announcing certain clinical updates relating to OPT-302. A copy of this press release is attached to this report on Form 6-K as Exhibit 99.1.</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February 24, 2021</w:t>
        </w:r>
      </w:hyperlink>
    </w:p>
    <w:p>
      <w:pPr>
        <w:sectPr>
          <w:pgSz w:w="11900" w:h="16838" w:orient="portrait"/>
          <w:cols w:equalWidth="0" w:num="1">
            <w:col w:w="10780"/>
          </w:cols>
          <w:pgMar w:left="440" w:top="266" w:right="6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24,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Tonroe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Tonroe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Company Secretary</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52857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85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ASX and Media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February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Opthea Finalizes Study Designs and Start-up Activities for Phase 3 Pivotal Clinical Trials of OPT-302 in Wet AMD</w:t>
      </w:r>
    </w:p>
    <w:p>
      <w:pPr>
        <w:spacing w:after="0" w:line="131" w:lineRule="exact"/>
        <w:rPr>
          <w:sz w:val="20"/>
          <w:szCs w:val="20"/>
          <w:color w:val="auto"/>
        </w:rPr>
      </w:pPr>
    </w:p>
    <w:p>
      <w:pPr>
        <w:ind w:left="960" w:right="300" w:hanging="532"/>
        <w:spacing w:after="0" w:line="28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Following consultations with US FDA and EU EMA, two pivotal Phase 3 clinical trial designs are finalized to assess 2 mg OPT-302 administered 4-weekly or 8-weekly in combination with Lucentis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8"/>
          <w:szCs w:val="18"/>
          <w:b w:val="1"/>
          <w:bCs w:val="1"/>
          <w:i w:val="1"/>
          <w:iCs w:val="1"/>
          <w:color w:val="auto"/>
        </w:rPr>
        <w:t xml:space="preserve"> (ShORe study) and Eylea</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8"/>
          <w:szCs w:val="18"/>
          <w:b w:val="1"/>
          <w:bCs w:val="1"/>
          <w:i w:val="1"/>
          <w:iCs w:val="1"/>
          <w:color w:val="auto"/>
        </w:rPr>
        <w:t xml:space="preserve"> (COAST study) standard of care</w:t>
      </w:r>
    </w:p>
    <w:p>
      <w:pPr>
        <w:spacing w:after="0" w:line="60" w:lineRule="exact"/>
        <w:rPr>
          <w:rFonts w:ascii="Times New Roman" w:cs="Times New Roman" w:eastAsia="Times New Roman" w:hAnsi="Times New Roman"/>
          <w:sz w:val="18"/>
          <w:szCs w:val="18"/>
          <w:color w:val="auto"/>
        </w:rPr>
      </w:pPr>
    </w:p>
    <w:p>
      <w:pPr>
        <w:jc w:val="both"/>
        <w:ind w:left="960" w:right="120" w:hanging="532"/>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Internationally recognized retinal disease specialists, Prof Timothy Jackson and Dr Charles Wykoff, named Chief investigators for the ShORe and COAST trials, respectively. In addition, Dr Jason Slakter, founder of the Digital Angiography Reading Center (DARC) in New York, will contribute expertise in ocular imaging.</w:t>
      </w:r>
    </w:p>
    <w:p>
      <w:pPr>
        <w:spacing w:after="0" w:line="7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Opthea confirms planned initiation of Pivotal Phase 3 trials remains on-track for CY 1Q’21</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Melbourne, Australia; 24 February 2021 </w:t>
      </w:r>
      <w:r>
        <w:rPr>
          <w:rFonts w:ascii="Times New Roman" w:cs="Times New Roman" w:eastAsia="Times New Roman" w:hAnsi="Times New Roman"/>
          <w:sz w:val="18"/>
          <w:szCs w:val="18"/>
          <w:color w:val="auto"/>
        </w:rPr>
        <w:t>– Opthea Limited (ASX:OPT; Nasdaq:OPT), a clinical stage biopharmaceutical company developing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novel therapy to treat highly prevalent and progressive retinal diseases, today announces that it has finalized the protocol study designs and key start-up activities in readiness for the initiation of the Phase 3 ShORe and COAST pivotal clinical trials of OPT-302 in wet age-related macular degeneration (AMD).</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Finalization of the Phase 3 trial protocols follows productive consultations with the FDA, EMA and world-renowned Key Opinion Leaders (KOLs) in wet AMD. The trial protocols have also been submitted to relevant regulatory agencies, institutional review boards and human research ethics committees.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Two global experts in the treatment of retinal diseases, Prof Timothy Jackson and Dr Charles Wykoff, will be the Chief investigators for the ShORe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u w:val="single" w:color="auto"/>
          <w:color w:val="auto"/>
        </w:rPr>
        <w:t>S</w:t>
      </w:r>
      <w:r>
        <w:rPr>
          <w:rFonts w:ascii="Times New Roman" w:cs="Times New Roman" w:eastAsia="Times New Roman" w:hAnsi="Times New Roman"/>
          <w:sz w:val="18"/>
          <w:szCs w:val="18"/>
          <w:i w:val="1"/>
          <w:iCs w:val="1"/>
          <w:color w:val="auto"/>
        </w:rPr>
        <w:t xml:space="preserve">tudy of </w:t>
      </w:r>
      <w:r>
        <w:rPr>
          <w:rFonts w:ascii="Times New Roman" w:cs="Times New Roman" w:eastAsia="Times New Roman" w:hAnsi="Times New Roman"/>
          <w:sz w:val="18"/>
          <w:szCs w:val="18"/>
          <w:b w:val="1"/>
          <w:bCs w:val="1"/>
          <w:i w:val="1"/>
          <w:iCs w:val="1"/>
          <w:u w:val="single" w:color="auto"/>
          <w:color w:val="auto"/>
        </w:rPr>
        <w:t>O</w:t>
      </w:r>
      <w:r>
        <w:rPr>
          <w:rFonts w:ascii="Times New Roman" w:cs="Times New Roman" w:eastAsia="Times New Roman" w:hAnsi="Times New Roman"/>
          <w:sz w:val="18"/>
          <w:szCs w:val="18"/>
          <w:i w:val="1"/>
          <w:iCs w:val="1"/>
          <w:color w:val="auto"/>
        </w:rPr>
        <w:t xml:space="preserve">PT-302 in combination with </w:t>
      </w:r>
      <w:r>
        <w:rPr>
          <w:rFonts w:ascii="Times New Roman" w:cs="Times New Roman" w:eastAsia="Times New Roman" w:hAnsi="Times New Roman"/>
          <w:sz w:val="18"/>
          <w:szCs w:val="18"/>
          <w:b w:val="1"/>
          <w:bCs w:val="1"/>
          <w:i w:val="1"/>
          <w:iCs w:val="1"/>
          <w:u w:val="single" w:color="auto"/>
          <w:color w:val="auto"/>
        </w:rPr>
        <w:t>R</w:t>
      </w:r>
      <w:r>
        <w:rPr>
          <w:rFonts w:ascii="Times New Roman" w:cs="Times New Roman" w:eastAsia="Times New Roman" w:hAnsi="Times New Roman"/>
          <w:sz w:val="18"/>
          <w:szCs w:val="18"/>
          <w:i w:val="1"/>
          <w:iCs w:val="1"/>
          <w:color w:val="auto"/>
        </w:rPr>
        <w:t xml:space="preserve">anibizumab) </w:t>
      </w:r>
      <w:r>
        <w:rPr>
          <w:rFonts w:ascii="Times New Roman" w:cs="Times New Roman" w:eastAsia="Times New Roman" w:hAnsi="Times New Roman"/>
          <w:sz w:val="18"/>
          <w:szCs w:val="18"/>
          <w:color w:val="auto"/>
        </w:rPr>
        <w:t>and COAST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C</w:t>
      </w:r>
      <w:r>
        <w:rPr>
          <w:rFonts w:ascii="Times New Roman" w:cs="Times New Roman" w:eastAsia="Times New Roman" w:hAnsi="Times New Roman"/>
          <w:sz w:val="18"/>
          <w:szCs w:val="18"/>
          <w:i w:val="1"/>
          <w:iCs w:val="1"/>
          <w:color w:val="auto"/>
        </w:rPr>
        <w:t xml:space="preserve">ombination </w:t>
      </w:r>
      <w:r>
        <w:rPr>
          <w:rFonts w:ascii="Times New Roman" w:cs="Times New Roman" w:eastAsia="Times New Roman" w:hAnsi="Times New Roman"/>
          <w:sz w:val="18"/>
          <w:szCs w:val="18"/>
          <w:b w:val="1"/>
          <w:bCs w:val="1"/>
          <w:i w:val="1"/>
          <w:iCs w:val="1"/>
          <w:u w:val="single" w:color="auto"/>
          <w:color w:val="auto"/>
        </w:rPr>
        <w:t>O</w:t>
      </w:r>
      <w:r>
        <w:rPr>
          <w:rFonts w:ascii="Times New Roman" w:cs="Times New Roman" w:eastAsia="Times New Roman" w:hAnsi="Times New Roman"/>
          <w:sz w:val="18"/>
          <w:szCs w:val="18"/>
          <w:i w:val="1"/>
          <w:iCs w:val="1"/>
          <w:color w:val="auto"/>
        </w:rPr>
        <w:t xml:space="preserve">PT-302 with </w:t>
      </w:r>
      <w:r>
        <w:rPr>
          <w:rFonts w:ascii="Times New Roman" w:cs="Times New Roman" w:eastAsia="Times New Roman" w:hAnsi="Times New Roman"/>
          <w:sz w:val="18"/>
          <w:szCs w:val="18"/>
          <w:b w:val="1"/>
          <w:bCs w:val="1"/>
          <w:i w:val="1"/>
          <w:iCs w:val="1"/>
          <w:u w:val="single" w:color="auto"/>
          <w:color w:val="auto"/>
        </w:rPr>
        <w:t>A</w:t>
      </w:r>
      <w:r>
        <w:rPr>
          <w:rFonts w:ascii="Times New Roman" w:cs="Times New Roman" w:eastAsia="Times New Roman" w:hAnsi="Times New Roman"/>
          <w:sz w:val="18"/>
          <w:szCs w:val="18"/>
          <w:i w:val="1"/>
          <w:iCs w:val="1"/>
          <w:color w:val="auto"/>
        </w:rPr>
        <w:t xml:space="preserve">flibercept </w:t>
      </w:r>
      <w:r>
        <w:rPr>
          <w:rFonts w:ascii="Times New Roman" w:cs="Times New Roman" w:eastAsia="Times New Roman" w:hAnsi="Times New Roman"/>
          <w:sz w:val="18"/>
          <w:szCs w:val="18"/>
          <w:b w:val="1"/>
          <w:bCs w:val="1"/>
          <w:i w:val="1"/>
          <w:iCs w:val="1"/>
          <w:u w:val="single" w:color="auto"/>
          <w:color w:val="auto"/>
        </w:rPr>
        <w:t>St</w:t>
      </w:r>
      <w:r>
        <w:rPr>
          <w:rFonts w:ascii="Times New Roman" w:cs="Times New Roman" w:eastAsia="Times New Roman" w:hAnsi="Times New Roman"/>
          <w:sz w:val="18"/>
          <w:szCs w:val="18"/>
          <w:i w:val="1"/>
          <w:iCs w:val="1"/>
          <w:color w:val="auto"/>
        </w:rPr>
        <w:t xml:space="preserve">udy) </w:t>
      </w:r>
      <w:r>
        <w:rPr>
          <w:rFonts w:ascii="Times New Roman" w:cs="Times New Roman" w:eastAsia="Times New Roman" w:hAnsi="Times New Roman"/>
          <w:sz w:val="18"/>
          <w:szCs w:val="18"/>
          <w:color w:val="auto"/>
        </w:rPr>
        <w:t>trials, respectively.</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Professor Jackson, PhD, FRCOphth, is a consultant ophthalmic surgeon at King’s College, London, and was also the Chief Investigator on the Opthea Phase 2b wet AMD clinical trial. Dr Wykoff, MD PhD, is the Director of Research, Retina Consultants of Texas and Deputy Chair for Ophthalmology, Blanton Eye Institute, Houston Methodist Hospital, Houston Texas. Another eminent retina specialist, Dr Jason Slakter, founder and Director of the Digital Angiography Reading Center (DARC) in New York, and Clinical Professor of Ophthalmology at NYU School of Medicine, will also provide expertise as a leading authority on ocular imaging for the Phase 3 clinical program.</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collaborative nature of our study protocol discussions with our KOLs, the FDA and EMA has been very pleasing and the constructive input received ensures that the design of the OPT-302 Phase 3 program has the potential to generate compelling and persuasive clinical data capable of satisfying regulatory requirements” said Dr Megan Baldwin, Chief Executive Officer of Opthea. “With the achievement of other key start-up milestones, including successful scale-up of manufacturing and fill-finish of OPT-302 drug product for use in the trials, we now excitedly look forward to initiating the pivotal Phase 3 studies that are designed to support potential marketing approval of OPT-302 for the treatment of wet AMD.”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Level 4, 650 Chapel Street, South Yarra, Victoria 3141 Australia T +61 (3) 9826 0399 F +61 (3) 9824 0083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www.opthea.com </w:t>
      </w:r>
      <w:r>
        <w:rPr>
          <w:rFonts w:ascii="Times New Roman" w:cs="Times New Roman" w:eastAsia="Times New Roman" w:hAnsi="Times New Roman"/>
          <w:sz w:val="18"/>
          <w:szCs w:val="18"/>
          <w:color w:val="auto"/>
        </w:rPr>
        <w:t>ABN 32 006 340 567</w:t>
      </w:r>
    </w:p>
    <w:p>
      <w:pPr>
        <w:sectPr>
          <w:pgSz w:w="11900" w:h="16838" w:orient="portrait"/>
          <w:cols w:equalWidth="0" w:num="1">
            <w:col w:w="11020"/>
          </w:cols>
          <w:pgMar w:left="440" w:top="121" w:right="439" w:bottom="1440" w:gutter="0" w:footer="0" w:header="0"/>
        </w:sectPr>
      </w:pPr>
    </w:p>
    <w:bookmarkStart w:id="4" w:name="page5"/>
    <w:bookmarkEnd w:id="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global, multi-centre, double-masked, sham-controlled, pivotal Phase 3 clinical trials will each enrol ~990 treatment-naive patients and assess the efficacy and safety of intravitreal 2.0 mg OPT-302 in combination with 0.5 mg ranibizumab (Lucentis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(ShORe trial) or 2.0 mg aflibercept (Eylea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(COAST trial), compared to ranibizumab or aflibercept monotherapy, respectively. In addition, extended durability of the OPT-302 treatment effect on clinical outcomes with less frequent every eight-weekly dosing will be compared with OPT-302 administered on an every four-weekly dosing regimen, in combination with each VEGF-A inhibitor. If effective in these Phase 3 studies, OPT-302 could be adopted for administration with either Eylea or Lucentis which had combined sales for retinal diseases of USD$11.9 billion in 2019.</w:t>
      </w:r>
    </w:p>
    <w:p>
      <w:pPr>
        <w:spacing w:after="0" w:line="18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primary endpoint for both trials is the mean change in Best Corrected Visual Acuity from baseline to week 52 for OPT-302 combination therapy compared to anti-VEGF-A monotherapy. Each patient will continue to be treated for a further year to evaluate extended safety and tolerability over a two-year period.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Opthea remains on track to initiate the trials in the first quarter of calendar year (CY) 2021 and to report top-line data in the second half CY 2023. If the results at the completion of the primary efficacy phase at week 52 of the Phase 3 clinical trials are favourable, the Company intends to submit Biologics License and Marketing Authorisation Applications with the FDA and EMA respectively for marketing approval for OPT-302 for the treatment of wet AMD in the United States, European Union and other global territories.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on Opthea’s technology and clinical trials can be found appended to this announcement and at www.opthea.com.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Authorised for release to ASX by Megan Baldwin, CEO &amp; Managing Director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&amp; Media Enquiries:</w:t>
            </w:r>
          </w:p>
        </w:tc>
        <w:tc>
          <w:tcPr>
            <w:tcW w:w="5320" w:type="dxa"/>
            <w:vAlign w:val="bottom"/>
          </w:tcPr>
          <w:p>
            <w:pPr>
              <w:ind w:left="1820"/>
              <w:spacing w:after="0"/>
              <w:rPr>
                <w:sz w:val="20"/>
                <w:szCs w:val="20"/>
                <w:color w:val="auto"/>
              </w:rPr>
            </w:pPr>
            <w:r>
              <w:rPr>
                <w:rFonts w:ascii="Times New Roman" w:cs="Times New Roman" w:eastAsia="Times New Roman" w:hAnsi="Times New Roman"/>
                <w:sz w:val="16"/>
                <w:szCs w:val="16"/>
                <w:b w:val="1"/>
                <w:bCs w:val="1"/>
                <w:i w:val="1"/>
                <w:iCs w:val="1"/>
                <w:color w:val="auto"/>
              </w:rPr>
              <w:t>Join our email database to receive program updates:</w:t>
            </w:r>
          </w:p>
        </w:tc>
      </w:tr>
      <w:tr>
        <w:trPr>
          <w:trHeight w:val="42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Tel: +61 (0) 3 9826 0399</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&amp; Managing Director</w:t>
            </w: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info@opthea.com</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Opthea Limited</w:t>
            </w: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www.opthea.com</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+61 (0) 447 788 674</w:t>
            </w:r>
          </w:p>
        </w:tc>
        <w:tc>
          <w:tcPr>
            <w:tcW w:w="5320" w:type="dxa"/>
            <w:vAlign w:val="bottom"/>
          </w:tcPr>
          <w:p>
            <w:pPr>
              <w:spacing w:after="0"/>
              <w:rPr>
                <w:sz w:val="18"/>
                <w:szCs w:val="18"/>
                <w:color w:val="auto"/>
              </w:rPr>
            </w:pPr>
          </w:p>
        </w:tc>
      </w:tr>
      <w:tr>
        <w:trPr>
          <w:trHeight w:val="194"/>
        </w:trPr>
        <w:tc>
          <w:tcPr>
            <w:tcW w:w="3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megan.baldwin@opthea.com</w:t>
            </w:r>
          </w:p>
        </w:tc>
        <w:tc>
          <w:tcPr>
            <w:tcW w:w="5320" w:type="dxa"/>
            <w:vAlign w:val="bottom"/>
          </w:tcPr>
          <w:p>
            <w:pPr>
              <w:spacing w:after="0"/>
              <w:rPr>
                <w:sz w:val="16"/>
                <w:szCs w:val="16"/>
                <w:color w:val="auto"/>
              </w:rPr>
            </w:pPr>
          </w:p>
        </w:tc>
      </w:tr>
      <w:tr>
        <w:trPr>
          <w:trHeight w:val="434"/>
        </w:trPr>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tc>
        <w:tc>
          <w:tcPr>
            <w:tcW w:w="1820" w:type="dxa"/>
            <w:vAlign w:val="bottom"/>
          </w:tcPr>
          <w:p>
            <w:pPr>
              <w:spacing w:after="0"/>
              <w:rPr>
                <w:sz w:val="24"/>
                <w:szCs w:val="24"/>
                <w:color w:val="auto"/>
              </w:rPr>
            </w:pP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i w:val="1"/>
                <w:iCs w:val="1"/>
                <w:color w:val="auto"/>
              </w:rPr>
              <w:t>U.S.A. &amp; International:</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Jason Wong</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Monsoon Communications</w:t>
            </w: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Blueprint Life Science Group</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+61 (0) 3 9620 3333</w:t>
            </w: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Tel: +1 415 375 3340, Ext 4</w:t>
            </w:r>
          </w:p>
        </w:tc>
      </w:tr>
      <w:tr>
        <w:trPr>
          <w:trHeight w:val="234"/>
        </w:trPr>
        <w:tc>
          <w:tcPr>
            <w:tcW w:w="2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3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Jwong@bplifescience.com</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ShORe Pivotal Phase 3 Clinical Trial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Study of OPT-302 in combination with Ranibizumab, or ShORe, Phase 3 trial, ~990 treatment-naive patients with wet AMD will be randomized 1:1:1 to one of three treatment groups. Patients randomized to the standard OPT-302 dosing arm will receive standard of care 0.5 mg ranibizumab every four weeks in combination with 2.0 mg OPT-302 on a every 4-week dosing regimen. In the extended OPT-302 dosing arm, 0.5 mg ranibizumab will be administered every four weeks to week 52, in combination with 2.0 mg OPT-302 administered every four weeks for three loading doses, followed by OPT-302 dosing on an every 8-week dosing regimen to week 52, with a sham injection given at visits where OPT-302 is not administered. Patients randomized to the control arm will receive 0.5 mg ranibizumab in combination with sham intravitreal injections administered every four weeks to week 52.</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Level 4, 650 Chapel Street, South Yarra, Victoria 3141 Australia T +61 (3) 9826 0399 F +61 (3) 9824 0083</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www.opthea.com </w:t>
      </w:r>
      <w:r>
        <w:rPr>
          <w:rFonts w:ascii="Times New Roman" w:cs="Times New Roman" w:eastAsia="Times New Roman" w:hAnsi="Times New Roman"/>
          <w:sz w:val="18"/>
          <w:szCs w:val="18"/>
          <w:color w:val="auto"/>
        </w:rPr>
        <w:t>ABN 32 006 340 567</w:t>
      </w:r>
    </w:p>
    <w:p>
      <w:pPr>
        <w:sectPr>
          <w:pgSz w:w="11900" w:h="16838" w:orient="portrait"/>
          <w:cols w:equalWidth="0" w:num="1">
            <w:col w:w="10940"/>
          </w:cols>
          <w:pgMar w:left="440" w:top="270" w:right="5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474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COAST Pivotal Phase 3 Clinical Trial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Combination OPT-302 with Aflibercept STudy, or COAST, Phase 3 trial, ~990 treatment-naive wet AMD patients will be randomized 1:1:1 to one of three treatment groups. Patients randomized to the standard OPT-302 dosing arm will receive 2.0 mg aflibercept administered every four weeks for three loading doses, followed by aflibercept dosing every eight weeks to week 52, in combination with 2.0 mg OPT-302 administered every four weeks to week 52. In the extended OPT-302 dosing arm, 2.0 mg aflibercept in combination with 2.0 mg OPT-302 will be administered every four weeks for three loading doses, followed by dosing every eight weeks to week 52, with a sham injection given at visits where OPT-302 and aflibercept are not administered. Patients randomized to the control arm, will receive 2.0 mg aflibercept administered every four weeks for three loading doses, followed by dosing every eight weeks to week 52, in combination with sham intravitreal injections administered every four weeks to week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5297805" cy="1354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9780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primary and secondary efficacy outcomes for both Phase 3 studies will be determined at the end of the efficacy phase at week 52. Each patient will then continue to be treated for an additional year through week 100 to further evaluate safety and tolerability over a total two-year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Opthea</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Opthea (ASX:OPT; Nasdaq:OPT) is a biopharmaceutical company developing a novel therapy to address the unmet need in the treatment of highly prevalent and progressive retinal diseases, including wet age-related macular degeneration (wet AMD) and diabetic macular edema (DME). Opthea’s lead product candidate OPT-302 is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risks of Investment in Biotechnology Companies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Level 4, 650 Chapel Street, South Yarra, Victoria 3141 Australia T +61 (3) 9826 0399 F +61 (3) 9824 0083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www.opthea.com </w:t>
      </w:r>
      <w:r>
        <w:rPr>
          <w:rFonts w:ascii="Times New Roman" w:cs="Times New Roman" w:eastAsia="Times New Roman" w:hAnsi="Times New Roman"/>
          <w:sz w:val="18"/>
          <w:szCs w:val="18"/>
          <w:color w:val="auto"/>
        </w:rPr>
        <w:t>ABN 32 006 340 567</w:t>
      </w:r>
    </w:p>
    <w:p>
      <w:pPr>
        <w:sectPr>
          <w:pgSz w:w="11900" w:h="16838" w:orient="portrait"/>
          <w:cols w:equalWidth="0" w:num="1">
            <w:col w:w="11000"/>
          </w:cols>
          <w:pgMar w:left="440" w:top="144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in this announcement may contain forward-looking statements, including within the meaning of the U.S. Private Securities Litigation Reform Act of 1995. Any statement describing Company goals, expectations, intentions or beliefs is a forward-looking statement and should be considered an at risk statement, including, but not limited to, the initiation of patient recruitment for Opthea’s planned pivotal Phase 3 clinical trials of OPT-302 in wet AMD. Such statements are based on Opthea’s current plans, objectives, estimates, expectations and intentions and are subject to certain risks and uncertainties, including risks and uncertainties associated with clinical trials and product development and the impact of general economic, industry or political conditions in Australia, the United States or internationally. These and other risks and uncertainties are described more fully in the section titled “Risk Factors” in the final prospectus filed with the SEC on October 19, 2020. The Company undertakes no obligation to publicly update any forward-looking statement, whether as a result of new information, future events, or otherwise, except as required under applicable law. You should not place undue reliance on these forward-looking statements as predictions of future events, which statements apply only as of the date of this announcement. Actual results could differ materially from those discussed in this ASX announcement.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Level 4, 650 Chapel Street, South Yarra, Victoria 3141 Australia T +61 (3) 9826 0399 F +61 (3) 9824 0083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www.opthea.com </w:t>
      </w:r>
      <w:r>
        <w:rPr>
          <w:rFonts w:ascii="Times New Roman" w:cs="Times New Roman" w:eastAsia="Times New Roman" w:hAnsi="Times New Roman"/>
          <w:sz w:val="18"/>
          <w:szCs w:val="18"/>
          <w:color w:val="auto"/>
        </w:rPr>
        <w:t>ABN 32 006 340 567</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2021-02-24T05:21:42Z</dcterms:created>
  <dcterms:modified xsi:type="dcterms:W3CDTF">2021-02-24T05:21:42Z</dcterms:modified>
</cp:coreProperties>
</file>