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2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5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3"/>
          <w:szCs w:val="13"/>
          <w:b w:val="1"/>
          <w:bCs w:val="1"/>
          <w:u w:val="single" w:color="auto"/>
          <w:color w:val="auto"/>
        </w:rPr>
        <w:t>Exhibit</w:t>
      </w:r>
      <w:r>
        <w:rPr>
          <w:sz w:val="20"/>
          <w:szCs w:val="20"/>
          <w:color w:val="auto"/>
        </w:rPr>
        <w:tab/>
      </w:r>
      <w:r>
        <w:rPr>
          <w:rFonts w:ascii="Arial" w:cs="Arial" w:eastAsia="Arial" w:hAnsi="Arial"/>
          <w:sz w:val="13"/>
          <w:szCs w:val="13"/>
          <w:b w:val="1"/>
          <w:bCs w:val="1"/>
          <w:u w:val="single" w:color="auto"/>
          <w:color w:val="auto"/>
        </w:rPr>
        <w:t>Description</w:t>
      </w:r>
    </w:p>
    <w:p>
      <w:pPr>
        <w:spacing w:after="0" w:line="129"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3, 2022</w:t>
        </w:r>
      </w:hyperlink>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Megan Baldwin,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Managing Director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171450</wp:posOffset>
            </wp:positionV>
            <wp:extent cx="252857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85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ASX and Media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January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Opthea Appoints Chief Commercial Officer to Lead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 of OPT-302 for Wet AMD</w:t>
      </w:r>
    </w:p>
    <w:p>
      <w:pPr>
        <w:spacing w:after="0" w:line="207"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Melbourne, Australia; 3 January 2022 </w:t>
      </w:r>
      <w:r>
        <w:rPr>
          <w:rFonts w:ascii="Arial" w:cs="Arial" w:eastAsia="Arial" w:hAnsi="Arial"/>
          <w:sz w:val="16"/>
          <w:szCs w:val="16"/>
          <w:color w:val="auto"/>
        </w:rPr>
        <w:t>– Opthea Limited (ASX:OPT; Nasdaq:OPT), a clinical stage biopharmaceutical company developing novel</w:t>
      </w:r>
      <w:r>
        <w:rPr>
          <w:rFonts w:ascii="Arial" w:cs="Arial" w:eastAsia="Arial" w:hAnsi="Arial"/>
          <w:sz w:val="16"/>
          <w:szCs w:val="16"/>
          <w:b w:val="1"/>
          <w:bCs w:val="1"/>
          <w:color w:val="auto"/>
        </w:rPr>
        <w:t xml:space="preserve"> </w:t>
      </w:r>
      <w:r>
        <w:rPr>
          <w:rFonts w:ascii="Arial" w:cs="Arial" w:eastAsia="Arial" w:hAnsi="Arial"/>
          <w:sz w:val="16"/>
          <w:szCs w:val="16"/>
          <w:color w:val="auto"/>
        </w:rPr>
        <w:t>therapies to treat highly prevalent and progressive retinal diseases, is pleased to announce the appointment of Ms. Judith Robertson as the Company’s first Chief Commercial Officer (CCO), effective 1 January 2021. Concurrently with this appointment, Ms. Robertson has stepped down as a non-executive member of the Opthea Board of Directors, a position she has held since June 2021, to pursue the full-time executive CCO role.</w:t>
      </w:r>
    </w:p>
    <w:p>
      <w:pPr>
        <w:spacing w:after="0" w:line="15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Opthea’s Chief Executive Officer, Dr. Megan Baldwin, commented “I am delighted to welcome Ms. Robertson to the executive management team to lead both the U.S. and global commercialization activities for OPT-302. Ms. Robertson’s appointment reflects her deep commitment to the Company and her conviction in the potential of targeting VEGF-C/-D to improve visual acuity outcomes in patients with wet age-related macular degeneration (AMD). Ms. Robertson’s appointment is timely as we advance our Phase 3 registrational program and commercialization efforts for OPT-302. We look forward to capitalizing on both her deep knowledge of the Company and her experience in overseeing the launch of multiple ophthalmology products.”</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Ms. Judith Robertson is an accomplished life sciences commercial executive with an extensive track record for building, leading and launching several commercial organizations. Prior to joining Opthea, Ms. Robertson was most recently Chief Commercial Officer of Eleusis Ltd and was previously Chief Commercial Officer of Aerie Pharmaceuticals, where she oversaw the launch of Rhopressa</w:t>
      </w:r>
      <w:r>
        <w:rPr>
          <w:rFonts w:ascii="Arial" w:cs="Arial" w:eastAsia="Arial" w:hAnsi="Arial"/>
          <w:sz w:val="14"/>
          <w:szCs w:val="14"/>
          <w:color w:val="auto"/>
        </w:rPr>
        <w:t>®</w:t>
      </w:r>
      <w:r>
        <w:rPr>
          <w:rFonts w:ascii="Arial" w:cs="Arial" w:eastAsia="Arial" w:hAnsi="Arial"/>
          <w:sz w:val="17"/>
          <w:szCs w:val="17"/>
          <w:color w:val="auto"/>
        </w:rPr>
        <w:t>, the first product targeting a new mechanism of action for the treatment of glaucoma in 20 years, and the launch of the combination product Rocklatan</w:t>
      </w:r>
      <w:r>
        <w:rPr>
          <w:rFonts w:ascii="Arial" w:cs="Arial" w:eastAsia="Arial" w:hAnsi="Arial"/>
          <w:sz w:val="14"/>
          <w:szCs w:val="14"/>
          <w:color w:val="auto"/>
        </w:rPr>
        <w:t>®</w:t>
      </w:r>
      <w:r>
        <w:rPr>
          <w:rFonts w:ascii="Arial" w:cs="Arial" w:eastAsia="Arial" w:hAnsi="Arial"/>
          <w:sz w:val="17"/>
          <w:szCs w:val="17"/>
          <w:color w:val="auto"/>
        </w:rPr>
        <w:t>. Prior to Aerie, Ms. Robertson was Global Commercial Vice President Immunology and Ophthalmology at Johnson and Johnson, Janssen Pharmaceuticals, and Global Vice President Ophthalmology at Novartis (formerly Alcon). Her prior experience also includes several senior executive commercial roles at Searle and Bristol Myers Squibb including President and General Manager of Bristol Myers Squibb Canada.</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Opthea’s Chairman, Dr. Jeremy Levin, commented “On behalf of Opthea’s Board of Directors, I wish to thank Ms. Robertson for her service to the Company as a non-executive director. We are confident that Ms. Robertson’s commercial expertise will continue to be a great asset to the Company as she moves to an executive role. Furthermore, Ms. Robertson’s appointment adds to our goal of building out a substantial presence in the United States, a key market as we look towards commercialization.”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Opthea (ASX:OPT; Nasdaq: 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Level 4, 650 Chapel Street, South Yarra, Victoria 3141 Australia T +61 (3) 9826 0399 F +61 (3) 9824 0083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www.opthea.com ABN 32 006 340 567</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Inherent risks of Investment in Biotechnology Companies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at-risk statement, including, but not limited to, the advancement of Opthea’s Phase 3 registrational program and commercialization efforts for OPT-302 and Opthea’s goal of building out a substantial presence in the United States.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Opthea’s Annual Report on Form 20-F filed with the SEC on October 28, 2021.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ectPr>
          <w:pgSz w:w="11900" w:h="16838" w:orient="portrait"/>
          <w:cols w:equalWidth="0" w:num="1">
            <w:col w:w="10960"/>
          </w:cols>
          <w:pgMar w:left="440" w:top="270"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Company &amp; Media Enquiries: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Join our email database to receive program updates:</w:t>
      </w:r>
    </w:p>
    <w:p>
      <w:pPr>
        <w:spacing w:after="0" w:line="57"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U.S.A. &amp; International:</w:t>
      </w:r>
    </w:p>
    <w:p>
      <w:pPr>
        <w:sectPr>
          <w:pgSz w:w="11900" w:h="16838" w:orient="portrait"/>
          <w:cols w:equalWidth="0" w:num="1">
            <w:col w:w="10960"/>
          </w:cols>
          <w:pgMar w:left="440" w:top="270" w:right="4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 +1 212-600-1902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Tel: +1 212-600-1902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info@opthea.com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www.opthea.com</w:t>
      </w:r>
    </w:p>
    <w:p>
      <w:pPr>
        <w:spacing w:after="0" w:line="9"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opthea@argotpartners.com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Monsoon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 +61 (0) 3 9620 3333</w:t>
      </w:r>
    </w:p>
    <w:p>
      <w:pPr>
        <w:sectPr>
          <w:pgSz w:w="11900" w:h="16838" w:orient="portrait"/>
          <w:cols w:equalWidth="0" w:num="1">
            <w:col w:w="10960"/>
          </w:cols>
          <w:pgMar w:left="440" w:top="270" w:right="499" w:bottom="1440" w:gutter="0" w:footer="0" w:header="0"/>
          <w:type w:val="continuous"/>
        </w:sectPr>
      </w:pP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Level 4, 650 Chapel Street, South Yarra, Victoria 3141 Australia T +61 (3) 9826 0399 F +61 (3) 9824 0083</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www.opthea.com ABN 32 006 340 567</w:t>
      </w:r>
    </w:p>
    <w:sectPr>
      <w:pgSz w:w="11900" w:h="16838" w:orient="portrait"/>
      <w:cols w:equalWidth="0" w:num="1">
        <w:col w:w="10960"/>
      </w:cols>
      <w:pgMar w:left="440" w:top="27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2022-01-03T15:13:53Z</dcterms:created>
  <dcterms:modified xsi:type="dcterms:W3CDTF">2022-01-03T15:13:53Z</dcterms:modified>
</cp:coreProperties>
</file>