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320" w:right="9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right"/>
        <w:ind w:right="40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48"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15240</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 w:lineRule="exact"/>
        <w:rPr>
          <w:sz w:val="20"/>
          <w:szCs w:val="20"/>
          <w:color w:val="auto"/>
        </w:rPr>
      </w:pPr>
    </w:p>
    <w:p>
      <w:pPr>
        <w:spacing w:after="0"/>
        <w:tabs>
          <w:tab w:leader="none" w:pos="7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30, 2021</w:t>
        </w:r>
      </w:hyperlink>
    </w:p>
    <w:p>
      <w:pPr>
        <w:spacing w:after="0" w:line="8"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6">
        <w:r>
          <w:rPr>
            <w:rFonts w:ascii="Arial" w:cs="Arial" w:eastAsia="Arial" w:hAnsi="Arial"/>
            <w:sz w:val="16"/>
            <w:szCs w:val="16"/>
            <w:u w:val="single" w:color="auto"/>
            <w:color w:val="0000EE"/>
          </w:rPr>
          <w:t>Opthea Appendix 4E and Annual Report</w:t>
        </w:r>
      </w:hyperlink>
    </w:p>
    <w:p>
      <w:pPr>
        <w:spacing w:after="0" w:line="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90">
        <w:r>
          <w:rPr>
            <w:rFonts w:ascii="Arial" w:cs="Arial" w:eastAsia="Arial" w:hAnsi="Arial"/>
            <w:sz w:val="16"/>
            <w:szCs w:val="16"/>
            <w:u w:val="single" w:color="auto"/>
            <w:color w:val="0000EE"/>
          </w:rPr>
          <w:t>Opthea Appendix 4G Corporate Governance Statement 2021</w:t>
        </w:r>
      </w:hyperlink>
    </w:p>
    <w:p>
      <w:pPr>
        <w:sectPr>
          <w:pgSz w:w="11900" w:h="16838" w:orient="portrait"/>
          <w:cols w:equalWidth="0" w:num="1">
            <w:col w:w="10019"/>
          </w:cols>
          <w:pgMar w:left="440" w:top="270" w:right="1440"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Megan Baldwin,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Managing Director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17145</wp:posOffset>
            </wp:positionV>
            <wp:extent cx="1928495" cy="960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849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Opthea Reports Fiscal Year 2021 Financial Results and Corporate Highlights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Treated First Patient in Phase 3 Pivotal Trials of OPT-302 in Wet Age-Related Macular Degeneration (AMD)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OPT-302 Granted FDA Fast Track Designation for Wet AMD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Received FDA Waiver for Pediatric Study Plan for OPT-302 in Wet AMD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ShORe and COAST Phase 3 Clinical Trials Opened Recruitment to Patients in U.S. &amp; Canada</w:t>
      </w:r>
    </w:p>
    <w:p>
      <w:pPr>
        <w:spacing w:after="0" w:line="221" w:lineRule="exact"/>
        <w:rPr>
          <w:sz w:val="20"/>
          <w:szCs w:val="20"/>
          <w:color w:val="auto"/>
        </w:rPr>
      </w:pPr>
    </w:p>
    <w:p>
      <w:pPr>
        <w:ind w:left="4" w:right="260"/>
        <w:spacing w:after="0" w:line="266" w:lineRule="auto"/>
        <w:rPr>
          <w:sz w:val="20"/>
          <w:szCs w:val="20"/>
          <w:color w:val="auto"/>
        </w:rPr>
      </w:pPr>
      <w:r>
        <w:rPr>
          <w:rFonts w:ascii="Arial" w:cs="Arial" w:eastAsia="Arial" w:hAnsi="Arial"/>
          <w:sz w:val="18"/>
          <w:szCs w:val="18"/>
          <w:b w:val="1"/>
          <w:bCs w:val="1"/>
          <w:color w:val="auto"/>
        </w:rPr>
        <w:t xml:space="preserve">Melbourne, Australia; August 30, 2021 </w:t>
      </w:r>
      <w:r>
        <w:rPr>
          <w:rFonts w:ascii="Arial" w:cs="Arial" w:eastAsia="Arial" w:hAnsi="Arial"/>
          <w:sz w:val="18"/>
          <w:szCs w:val="18"/>
          <w:color w:val="auto"/>
        </w:rPr>
        <w:t>– Opthea Limited (ASX:OPT; Nasdaq:OPT), a clinical stage biopharmaceutical company developing novel</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to treat highly prevalent and progressive retinal diseases, today reported financial results for the year ended June 30, 2021 and provided an overview of recent progress and accomplishments.</w:t>
      </w:r>
    </w:p>
    <w:p>
      <w:pPr>
        <w:spacing w:after="0" w:line="180"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“Despite the continued impact of COVID-19 around the world, our team has continued to make steady progress advancing our lead program, OPT-302, and strengthening the Company for continued global expansion,” said Dr. Megan Baldwin, CEO and Managing Director of Opthea. “Dosing the first patients in our OPT-302 Phase 3 pivotal clinical program in wet AMD marked a very important achievement for Opthea in accelerating the development of this novel VEGF-C/D inhibitor therapy towards market registration. FDA Fast Track designation for OPT-302 also provides regulatory support in expediting the Phase 3 development program to advance our promising treatment to patients sooner. These encouraging developments bring us closer to accomplishing our mission to improve the lives of patients suffering from retinal diseases.”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Corporate Highlights</w:t>
      </w:r>
    </w:p>
    <w:p>
      <w:pPr>
        <w:spacing w:after="0" w:line="135" w:lineRule="exact"/>
        <w:rPr>
          <w:sz w:val="20"/>
          <w:szCs w:val="20"/>
          <w:color w:val="auto"/>
        </w:rPr>
      </w:pPr>
    </w:p>
    <w:p>
      <w:pPr>
        <w:ind w:left="424" w:right="460" w:hanging="424"/>
        <w:spacing w:after="0" w:line="342"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March 2021, Opthea announced that the first patient had been treated in its Phase 3 pivotal program for OPT-302 for wet AMD. Opthea is conducting two concurrent global, multi-center, randomized, double-masked, sham-controlled Phase 3 trials known as ShORe and COAST.</w:t>
      </w:r>
    </w:p>
    <w:p>
      <w:pPr>
        <w:spacing w:after="0" w:line="29" w:lineRule="exact"/>
        <w:rPr>
          <w:rFonts w:ascii="Arial" w:cs="Arial" w:eastAsia="Arial" w:hAnsi="Arial"/>
          <w:sz w:val="16"/>
          <w:szCs w:val="16"/>
          <w:color w:val="auto"/>
        </w:rPr>
      </w:pPr>
    </w:p>
    <w:p>
      <w:pPr>
        <w:ind w:left="424" w:right="440" w:hanging="424"/>
        <w:spacing w:after="0" w:line="26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March 2021, Opthea announced that it received an initial Pediatric Study Plan (iPSP) waiver from the U.S. Food and Drug Administration (FDA) for OPT-302. With this waiver, Opthea will not have to conduct an additional study of OPT-302 in the pediatric population for use of OPT-302 in this U.S. population.</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July 2021, the FDA granted Fast Track designation for OPT-302 in combination with anti-VEGF- A therapy for the treatment of patients with wet AMD. Fast Track designation offers benefits to expedite the OPT-302 Phase 3 clinical program and subsequent potential approval process.</w:t>
      </w:r>
    </w:p>
    <w:p>
      <w:pPr>
        <w:spacing w:after="0" w:line="29" w:lineRule="exact"/>
        <w:rPr>
          <w:rFonts w:ascii="Arial" w:cs="Arial" w:eastAsia="Arial" w:hAnsi="Arial"/>
          <w:sz w:val="16"/>
          <w:szCs w:val="16"/>
          <w:color w:val="auto"/>
        </w:rPr>
      </w:pPr>
    </w:p>
    <w:p>
      <w:pPr>
        <w:ind w:left="424" w:right="16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August 2021, Opthea announced the expansion of the Phase 3 ShORe and COAST wet AMD trials of OPT-302 into Canada. With the Phase 3 pivotal clinical program ongoing in the U.S., the expansion into Canada represents a new and important geographical region.</w:t>
      </w:r>
    </w:p>
    <w:p>
      <w:pPr>
        <w:spacing w:after="0" w:line="5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 the past year, Opthea strengthened its Board of Directors with the appointment of Dr. Jeremy Levin as Chairman and Dr. Julia Haller and Ms. Judith Robertson as non-executive directors.</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Fiscal Year 2021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Opthea had cash, cash equivalents and short-term investments of US$118.2 million.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expenses for the fiscal year ended June 30, 2021 were US$25.9 million, compared to US$12.1 million for the year ended June 30, 2020. The increase of US$13.8 million reflects costs associated with the Phase 2b and Phase1b/2a clinical trials of OPT-302 for wet AMD and DME and the initiation of the Phase 3 clinical trials. Administrative expenses for the fiscal year ended June 30, 2021 were US$13.4 million, compared to US$4.7 million for the same prior year period.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Opthea reported a net loss, including non-cash charges, of US$45.3 million or $0.14 per share for the year ended June 30, 2021. This compares to a net loss, including non-cash charges, of US$11.1 or $0.04 per share for the comparable period in 2020.</w:t>
      </w:r>
    </w:p>
    <w:p>
      <w:pPr>
        <w:spacing w:after="0" w:line="17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 xml:space="preserve">A copy of Opthea’s financial results and Annual Report for the financial year ending June 30, 2021 is available on the Company’s website </w:t>
      </w:r>
      <w:r>
        <w:rPr>
          <w:rFonts w:ascii="Arial" w:cs="Arial" w:eastAsia="Arial" w:hAnsi="Arial"/>
          <w:sz w:val="18"/>
          <w:szCs w:val="18"/>
          <w:u w:val="single" w:color="auto"/>
          <w:color w:val="auto"/>
        </w:rPr>
        <w:t>www.opthea.com/annual-reports/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 Limited</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in this announcement may contain forward-looking statements, including within the meaning of the U.S. Private Securities Litigation Reform Act of 1995. Any statement describing Company goals, expectations, intentions or beliefs is a forward-looking statement and should be considered an at risk statement, including, but not limited to, the continuation of Opthea’s pivotal Phase 3 clinical trials of OPT-302 in wet AMD. Such statements are based on Opthea’s current plans, objectives, estimates, expectations and intentions and are subject to certain risks and uncertainties, including risks and uncertainties associated with clinical trials and product development and the impact of general economic, industry or political conditions in Australia, the United States or internationally. These and other risks and uncertainties are described more fully in Opthea’s filings with the ASX and the U.S. Securities and Exchange Commission, including in the section titled “Risk Factors” in the final prospectus filed with the SEC on October 19, 2020. The Company undertakes no obligation to publicly update any forward-looking statement, whether as a result of new information, future events, or otherwise, except as required under applicable law. You should not place undue reliance on these forward-looking statements as predictions of future events, which statements apply only as of the date of this announcement. Actual results could differ materially from those discussed in this ASX announcement.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for release to ASX by Megan Baldwin, CEO &amp; Managing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&amp; Media Enquiries:</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Arial" w:cs="Arial" w:eastAsia="Arial" w:hAnsi="Arial"/>
                <w:sz w:val="18"/>
                <w:szCs w:val="18"/>
                <w:b w:val="1"/>
                <w:bCs w:val="1"/>
                <w:color w:val="auto"/>
              </w:rPr>
              <w:t>Australia:</w:t>
            </w: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b w:val="1"/>
                <w:bCs w:val="1"/>
                <w:color w:val="auto"/>
              </w:rPr>
              <w:t>U.S.A. &amp; International:</w:t>
            </w:r>
          </w:p>
        </w:tc>
      </w:tr>
      <w:tr>
        <w:trPr>
          <w:trHeight w:val="216"/>
        </w:trPr>
        <w:tc>
          <w:tcPr>
            <w:tcW w:w="5480" w:type="dxa"/>
            <w:vAlign w:val="bottom"/>
            <w:gridSpan w:val="6"/>
          </w:tcPr>
          <w:p>
            <w:pPr>
              <w:spacing w:after="0"/>
              <w:rPr>
                <w:sz w:val="20"/>
                <w:szCs w:val="20"/>
                <w:color w:val="auto"/>
              </w:rPr>
            </w:pPr>
            <w:r>
              <w:rPr>
                <w:rFonts w:ascii="Arial" w:cs="Arial" w:eastAsia="Arial" w:hAnsi="Arial"/>
                <w:sz w:val="18"/>
                <w:szCs w:val="18"/>
                <w:color w:val="auto"/>
              </w:rPr>
              <w:t>Rudi Michelson, Monsoon Communications</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Sam Martin, Argot Partners</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w w:val="92"/>
              </w:rPr>
              <w:t>Tel: +61 (0)</w:t>
            </w:r>
          </w:p>
        </w:tc>
        <w:tc>
          <w:tcPr>
            <w:tcW w:w="1500" w:type="dxa"/>
            <w:vAlign w:val="bottom"/>
          </w:tcPr>
          <w:p>
            <w:pPr>
              <w:ind w:left="20"/>
              <w:spacing w:after="0" w:line="190" w:lineRule="exact"/>
              <w:rPr>
                <w:sz w:val="20"/>
                <w:szCs w:val="20"/>
                <w:color w:val="auto"/>
              </w:rPr>
            </w:pPr>
            <w:r>
              <w:rPr>
                <w:rFonts w:ascii="Arial" w:cs="Arial" w:eastAsia="Arial" w:hAnsi="Arial"/>
                <w:sz w:val="18"/>
                <w:szCs w:val="18"/>
                <w:color w:val="auto"/>
              </w:rPr>
              <w:t>3 9620 3333</w:t>
            </w: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2"/>
          </w:tcPr>
          <w:p>
            <w:pPr>
              <w:ind w:left="80"/>
              <w:spacing w:after="0" w:line="190" w:lineRule="exact"/>
              <w:rPr>
                <w:sz w:val="20"/>
                <w:szCs w:val="20"/>
                <w:color w:val="auto"/>
              </w:rPr>
            </w:pPr>
            <w:r>
              <w:rPr>
                <w:rFonts w:ascii="Arial" w:cs="Arial" w:eastAsia="Arial" w:hAnsi="Arial"/>
                <w:sz w:val="18"/>
                <w:szCs w:val="18"/>
                <w:color w:val="auto"/>
                <w:w w:val="89"/>
              </w:rPr>
              <w:t>Tel: +1 212-600-1902; opthea@argotpartners.com</w:t>
            </w:r>
          </w:p>
        </w:tc>
      </w:tr>
      <w:tr>
        <w:trPr>
          <w:trHeight w:val="465"/>
        </w:trPr>
        <w:tc>
          <w:tcPr>
            <w:tcW w:w="5480" w:type="dxa"/>
            <w:vAlign w:val="bottom"/>
            <w:gridSpan w:val="6"/>
          </w:tcPr>
          <w:p>
            <w:pPr>
              <w:spacing w:after="0"/>
              <w:rPr>
                <w:sz w:val="20"/>
                <w:szCs w:val="20"/>
                <w:color w:val="auto"/>
              </w:rPr>
            </w:pPr>
            <w:r>
              <w:rPr>
                <w:rFonts w:ascii="Arial" w:cs="Arial" w:eastAsia="Arial" w:hAnsi="Arial"/>
                <w:sz w:val="18"/>
                <w:szCs w:val="18"/>
                <w:b w:val="1"/>
                <w:bCs w:val="1"/>
                <w:color w:val="auto"/>
              </w:rPr>
              <w:t>Join our email database to receive program updates:</w:t>
            </w:r>
          </w:p>
        </w:tc>
        <w:tc>
          <w:tcPr>
            <w:tcW w:w="176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w w:val="92"/>
              </w:rPr>
              <w:t>Tel: +61 (0)</w:t>
            </w:r>
          </w:p>
        </w:tc>
        <w:tc>
          <w:tcPr>
            <w:tcW w:w="4600" w:type="dxa"/>
            <w:vAlign w:val="bottom"/>
            <w:gridSpan w:val="5"/>
          </w:tcPr>
          <w:p>
            <w:pPr>
              <w:ind w:left="20"/>
              <w:spacing w:after="0" w:line="190" w:lineRule="exact"/>
              <w:rPr>
                <w:sz w:val="20"/>
                <w:szCs w:val="20"/>
                <w:color w:val="auto"/>
              </w:rPr>
            </w:pPr>
            <w:r>
              <w:rPr>
                <w:rFonts w:ascii="Arial" w:cs="Arial" w:eastAsia="Arial" w:hAnsi="Arial"/>
                <w:sz w:val="18"/>
                <w:szCs w:val="18"/>
                <w:color w:val="auto"/>
                <w:w w:val="92"/>
              </w:rPr>
              <w:t>3 9826 0399 Email: info@opthea.com Web: www.opthea.com</w:t>
            </w:r>
          </w:p>
        </w:tc>
        <w:tc>
          <w:tcPr>
            <w:tcW w:w="17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5" w:name="page6"/>
    <w:bookmarkEnd w:id="5"/>
    <w:p>
      <w:pPr>
        <w:ind w:left="90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31750</wp:posOffset>
            </wp:positionV>
            <wp:extent cx="5786755" cy="763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6755" cy="763778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963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796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406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7740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323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ind w:left="908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186055</wp:posOffset>
            </wp:positionV>
            <wp:extent cx="4911725" cy="6943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11725" cy="694372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06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006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7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7037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2021-08-30T05:44:46Z</dcterms:created>
  <dcterms:modified xsi:type="dcterms:W3CDTF">2021-08-30T05:44:46Z</dcterms:modified>
</cp:coreProperties>
</file>